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center"/>
        <w:rPr/>
      </w:pPr>
      <w:r>
        <w:rPr>
          <w:color w:val="000000"/>
        </w:rPr>
        <w:t xml:space="preserve">☒ </w:t>
      </w:r>
      <w:r>
        <w:rPr>
          <w:rFonts w:ascii="Times New Roman;serif" w:hAnsi="Times New Roman;serif"/>
          <w:b/>
          <w:color w:val="000000"/>
          <w:sz w:val="20"/>
        </w:rPr>
        <w:t>ANNUAL REPORT 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fiscal year ended December 31, 2025 or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center"/>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No. 001-34634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ICU MEDICAL,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8396" w:type="dxa"/>
        <w:jc w:val="center"/>
        <w:tblInd w:w="0" w:type="dxa"/>
        <w:tblLayout w:type="fixed"/>
        <w:tblCellMar>
          <w:top w:w="28" w:type="dxa"/>
          <w:left w:w="28" w:type="dxa"/>
          <w:bottom w:w="28" w:type="dxa"/>
          <w:right w:w="28" w:type="dxa"/>
        </w:tblCellMar>
      </w:tblPr>
      <w:tblGrid>
        <w:gridCol w:w="1822"/>
        <w:gridCol w:w="1601"/>
        <w:gridCol w:w="1617"/>
        <w:gridCol w:w="109"/>
        <w:gridCol w:w="109"/>
        <w:gridCol w:w="109"/>
        <w:gridCol w:w="884"/>
        <w:gridCol w:w="884"/>
        <w:gridCol w:w="1261"/>
      </w:tblGrid>
      <w:tr>
        <w:trPr/>
        <w:tc>
          <w:tcPr>
            <w:tcW w:w="1822"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33-0022692</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left"/>
        <w:rPr>
          <w:color w:val="000000"/>
        </w:rPr>
      </w:pPr>
      <w:r>
        <w:rPr>
          <w:color w:val="000000"/>
        </w:rPr>
        <w:t> </w:t>
      </w:r>
    </w:p>
    <w:tbl>
      <w:tblPr>
        <w:tblW w:w="4719" w:type="dxa"/>
        <w:jc w:val="center"/>
        <w:tblInd w:w="0" w:type="dxa"/>
        <w:tblLayout w:type="fixed"/>
        <w:tblCellMar>
          <w:top w:w="28" w:type="dxa"/>
          <w:left w:w="28" w:type="dxa"/>
          <w:bottom w:w="28" w:type="dxa"/>
          <w:right w:w="28" w:type="dxa"/>
        </w:tblCellMar>
      </w:tblPr>
      <w:tblGrid>
        <w:gridCol w:w="540"/>
        <w:gridCol w:w="473"/>
        <w:gridCol w:w="477"/>
        <w:gridCol w:w="236"/>
        <w:gridCol w:w="236"/>
        <w:gridCol w:w="236"/>
        <w:gridCol w:w="386"/>
        <w:gridCol w:w="386"/>
        <w:gridCol w:w="387"/>
        <w:gridCol w:w="109"/>
        <w:gridCol w:w="109"/>
        <w:gridCol w:w="109"/>
        <w:gridCol w:w="303"/>
        <w:gridCol w:w="303"/>
        <w:gridCol w:w="429"/>
      </w:tblGrid>
      <w:tr>
        <w:trPr/>
        <w:tc>
          <w:tcPr>
            <w:tcW w:w="54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951 Calle Amanecer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San Clemente</w:t>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92673</w:t>
            </w:r>
          </w:p>
        </w:tc>
      </w:tr>
      <w:tr>
        <w:trPr/>
        <w:tc>
          <w:tcPr>
            <w:tcW w:w="3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(949) 366-2183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p>
      <w:pPr>
        <w:pStyle w:val="TextBody"/>
        <w:bidi w:val="0"/>
        <w:spacing w:lineRule="auto" w:line="288" w:before="0" w:after="0"/>
        <w:jc w:val="center"/>
        <w:rPr>
          <w:color w:val="000000"/>
        </w:rPr>
      </w:pPr>
      <w:r>
        <w:rPr>
          <w:color w:val="000000"/>
        </w:rPr>
        <w:t> </w:t>
      </w:r>
    </w:p>
    <w:tbl>
      <w:tblPr>
        <w:tblW w:w="8098" w:type="dxa"/>
        <w:jc w:val="left"/>
        <w:tblInd w:w="0" w:type="dxa"/>
        <w:tblLayout w:type="fixed"/>
        <w:tblCellMar>
          <w:top w:w="28" w:type="dxa"/>
          <w:left w:w="28" w:type="dxa"/>
          <w:bottom w:w="28" w:type="dxa"/>
          <w:right w:w="28" w:type="dxa"/>
        </w:tblCellMar>
      </w:tblPr>
      <w:tblGrid>
        <w:gridCol w:w="1269"/>
        <w:gridCol w:w="1113"/>
        <w:gridCol w:w="1128"/>
        <w:gridCol w:w="424"/>
        <w:gridCol w:w="424"/>
        <w:gridCol w:w="426"/>
        <w:gridCol w:w="970"/>
        <w:gridCol w:w="970"/>
        <w:gridCol w:w="1374"/>
      </w:tblGrid>
      <w:tr>
        <w:trPr/>
        <w:tc>
          <w:tcPr>
            <w:tcW w:w="126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Common stock, par value $0.10 per share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ICUI</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Securities registered pursuant to section 12(g) of the Act:  None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Indicate by check mark if the registrant is a well-known seasoned issuer, as defined in Rule 405 of the Securities Act.  </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Indicate by check mark if the registrant is not required to file reports pursuant to Section 13 or Section 15(d) of the Act.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 xml:space="preserve">No </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color w:val="000000"/>
        </w:rPr>
        <w:t> </w:t>
      </w:r>
    </w:p>
    <w:tbl>
      <w:tblPr>
        <w:tblW w:w="5436" w:type="dxa"/>
        <w:jc w:val="left"/>
        <w:tblInd w:w="0" w:type="dxa"/>
        <w:tblLayout w:type="fixed"/>
        <w:tblCellMar>
          <w:top w:w="28" w:type="dxa"/>
          <w:left w:w="28" w:type="dxa"/>
          <w:bottom w:w="28" w:type="dxa"/>
          <w:right w:w="28" w:type="dxa"/>
        </w:tblCellMar>
      </w:tblPr>
      <w:tblGrid>
        <w:gridCol w:w="743"/>
        <w:gridCol w:w="654"/>
        <w:gridCol w:w="658"/>
        <w:gridCol w:w="109"/>
        <w:gridCol w:w="109"/>
        <w:gridCol w:w="109"/>
        <w:gridCol w:w="109"/>
        <w:gridCol w:w="109"/>
        <w:gridCol w:w="109"/>
        <w:gridCol w:w="784"/>
        <w:gridCol w:w="784"/>
        <w:gridCol w:w="787"/>
        <w:gridCol w:w="109"/>
        <w:gridCol w:w="109"/>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color w:val="00000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w:t>
      </w:r>
    </w:p>
    <w:p>
      <w:pPr>
        <w:pStyle w:val="TextBody"/>
        <w:bidi w:val="0"/>
        <w:spacing w:lineRule="auto" w:line="288" w:before="0" w:after="0"/>
        <w:jc w:val="left"/>
        <w:rPr/>
      </w:pPr>
      <w:r>
        <w:rPr>
          <w:rFonts w:ascii="Times New Roman;serif" w:hAnsi="Times New Roman;serif"/>
          <w:b w:val="false"/>
          <w:color w:val="000000"/>
          <w:sz w:val="20"/>
        </w:rPr>
        <w:t xml:space="preserve">of the registrant included in the filing reflect the correction of an error to previously issued financial statements.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w:t>
      </w:r>
    </w:p>
    <w:p>
      <w:pPr>
        <w:pStyle w:val="TextBody"/>
        <w:bidi w:val="0"/>
        <w:spacing w:lineRule="auto" w:line="288" w:before="0" w:after="0"/>
        <w:jc w:val="left"/>
        <w:rPr/>
      </w:pPr>
      <w:r>
        <w:rPr>
          <w:rFonts w:ascii="Times New Roman;serif" w:hAnsi="Times New Roman;serif"/>
          <w:b w:val="false"/>
          <w:color w:val="000000"/>
          <w:sz w:val="20"/>
        </w:rPr>
        <w:t xml:space="preserve">to §240.10D-1(b). </w:t>
      </w:r>
      <w:r>
        <w:rPr>
          <w:rFonts w:ascii="Wingdings;sans-serif" w:hAnsi="Wingdings;sans-serif"/>
          <w:b w:val="false"/>
          <w:color w:val="000000"/>
          <w:sz w:val="20"/>
        </w:rPr>
        <w:t>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Indicate by check mark whether the registrant is a shell company (as defined in Rule 12b-2 of the Act).  </w:t>
      </w:r>
      <w:r>
        <w:rPr>
          <w:color w:val="000000"/>
        </w:rPr>
        <w:t xml:space="preserve">☐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aggregate market value of the voting stock held by non-affiliates of registrant as of June 30, 2025, the last business day of registrant’s most recently completed second fiscal quarter, was $3,225,011,330.</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number of shares outstanding of registrant’s common stock, $.10 par value, as of January 31, 2026 was 24,690,275.</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DOCUMENTS INCORPORATED BY REFERENCE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Portions of the Proxy Statement for registrant’s 2026 Annual Meeting of Stockholders filed or to be filed pursuant to Regulation 14A within 120 days following registrant’s fiscal year ended December 31, 2025, are incorporated by reference into Part III of this Report.</w:t>
      </w:r>
    </w:p>
    <w:p>
      <w:pPr>
        <w:pStyle w:val="TextBody"/>
        <w:bidi w:val="0"/>
        <w:spacing w:lineRule="auto" w:line="288" w:before="0" w:after="0"/>
        <w:jc w:val="left"/>
        <w:rPr>
          <w:color w:val="000000"/>
        </w:rPr>
      </w:pPr>
      <w:r>
        <w:rPr>
          <w:color w:val="000000"/>
        </w:rPr>
        <w:t> </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Year Ended December 31,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right"/>
        <w:tblInd w:w="0" w:type="dxa"/>
        <w:tblLayout w:type="fixed"/>
        <w:tblCellMar>
          <w:top w:w="28" w:type="dxa"/>
          <w:left w:w="28" w:type="dxa"/>
          <w:bottom w:w="28" w:type="dxa"/>
          <w:right w:w="28" w:type="dxa"/>
        </w:tblCellMar>
      </w:tblPr>
      <w:tblGrid>
        <w:gridCol w:w="442"/>
        <w:gridCol w:w="387"/>
        <w:gridCol w:w="387"/>
        <w:gridCol w:w="2830"/>
        <w:gridCol w:w="2801"/>
        <w:gridCol w:w="2844"/>
        <w:gridCol w:w="149"/>
        <w:gridCol w:w="149"/>
        <w:gridCol w:w="216"/>
      </w:tblGrid>
      <w:tr>
        <w:trPr/>
        <w:tc>
          <w:tcPr>
            <w:tcW w:w="44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0">
              <w:r>
                <w:rPr>
                  <w:rStyle w:val="InternetLink"/>
                  <w:rFonts w:ascii="Times New Roman;serif" w:hAnsi="Times New Roman;serif"/>
                  <w:b w:val="false"/>
                  <w:color w:val="000000"/>
                  <w:sz w:val="20"/>
                  <w:u w:val="single"/>
                </w:rPr>
                <w:t>Forward-Looking Statements</w:t>
              </w:r>
            </w:hyperlink>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3">
              <w:r>
                <w:rPr>
                  <w:rStyle w:val="InternetLink"/>
                  <w:rFonts w:ascii="Times New Roman;serif" w:hAnsi="Times New Roman;serif"/>
                  <w:b w:val="false"/>
                  <w:color w:val="000000"/>
                  <w:sz w:val="20"/>
                  <w:u w:val="single"/>
                </w:rPr>
                <w:t>Risk Factors Summary</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PART I</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9">
              <w:r>
                <w:rPr>
                  <w:rStyle w:val="InternetLink"/>
                  <w:rFonts w:ascii="Times New Roman;serif" w:hAnsi="Times New Roman;serif"/>
                  <w:b w:val="false"/>
                  <w:color w:val="000000"/>
                  <w:sz w:val="20"/>
                  <w:u w:val="single"/>
                </w:rPr>
                <w:t>Item 1</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9">
              <w:r>
                <w:rPr>
                  <w:rStyle w:val="InternetLink"/>
                  <w:rFonts w:ascii="Times New Roman;serif" w:hAnsi="Times New Roman;serif"/>
                  <w:b w:val="false"/>
                  <w:color w:val="000000"/>
                  <w:sz w:val="20"/>
                  <w:u w:val="single"/>
                </w:rPr>
                <w:t>Business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e1e544a67f48439c5ec9071b339bca_19">
              <w:r>
                <w:rPr>
                  <w:rStyle w:val="InternetLink"/>
                  <w:rFonts w:ascii="Times New Roman;serif" w:hAnsi="Times New Roman;serif"/>
                  <w:b w:val="false"/>
                  <w:color w:val="000000"/>
                  <w:sz w:val="20"/>
                  <w:u w:val="single"/>
                </w:rPr>
                <w:t>1</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22">
              <w:r>
                <w:rPr>
                  <w:rStyle w:val="InternetLink"/>
                  <w:rFonts w:ascii="Times New Roman;serif" w:hAnsi="Times New Roman;serif"/>
                  <w:b w:val="false"/>
                  <w:color w:val="000000"/>
                  <w:sz w:val="20"/>
                  <w:u w:val="single"/>
                </w:rPr>
                <w:t>Item 1A</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22">
              <w:r>
                <w:rPr>
                  <w:rStyle w:val="InternetLink"/>
                  <w:rFonts w:ascii="Times New Roman;serif" w:hAnsi="Times New Roman;serif"/>
                  <w:b w:val="false"/>
                  <w:color w:val="000000"/>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e1e544a67f48439c5ec9071b339bca_22">
              <w:r>
                <w:rPr>
                  <w:rStyle w:val="InternetLink"/>
                  <w:rFonts w:ascii="Times New Roman;serif" w:hAnsi="Times New Roman;serif"/>
                  <w:b w:val="false"/>
                  <w:color w:val="000000"/>
                  <w:sz w:val="20"/>
                  <w:u w:val="single"/>
                </w:rPr>
                <w:t>14</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25">
              <w:r>
                <w:rPr>
                  <w:rStyle w:val="InternetLink"/>
                  <w:rFonts w:ascii="Times New Roman;serif" w:hAnsi="Times New Roman;serif"/>
                  <w:b w:val="false"/>
                  <w:color w:val="000000"/>
                  <w:sz w:val="20"/>
                  <w:u w:val="single"/>
                </w:rPr>
                <w:t>Item 1B</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25">
              <w:r>
                <w:rPr>
                  <w:rStyle w:val="InternetLink"/>
                  <w:rFonts w:ascii="Times New Roman;serif" w:hAnsi="Times New Roman;serif"/>
                  <w:b w:val="false"/>
                  <w:color w:val="000000"/>
                  <w:sz w:val="20"/>
                  <w:u w:val="single"/>
                </w:rPr>
                <w:t>Unresolved Staff Comments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e1e544a67f48439c5ec9071b339bca_25">
              <w:r>
                <w:rPr>
                  <w:rStyle w:val="InternetLink"/>
                  <w:rFonts w:ascii="Times New Roman;serif" w:hAnsi="Times New Roman;serif"/>
                  <w:b w:val="false"/>
                  <w:color w:val="000000"/>
                  <w:sz w:val="20"/>
                  <w:u w:val="single"/>
                </w:rPr>
                <w:t>37</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28">
              <w:r>
                <w:rPr>
                  <w:rStyle w:val="InternetLink"/>
                  <w:rFonts w:ascii="Times New Roman;serif" w:hAnsi="Times New Roman;serif"/>
                  <w:b w:val="false"/>
                  <w:color w:val="000000"/>
                  <w:sz w:val="20"/>
                  <w:u w:val="single"/>
                </w:rPr>
                <w:t>Item 1C</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28">
              <w:r>
                <w:rPr>
                  <w:rStyle w:val="InternetLink"/>
                  <w:rFonts w:ascii="Times New Roman;serif" w:hAnsi="Times New Roman;serif"/>
                  <w:b w:val="false"/>
                  <w:color w:val="000000"/>
                  <w:sz w:val="20"/>
                  <w:u w:val="single"/>
                </w:rPr>
                <w:t>Cybersecurity</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e1e544a67f48439c5ec9071b339bca_28">
              <w:r>
                <w:rPr>
                  <w:rStyle w:val="InternetLink"/>
                  <w:rFonts w:ascii="Times New Roman;serif" w:hAnsi="Times New Roman;serif"/>
                  <w:b w:val="false"/>
                  <w:color w:val="000000"/>
                  <w:sz w:val="20"/>
                  <w:u w:val="single"/>
                </w:rPr>
                <w:t>37</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31">
              <w:r>
                <w:rPr>
                  <w:rStyle w:val="InternetLink"/>
                  <w:rFonts w:ascii="Times New Roman;serif" w:hAnsi="Times New Roman;serif"/>
                  <w:b w:val="false"/>
                  <w:color w:val="000000"/>
                  <w:sz w:val="20"/>
                  <w:u w:val="single"/>
                </w:rPr>
                <w:t>Item 2</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31">
              <w:r>
                <w:rPr>
                  <w:rStyle w:val="InternetLink"/>
                  <w:rFonts w:ascii="Times New Roman;serif" w:hAnsi="Times New Roman;serif"/>
                  <w:b w:val="false"/>
                  <w:color w:val="000000"/>
                  <w:sz w:val="20"/>
                  <w:u w:val="single"/>
                </w:rPr>
                <w:t>Properties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e1e544a67f48439c5ec9071b339bca_31">
              <w:r>
                <w:rPr>
                  <w:rStyle w:val="InternetLink"/>
                  <w:rFonts w:ascii="Times New Roman;serif" w:hAnsi="Times New Roman;serif"/>
                  <w:b w:val="false"/>
                  <w:color w:val="000000"/>
                  <w:sz w:val="20"/>
                  <w:u w:val="single"/>
                </w:rPr>
                <w:t>38</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34">
              <w:r>
                <w:rPr>
                  <w:rStyle w:val="InternetLink"/>
                  <w:rFonts w:ascii="Times New Roman;serif" w:hAnsi="Times New Roman;serif"/>
                  <w:b w:val="false"/>
                  <w:color w:val="000000"/>
                  <w:sz w:val="20"/>
                  <w:u w:val="single"/>
                </w:rPr>
                <w:t>Item 3</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34">
              <w:r>
                <w:rPr>
                  <w:rStyle w:val="InternetLink"/>
                  <w:rFonts w:ascii="Times New Roman;serif" w:hAnsi="Times New Roman;serif"/>
                  <w:b w:val="false"/>
                  <w:color w:val="000000"/>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e1e544a67f48439c5ec9071b339bca_34">
              <w:r>
                <w:rPr>
                  <w:rStyle w:val="InternetLink"/>
                  <w:rFonts w:ascii="Times New Roman;serif" w:hAnsi="Times New Roman;serif"/>
                  <w:b w:val="false"/>
                  <w:color w:val="000000"/>
                  <w:sz w:val="20"/>
                  <w:u w:val="single"/>
                </w:rPr>
                <w:t>39</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37">
              <w:r>
                <w:rPr>
                  <w:rStyle w:val="InternetLink"/>
                  <w:rFonts w:ascii="Times New Roman;serif" w:hAnsi="Times New Roman;serif"/>
                  <w:b w:val="false"/>
                  <w:color w:val="000000"/>
                  <w:sz w:val="20"/>
                  <w:u w:val="single"/>
                </w:rPr>
                <w:t>Item 4</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37">
              <w:r>
                <w:rPr>
                  <w:rStyle w:val="InternetLink"/>
                  <w:rFonts w:ascii="Times New Roman;serif" w:hAnsi="Times New Roman;serif"/>
                  <w:b w:val="false"/>
                  <w:color w:val="000000"/>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e1e544a67f48439c5ec9071b339bca_37">
              <w:r>
                <w:rPr>
                  <w:rStyle w:val="InternetLink"/>
                  <w:rFonts w:ascii="Times New Roman;serif" w:hAnsi="Times New Roman;serif"/>
                  <w:b w:val="false"/>
                  <w:color w:val="000000"/>
                  <w:sz w:val="20"/>
                  <w:u w:val="single"/>
                </w:rPr>
                <w:t>39</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PART II</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43">
              <w:r>
                <w:rPr>
                  <w:rStyle w:val="InternetLink"/>
                  <w:rFonts w:ascii="Times New Roman;serif" w:hAnsi="Times New Roman;serif"/>
                  <w:b w:val="false"/>
                  <w:color w:val="000000"/>
                  <w:sz w:val="20"/>
                  <w:u w:val="single"/>
                </w:rPr>
                <w:t>Item 5</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43">
              <w:r>
                <w:rPr>
                  <w:rStyle w:val="InternetLink"/>
                  <w:rFonts w:ascii="Times New Roman;serif" w:hAnsi="Times New Roman;serif"/>
                  <w:b w:val="false"/>
                  <w:color w:val="000000"/>
                  <w:sz w:val="20"/>
                  <w:u w:val="single"/>
                </w:rPr>
                <w:t>Market for Registrant’s Common Equity, Related Stockholder Matters, and Issuer Purchases of Equity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e1e544a67f48439c5ec9071b339bca_43">
              <w:r>
                <w:rPr>
                  <w:rStyle w:val="InternetLink"/>
                  <w:rFonts w:ascii="Times New Roman;serif" w:hAnsi="Times New Roman;serif"/>
                  <w:b w:val="false"/>
                  <w:color w:val="000000"/>
                  <w:sz w:val="20"/>
                  <w:u w:val="single"/>
                </w:rPr>
                <w:t>40</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46">
              <w:r>
                <w:rPr>
                  <w:rStyle w:val="InternetLink"/>
                  <w:rFonts w:ascii="Times New Roman;serif" w:hAnsi="Times New Roman;serif"/>
                  <w:b w:val="false"/>
                  <w:color w:val="000000"/>
                  <w:sz w:val="20"/>
                  <w:u w:val="single"/>
                </w:rPr>
                <w:t>Item 6</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46">
              <w:r>
                <w:rPr>
                  <w:rStyle w:val="InternetLink"/>
                  <w:rFonts w:ascii="Times New Roman;serif" w:hAnsi="Times New Roman;serif"/>
                  <w:b w:val="false"/>
                  <w:color w:val="000000"/>
                  <w:sz w:val="20"/>
                  <w:u w:val="single"/>
                </w:rPr>
                <w:t>Reserved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e1e544a67f48439c5ec9071b339bca_46">
              <w:r>
                <w:rPr>
                  <w:rStyle w:val="InternetLink"/>
                  <w:rFonts w:ascii="Times New Roman;serif" w:hAnsi="Times New Roman;serif"/>
                  <w:b w:val="false"/>
                  <w:color w:val="000000"/>
                  <w:sz w:val="20"/>
                  <w:u w:val="single"/>
                </w:rPr>
                <w:t>41</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49">
              <w:r>
                <w:rPr>
                  <w:rStyle w:val="InternetLink"/>
                  <w:rFonts w:ascii="Times New Roman;serif" w:hAnsi="Times New Roman;serif"/>
                  <w:b w:val="false"/>
                  <w:color w:val="000000"/>
                  <w:sz w:val="20"/>
                  <w:u w:val="single"/>
                </w:rPr>
                <w:t>Item 7</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49">
              <w:r>
                <w:rPr>
                  <w:rStyle w:val="InternetLink"/>
                  <w:rFonts w:ascii="Times New Roman;serif" w:hAnsi="Times New Roman;serif"/>
                  <w:b w:val="false"/>
                  <w:color w:val="000000"/>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e1e544a67f48439c5ec9071b339bca_49">
              <w:r>
                <w:rPr>
                  <w:rStyle w:val="InternetLink"/>
                  <w:rFonts w:ascii="Times New Roman;serif" w:hAnsi="Times New Roman;serif"/>
                  <w:b w:val="false"/>
                  <w:color w:val="000000"/>
                  <w:sz w:val="20"/>
                  <w:u w:val="single"/>
                </w:rPr>
                <w:t>41</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52">
              <w:r>
                <w:rPr>
                  <w:rStyle w:val="InternetLink"/>
                  <w:rFonts w:ascii="Times New Roman;serif" w:hAnsi="Times New Roman;serif"/>
                  <w:b w:val="false"/>
                  <w:color w:val="000000"/>
                  <w:sz w:val="20"/>
                  <w:u w:val="single"/>
                </w:rPr>
                <w:t>Item 7A</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52">
              <w:r>
                <w:rPr>
                  <w:rStyle w:val="InternetLink"/>
                  <w:rFonts w:ascii="Times New Roman;serif" w:hAnsi="Times New Roman;serif"/>
                  <w:b w:val="false"/>
                  <w:color w:val="000000"/>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e1e544a67f48439c5ec9071b339bca_52">
              <w:r>
                <w:rPr>
                  <w:rStyle w:val="InternetLink"/>
                  <w:rFonts w:ascii="Times New Roman;serif" w:hAnsi="Times New Roman;serif"/>
                  <w:b w:val="false"/>
                  <w:color w:val="000000"/>
                  <w:sz w:val="20"/>
                  <w:u w:val="single"/>
                </w:rPr>
                <w:t>56</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55">
              <w:r>
                <w:rPr>
                  <w:rStyle w:val="InternetLink"/>
                  <w:rFonts w:ascii="Times New Roman;serif" w:hAnsi="Times New Roman;serif"/>
                  <w:b w:val="false"/>
                  <w:color w:val="000000"/>
                  <w:sz w:val="20"/>
                  <w:u w:val="single"/>
                </w:rPr>
                <w:t>Item 8</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55">
              <w:r>
                <w:rPr>
                  <w:rStyle w:val="InternetLink"/>
                  <w:rFonts w:ascii="Times New Roman;serif" w:hAnsi="Times New Roman;serif"/>
                  <w:b w:val="false"/>
                  <w:color w:val="000000"/>
                  <w:sz w:val="20"/>
                  <w:u w:val="single"/>
                </w:rPr>
                <w:t>Financial Statements and Supplementary Data</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e1e544a67f48439c5ec9071b339bca_55">
              <w:r>
                <w:rPr>
                  <w:rStyle w:val="InternetLink"/>
                  <w:rFonts w:ascii="Times New Roman;serif" w:hAnsi="Times New Roman;serif"/>
                  <w:b w:val="false"/>
                  <w:color w:val="000000"/>
                  <w:sz w:val="20"/>
                  <w:u w:val="single"/>
                </w:rPr>
                <w:t>57</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42">
              <w:r>
                <w:rPr>
                  <w:rStyle w:val="InternetLink"/>
                  <w:rFonts w:ascii="Times New Roman;serif" w:hAnsi="Times New Roman;serif"/>
                  <w:b w:val="false"/>
                  <w:color w:val="000000"/>
                  <w:sz w:val="20"/>
                  <w:u w:val="single"/>
                </w:rPr>
                <w:t>Item 9</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42">
              <w:r>
                <w:rPr>
                  <w:rStyle w:val="InternetLink"/>
                  <w:rFonts w:ascii="Times New Roman;serif" w:hAnsi="Times New Roman;serif"/>
                  <w:b w:val="false"/>
                  <w:color w:val="000000"/>
                  <w:sz w:val="20"/>
                  <w:u w:val="single"/>
                </w:rPr>
                <w:t>Changes in and Disagreements with Accountants on Accounting and Financial Disclosure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e1e544a67f48439c5ec9071b339bca_142">
              <w:r>
                <w:rPr>
                  <w:rStyle w:val="InternetLink"/>
                  <w:rFonts w:ascii="Times New Roman;serif" w:hAnsi="Times New Roman;serif"/>
                  <w:b w:val="false"/>
                  <w:color w:val="000000"/>
                  <w:sz w:val="20"/>
                  <w:u w:val="single"/>
                </w:rPr>
                <w:t>109</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45">
              <w:r>
                <w:rPr>
                  <w:rStyle w:val="InternetLink"/>
                  <w:rFonts w:ascii="Times New Roman;serif" w:hAnsi="Times New Roman;serif"/>
                  <w:b w:val="false"/>
                  <w:color w:val="000000"/>
                  <w:sz w:val="20"/>
                  <w:u w:val="single"/>
                </w:rPr>
                <w:t>Item 9A</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45">
              <w:r>
                <w:rPr>
                  <w:rStyle w:val="InternetLink"/>
                  <w:rFonts w:ascii="Times New Roman;serif" w:hAnsi="Times New Roman;serif"/>
                  <w:b w:val="false"/>
                  <w:color w:val="000000"/>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e1e544a67f48439c5ec9071b339bca_145">
              <w:r>
                <w:rPr>
                  <w:rStyle w:val="InternetLink"/>
                  <w:rFonts w:ascii="Times New Roman;serif" w:hAnsi="Times New Roman;serif"/>
                  <w:b w:val="false"/>
                  <w:color w:val="000000"/>
                  <w:sz w:val="20"/>
                  <w:u w:val="single"/>
                </w:rPr>
                <w:t>109</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48">
              <w:r>
                <w:rPr>
                  <w:rStyle w:val="InternetLink"/>
                  <w:rFonts w:ascii="Times New Roman;serif" w:hAnsi="Times New Roman;serif"/>
                  <w:b w:val="false"/>
                  <w:color w:val="000000"/>
                  <w:sz w:val="20"/>
                  <w:u w:val="single"/>
                </w:rPr>
                <w:t>Item 9B</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48">
              <w:r>
                <w:rPr>
                  <w:rStyle w:val="InternetLink"/>
                  <w:rFonts w:ascii="Times New Roman;serif" w:hAnsi="Times New Roman;serif"/>
                  <w:b w:val="false"/>
                  <w:color w:val="000000"/>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e1e544a67f48439c5ec9071b339bca_148">
              <w:r>
                <w:rPr>
                  <w:rStyle w:val="InternetLink"/>
                  <w:rFonts w:ascii="Times New Roman;serif" w:hAnsi="Times New Roman;serif"/>
                  <w:b w:val="false"/>
                  <w:color w:val="000000"/>
                  <w:sz w:val="20"/>
                  <w:u w:val="single"/>
                </w:rPr>
                <w:t>110</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51">
              <w:r>
                <w:rPr>
                  <w:rStyle w:val="InternetLink"/>
                  <w:rFonts w:ascii="Times New Roman;serif" w:hAnsi="Times New Roman;serif"/>
                  <w:b w:val="false"/>
                  <w:color w:val="000000"/>
                  <w:sz w:val="20"/>
                  <w:u w:val="single"/>
                </w:rPr>
                <w:t>Item 9C</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51">
              <w:r>
                <w:rPr>
                  <w:rStyle w:val="InternetLink"/>
                  <w:rFonts w:ascii="Times New Roman;serif" w:hAnsi="Times New Roman;serif"/>
                  <w:b w:val="false"/>
                  <w:color w:val="000000"/>
                  <w:sz w:val="20"/>
                  <w:u w:val="single"/>
                </w:rPr>
                <w:t>Disclosure Regarding Foreign Jurisdictions that Prevent Inspections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e1e544a67f48439c5ec9071b339bca_151">
              <w:r>
                <w:rPr>
                  <w:rStyle w:val="InternetLink"/>
                  <w:rFonts w:ascii="Times New Roman;serif" w:hAnsi="Times New Roman;serif"/>
                  <w:b w:val="false"/>
                  <w:color w:val="000000"/>
                  <w:sz w:val="20"/>
                  <w:u w:val="single"/>
                </w:rPr>
                <w:t>110</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PART III</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57">
              <w:r>
                <w:rPr>
                  <w:rStyle w:val="InternetLink"/>
                  <w:rFonts w:ascii="Times New Roman;serif" w:hAnsi="Times New Roman;serif"/>
                  <w:b w:val="false"/>
                  <w:color w:val="000000"/>
                  <w:sz w:val="20"/>
                  <w:u w:val="single"/>
                </w:rPr>
                <w:t>Item 10</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57">
              <w:r>
                <w:rPr>
                  <w:rStyle w:val="InternetLink"/>
                  <w:rFonts w:ascii="Times New Roman;serif" w:hAnsi="Times New Roman;serif"/>
                  <w:b w:val="false"/>
                  <w:color w:val="000000"/>
                  <w:sz w:val="20"/>
                  <w:u w:val="single"/>
                </w:rPr>
                <w:t>Directors, Executive Officers and Corporate Governance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e1e544a67f48439c5ec9071b339bca_157">
              <w:r>
                <w:rPr>
                  <w:rStyle w:val="InternetLink"/>
                  <w:rFonts w:ascii="Times New Roman;serif" w:hAnsi="Times New Roman;serif"/>
                  <w:b w:val="false"/>
                  <w:color w:val="000000"/>
                  <w:sz w:val="20"/>
                  <w:u w:val="single"/>
                </w:rPr>
                <w:t>110</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60">
              <w:r>
                <w:rPr>
                  <w:rStyle w:val="InternetLink"/>
                  <w:rFonts w:ascii="Times New Roman;serif" w:hAnsi="Times New Roman;serif"/>
                  <w:b w:val="false"/>
                  <w:color w:val="000000"/>
                  <w:sz w:val="20"/>
                  <w:u w:val="single"/>
                </w:rPr>
                <w:t>Item 11</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60">
              <w:r>
                <w:rPr>
                  <w:rStyle w:val="InternetLink"/>
                  <w:rFonts w:ascii="Times New Roman;serif" w:hAnsi="Times New Roman;serif"/>
                  <w:b w:val="false"/>
                  <w:color w:val="000000"/>
                  <w:sz w:val="20"/>
                  <w:u w:val="single"/>
                </w:rPr>
                <w:t>Executive Compensation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e1e544a67f48439c5ec9071b339bca_160">
              <w:r>
                <w:rPr>
                  <w:rStyle w:val="InternetLink"/>
                  <w:rFonts w:ascii="Times New Roman;serif" w:hAnsi="Times New Roman;serif"/>
                  <w:b w:val="false"/>
                  <w:color w:val="000000"/>
                  <w:sz w:val="20"/>
                  <w:u w:val="single"/>
                </w:rPr>
                <w:t>112</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63">
              <w:r>
                <w:rPr>
                  <w:rStyle w:val="InternetLink"/>
                  <w:rFonts w:ascii="Times New Roman;serif" w:hAnsi="Times New Roman;serif"/>
                  <w:b w:val="false"/>
                  <w:color w:val="000000"/>
                  <w:sz w:val="20"/>
                  <w:u w:val="single"/>
                </w:rPr>
                <w:t>Item 12</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63">
              <w:r>
                <w:rPr>
                  <w:rStyle w:val="InternetLink"/>
                  <w:rFonts w:ascii="Times New Roman;serif" w:hAnsi="Times New Roman;serif"/>
                  <w:b w:val="false"/>
                  <w:color w:val="000000"/>
                  <w:sz w:val="20"/>
                  <w:u w:val="single"/>
                </w:rPr>
                <w:t>Security Ownership of Certain Beneficial Owners and Management and Related Stockholder Matters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e1e544a67f48439c5ec9071b339bca_163">
              <w:r>
                <w:rPr>
                  <w:rStyle w:val="InternetLink"/>
                  <w:rFonts w:ascii="Times New Roman;serif" w:hAnsi="Times New Roman;serif"/>
                  <w:b w:val="false"/>
                  <w:color w:val="000000"/>
                  <w:sz w:val="20"/>
                  <w:u w:val="single"/>
                </w:rPr>
                <w:t>113</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66">
              <w:r>
                <w:rPr>
                  <w:rStyle w:val="InternetLink"/>
                  <w:rFonts w:ascii="Times New Roman;serif" w:hAnsi="Times New Roman;serif"/>
                  <w:b w:val="false"/>
                  <w:color w:val="000000"/>
                  <w:sz w:val="20"/>
                  <w:u w:val="single"/>
                </w:rPr>
                <w:t>Item 13</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66">
              <w:r>
                <w:rPr>
                  <w:rStyle w:val="InternetLink"/>
                  <w:rFonts w:ascii="Times New Roman;serif" w:hAnsi="Times New Roman;serif"/>
                  <w:b w:val="false"/>
                  <w:color w:val="000000"/>
                  <w:sz w:val="20"/>
                  <w:u w:val="single"/>
                </w:rPr>
                <w:t>Certain Relationships and Related Transactions, and Director Independence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e1e544a67f48439c5ec9071b339bca_166">
              <w:r>
                <w:rPr>
                  <w:rStyle w:val="InternetLink"/>
                  <w:rFonts w:ascii="Times New Roman;serif" w:hAnsi="Times New Roman;serif"/>
                  <w:b w:val="false"/>
                  <w:color w:val="000000"/>
                  <w:sz w:val="20"/>
                  <w:u w:val="single"/>
                </w:rPr>
                <w:t>113</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69">
              <w:r>
                <w:rPr>
                  <w:rStyle w:val="InternetLink"/>
                  <w:rFonts w:ascii="Times New Roman;serif" w:hAnsi="Times New Roman;serif"/>
                  <w:b w:val="false"/>
                  <w:color w:val="000000"/>
                  <w:sz w:val="20"/>
                  <w:u w:val="single"/>
                </w:rPr>
                <w:t>Item 14</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69">
              <w:r>
                <w:rPr>
                  <w:rStyle w:val="InternetLink"/>
                  <w:rFonts w:ascii="Times New Roman;serif" w:hAnsi="Times New Roman;serif"/>
                  <w:b w:val="false"/>
                  <w:color w:val="000000"/>
                  <w:sz w:val="20"/>
                  <w:u w:val="single"/>
                </w:rPr>
                <w:t>Principal Accountant Fees and Services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e1e544a67f48439c5ec9071b339bca_169">
              <w:r>
                <w:rPr>
                  <w:rStyle w:val="InternetLink"/>
                  <w:rFonts w:ascii="Times New Roman;serif" w:hAnsi="Times New Roman;serif"/>
                  <w:b w:val="false"/>
                  <w:color w:val="000000"/>
                  <w:sz w:val="20"/>
                  <w:u w:val="single"/>
                </w:rPr>
                <w:t>113</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PART IV</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75">
              <w:r>
                <w:rPr>
                  <w:rStyle w:val="InternetLink"/>
                  <w:rFonts w:ascii="Times New Roman;serif" w:hAnsi="Times New Roman;serif"/>
                  <w:b w:val="false"/>
                  <w:color w:val="000000"/>
                  <w:sz w:val="20"/>
                  <w:u w:val="single"/>
                </w:rPr>
                <w:t>Item 15</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75">
              <w:r>
                <w:rPr>
                  <w:rStyle w:val="InternetLink"/>
                  <w:rFonts w:ascii="Times New Roman;serif" w:hAnsi="Times New Roman;serif"/>
                  <w:b w:val="false"/>
                  <w:color w:val="000000"/>
                  <w:sz w:val="20"/>
                  <w:u w:val="single"/>
                </w:rPr>
                <w:t>Exhibits and Financial Statement Schedules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e1e544a67f48439c5ec9071b339bca_175">
              <w:r>
                <w:rPr>
                  <w:rStyle w:val="InternetLink"/>
                  <w:rFonts w:ascii="Times New Roman;serif" w:hAnsi="Times New Roman;serif"/>
                  <w:b w:val="false"/>
                  <w:color w:val="000000"/>
                  <w:sz w:val="20"/>
                  <w:u w:val="single"/>
                </w:rPr>
                <w:t>114</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84">
              <w:r>
                <w:rPr>
                  <w:rStyle w:val="InternetLink"/>
                  <w:rFonts w:ascii="Times New Roman;serif" w:hAnsi="Times New Roman;serif"/>
                  <w:b w:val="false"/>
                  <w:color w:val="000000"/>
                  <w:sz w:val="20"/>
                  <w:u w:val="single"/>
                </w:rPr>
                <w:t>Item 16</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Form 10-K Summary</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e1e544a67f48439c5ec9071b339bca_184">
              <w:r>
                <w:rPr>
                  <w:rStyle w:val="InternetLink"/>
                  <w:rFonts w:ascii="Times New Roman;serif" w:hAnsi="Times New Roman;serif"/>
                  <w:b w:val="false"/>
                  <w:color w:val="000000"/>
                  <w:sz w:val="20"/>
                  <w:u w:val="single"/>
                </w:rPr>
                <w:t>118</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87">
              <w:r>
                <w:rPr>
                  <w:rStyle w:val="InternetLink"/>
                  <w:rFonts w:ascii="Times New Roman;serif" w:hAnsi="Times New Roman;serif"/>
                  <w:b w:val="false"/>
                  <w:color w:val="000000"/>
                  <w:sz w:val="20"/>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e1e544a67f48439c5ec9071b339bca_187">
              <w:r>
                <w:rPr>
                  <w:rStyle w:val="InternetLink"/>
                  <w:rFonts w:ascii="Times New Roman;serif" w:hAnsi="Times New Roman;serif"/>
                  <w:b w:val="false"/>
                  <w:color w:val="000000"/>
                  <w:sz w:val="20"/>
                  <w:u w:val="single"/>
                </w:rPr>
                <w:t>118</w:t>
              </w:r>
            </w:hyperlink>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Annual Report on Form 10-K, including, without limitation, statements regarding: our future results of operations and financial position, business strategy and approach; the anticipated benefits and costs associated with our purchase agreement with OPF (as defined below); expected capital expenditures; anticipated consumer demand; supply chain constraints; timing and resolution of the 2025 Warning Letter (as defined below); the expected impact of macroeconomic developments, such as foreign exchange, inflation and interest rates, and new accounting and tax regulations; tariffs; the impact of the One Big Beautiful Bill Act (the "OBBBA"); as well as plans and objectives of management for future operations, are forward-looking statements. 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forward looking statements in this Annual Report on Form 10-K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known and unknown risks, uncertainties and assumptions, including without limitation, the following: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failure to compete successfully with our competitors and maintain market share;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 decline in demand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inability to fund substantial investment in product development and recover such investment through commercial product sales;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prolonged periods of inflation, rising interest rates and the impact of foreign currency exchange rates as a result of the current global macroeconomic and geopolitical conditions, for example, armed conflicts between Ukraine and Russia and in Israel;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 changes in U.S. trade, tax or other policies that restrict imports or increase import tariffs for certain countries, particularly Mexico and Costa Rica;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continuing pressures to reduce healthcare costs and inadequate coverage and reimbursement;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comply with applicable laws, rules and regulations, including, without limitation, matters raised in a warning letter issued by the FDA in 2025, regarding modifications to our cleared MedFusion™ Model 4000 Syringe Infusion Pump and CADD™ Solis VIP Ambulatory Infusion Pump that could impact our continued commercial activity.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disruptions at the FDA, other government agencies or notified bodies caused by funding shortages, policy changes, layoffs or turnover of personnel;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protect our information technology systems against security breaches, service interruptions, or misappropriation of data;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exposure to risks related to foreign currency exchange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damage to any of our manufacturing facilities or disruption to our supply chain network;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dependence on single and limited source third-party suppliers, which subjects our business and results of operations to risks of supplier business interruptions, and a loss or degradation in performance in our suppliers;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failure to achieve expected operating efficiencies or expense reductions associated with cost reduction and restructuring efforts;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 sales through our distributors;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additional risks from international sales, related to competition with larger international companies and established local companies and our possibly higher cost structure;</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actual or perceived failures to comply with foreign, federal, and state data privacy and security laws, regulations and standards, or certain fraud and abuse and transparency laws;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failure to defend and enforce our patents or other proprietary rights and the cost of enforcing and of defending patent claims or claims of other proprietary rights; and expiration of our patents;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failure to effectively complete the integration of our business resulting from the Smiths Medical acquisition or manage our growth and changes to our business resulting from any other future acquisitions;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use of a significant portion of our cash on hand and incurrence of a substantial amount of debt to finance the Smiths Medical acquisition, which could adversely affect our business, including by restricting our ability to engage in additional transactions or incur additional indebtedness.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forward looking statements in this report on Form 10-K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known and unknown risks, uncertainties and assumptions, including those described under the sections in this Annual Report on Form 10-K entitled “Summary Risk Factors,” “Risk Factors” and “Management’s Discussion and Analysis of Financial Condition and Results of Operations” and elsewhere in this Annual Report on Form 10-K.</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a number of risks and uncertainties, including those described in Part I, Item 1A. "Risk Factors" in this Annual Report on Form 10-K. You should carefully consider these risks and uncertainties when investing in our securities. Principal risks and uncertainties include:</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derive a significant portion of our revenues from non-U.S. sales and from products manufactured at our non-U.S. facilities which are then imported to the U.S. We are therefore subject to risks of doing business in other countries, including those related to tariffs, retaliatory counter measures and further escalation of trade tensions.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we are unable to compete successfully with our competitors, we may be unable to maintain market share, in which case our sales may not grow and our profitability may be adversely affected.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demand for our products were to decline significantly, we might not be able to recover the cost of our expensive automated molding and assembly equipment and tooling, which could have an adverse effect on our financial condition and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 development requires substantial investment that may be difficult for us to fund and may be challenging to recover through commercial product sales.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H</w:t>
      </w:r>
      <w:r>
        <w:rPr>
          <w:rFonts w:ascii="Times New Roman;serif" w:hAnsi="Times New Roman;serif"/>
          <w:b w:val="false"/>
          <w:color w:val="000000"/>
          <w:sz w:val="20"/>
          <w:shd w:fill="FFFFFF" w:val="clear"/>
        </w:rPr>
        <w:t xml:space="preserve">eightened inflation, higher interest rates and </w:t>
      </w:r>
      <w:r>
        <w:rPr>
          <w:rFonts w:ascii="Times New Roman;serif" w:hAnsi="Times New Roman;serif"/>
          <w:b w:val="false"/>
          <w:color w:val="000000"/>
          <w:sz w:val="20"/>
        </w:rPr>
        <w:t xml:space="preserve">foreign currency rate fluctuations </w:t>
      </w:r>
      <w:r>
        <w:rPr>
          <w:rFonts w:ascii="Times New Roman;serif" w:hAnsi="Times New Roman;serif"/>
          <w:b w:val="false"/>
          <w:color w:val="000000"/>
          <w:sz w:val="20"/>
          <w:shd w:fill="FFFFFF" w:val="clear"/>
        </w:rPr>
        <w:t xml:space="preserve">as a result of global macroeconomic and geopolitical conditions </w:t>
      </w:r>
      <w:r>
        <w:rPr>
          <w:rFonts w:ascii="Times New Roman;serif" w:hAnsi="Times New Roman;serif"/>
          <w:b w:val="false"/>
          <w:color w:val="000000"/>
          <w:sz w:val="20"/>
        </w:rPr>
        <w:t xml:space="preserve">have had and </w:t>
      </w:r>
      <w:r>
        <w:rPr>
          <w:rFonts w:ascii="Times New Roman;serif" w:hAnsi="Times New Roman;serif"/>
          <w:b w:val="false"/>
          <w:color w:val="000000"/>
          <w:sz w:val="20"/>
          <w:shd w:fill="FFFFFF" w:val="clear"/>
        </w:rPr>
        <w:t xml:space="preserve">could </w:t>
      </w:r>
      <w:r>
        <w:rPr>
          <w:rFonts w:ascii="Times New Roman;serif" w:hAnsi="Times New Roman;serif"/>
          <w:b w:val="false"/>
          <w:color w:val="000000"/>
          <w:sz w:val="20"/>
        </w:rPr>
        <w:t xml:space="preserve">in the future </w:t>
      </w:r>
      <w:r>
        <w:rPr>
          <w:rFonts w:ascii="Times New Roman;serif" w:hAnsi="Times New Roman;serif"/>
          <w:b w:val="false"/>
          <w:color w:val="000000"/>
          <w:sz w:val="20"/>
          <w:shd w:fill="FFFFFF" w:val="clear"/>
        </w:rPr>
        <w:t>have a material adverse effect on our operations.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Significant changes in U.S. trade, tax or other policies that restrict imports or increase import tariffs for certain countries, particularly Mexico and Costa Rica, can escalate trade wars and could have a meaningful adverse effect on our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Continuing pressures to reduce healthcare costs and inadequate coverage and reimbursement may adversely affect our prices and volume. If we cannot reduce manufacturing costs of existing and new products to counteract such pricing pressures, our sales may not grow and our profitability may decline.</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ability to market, distribute and sell our products in the U.S. and other countries may be adversely affected if our products fail to comply with the existing laws and regulations, and applicable requirements of the FDA, governmental agencies in other countries, and notified bodies.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we fail to comply with the FDA's Quality Management System Regulation or Good Manufacturing Practice regulations or other requirements, our manufacturing operations could be interrupted, and our product sales and operating results could suffer.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Disruptions at the FDA, other government agencies or notified bodies caused by funding shortages, policy changes, or personnel turnover could hinder their ability to hire, retain, or deploy key leadership and other personnel, or otherwise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prevent new or modified products from being developed, cleared, approved, certified, or commercialized in a timely manner, or at all, which could negatively impact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protect our information technology systems against security breaches, service interruptions, or misappropriation of data could disrupt operations, compromise sensitive data, and expose us to liability, possibly causing our business and reputation to suffer.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Damage to, or interruptions at, any of our manufacturing facilities or our suppliers' facilities could impair our ability to produce our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are dependent on single and limited source third-party suppliers, which subjects our business and results of operations to risks of supplier business interruptions, and a loss or degradation in performance in our suppliers could have an adverse effect on our business and financial condition.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000000"/>
          <w:sz w:val="20"/>
        </w:rPr>
        <w:t>We may not be successful in achieving expected operating efficiencies or expense reductions associated with cost reduction and restructuring efforts and may experience a decline in our profitability, business disruptions or other adverse consequences to our business as a result.</w:t>
      </w:r>
    </w:p>
    <w:p>
      <w:pPr>
        <w:pStyle w:val="TextBody"/>
        <w:bidi w:val="0"/>
        <w:spacing w:before="0" w:after="0"/>
        <w:jc w:val="left"/>
        <w:rPr/>
      </w:pPr>
      <w:r>
        <w:rPr/>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000000"/>
          <w:sz w:val="20"/>
        </w:rPr>
        <w:t>Significant sales through distributors expose us to risks that could have a material effect on our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perceived failures to comply with foreign, federal, and state data privacy and security laws, regulations and standards may adversely affect our business, operations and financial 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are subject to certain fraud and abuse and transparency laws, which, if violated, could subject us to substantial penalties. Additionally, any challenge to or investigation into our practices under these laws could cause adverse publicity and be costly to respond to, and thus could harm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could be materially and adversely affected if we fail to defend and enforce our patents or other proprietary rights, if our products are found to infringe patents or other proprietary rights owned by others or if the cost to protect our patents or other proprietary rights becomes excessive or as our patents expire.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operations may be adversely impacted by our exposure to risks related to foreign currency exchange rates.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International sales pose additional risks related to competition with larger international companies and established local companies and higher credit risk.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Smiths Medical acquisition completed in January 2022 has resulted in organizational changes and an increase in size to our business. If we fail to effectively complete the integration of our business in a manner that preserves our reputation with customers and the key aspects of our corporate culture, our business, financial condition and results of operations could be harmed.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 the Smiths Medical acquisition, we incurred a substantial amount of debt to finance the cash consideration portion and certain other amounts paid in connection with the Smiths Medical acquisition, which could adversely affect our business, including by restricting our ability to engage in additional transactions or incur additional indebtedness.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See </w:t>
      </w:r>
      <w:r>
        <w:rPr>
          <w:rFonts w:ascii="Times New Roman;serif" w:hAnsi="Times New Roman;serif"/>
          <w:b w:val="false"/>
          <w:color w:val="000000"/>
          <w:sz w:val="20"/>
        </w:rPr>
        <w:t>Part I, Item 1A of this Annual Report on Form 10-K for the detailed discussion of the above risk factors.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First person pronouns used in this Annual Report on Form 10-K, such as “we,” “us,” and “our,” refer to ICU Medical, Inc. (“ICU”) and its subsidiaries unless context requires otherwise.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Company Background and Overview of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ICU develops, manufactures and sells innovative medical products used in infusion therapy, vascular access, and vital care applications. Our team is focused on providing quality, innovation and value to our clinical customers worldwide. ICU's product portfolio includes ambulatory, syringe, and large volume IV pumps and safety software; dedicated and non-dedicated IV sets, needlefree IV connectors, peripheral IV catheters, sharps safety products, and sterile IV solutions offered on behalf of our joint venture; closed system transfer devices and pharmacy compounding systems; as well as a range of respiratory, anesthesia, patient monitoring, and temperature management products.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Headquartered in San Clemente, California, ICU was founded in 1984. Our primary customers are acute care hospitals, wholesalers, ambulatory clinics and alternate site facilities, such as outpatient clinics, home health care providers, and long-term care facilities. Since our inception we have grown organically and through acquisitions.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2017, we acquired Pfizer Inc.’s (“Pfizer”) Hospira Infusion Systems (“HIS”) business. The HIS acquisition complemented our legacy non-dedicated infusion sets and oncology business by expanding our product portfolio to include a complete intravenous infusion therapy product-line from IV solutions to IV pumps to non-dedicated infusion sets.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In November 2019, we acquired Pursuit Vascular, Inc. (“Pursuit”). Pursuit was a privately-held medical device company with a primary focus on innovative catheter disinfecting products and technologies to reduce costly bloodstream infections and lower healthcare costs. Pursuit’s primary product is the ClearGuard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HD cap, which is used for the maintenance of hemodialysis catheters.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2022, we acquired Smiths Medical 2020 Limited (“Smiths Medical”), the holding company of Smiths Group plc’s ("Smiths") global medical device business. The Smiths Medical acquisition complemented and broadened our preexisting product portfolio by adding syringe and ambulatory infusion devices, vascular access, and vital care products, and we believe has significantly strengthened and expanded our global market reach.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we entered into a purchase agreement (the "Agreement") with Otsuka Pharmaceutical Factory America, Inc. (“OPF”), a global IV solutions manufacturing subsidiary of Otsuka Holdings Co., Ltd., to divest a controlling interest in our IV Solutions business. In April 2025, pursuant to the Agreement, ICU Medical Pearl LLC (n/k/a Otsuka ICU Medical LLC (the "joint venture")) was formed, and the assets, liabilities and operations comprising the IV Solutions product line were transferred to the joint venture. In May 2025, upon the closing under the Agreement, we sold a 60% ownership interest in the joint venture to OPF and the Company retained a 40% ownership interest in the business. Pursuant to commercial agreements, a services agreement and a license agreement, we sell and distribute products to customers on behalf of the joint venture.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Products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primary product offerings are described below.</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Consumables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Consumables business unit includes Infusion Therapy, Oncology, Vascular Access and Tracheostomy products.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Infusion Therapy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Infusion Therapy products include non-dedicated infusion sets, extension sets, needle-free connectors, and disinfection caps. Infusion sets used in hospitals and ambulatory clinics consist of flexible sterile tubing running from an IV bag or bottle containing a drug product or solution to a catheter inserted in a patient’s vein that may or may not be used with an infusion pump. Disinfection caps are used to actively disinfect access points into the infusion sets and catheters. Our primary Infusion Therapy products 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Clave™ needlefree products, including the MicroClave, MicroClave Clear, and NanoClave™ brand of connectors, accessories, extension and administration sets used for the administration of IV fluids and medications;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Neutron™ catheter patency device, used to help maintain patency of central venous catheters;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Tego™ needlefree connector utilized to access catheters for hemodialysis and apheresis applications;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ClearGuard™, SwabCap™ and SwabTip™ disinfection caps.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Oncology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Closed System Transfer Devices ("CSTD") and hazardous drug compounding systems are used to prepare and deliver hazardous IV medications such as those used in chemotherapy, which, if released, can have harmful effects on the healthcare worker and environment. Our primary Oncology products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ChemoLockTM CSTD (“ChemoLock”), which utilizes a proprietary needlefree connection method, is used for the preparation and administration of hazardous drugs. ChemoLock is used to limit the escape of hazardous drug or vapor concentrations, block the transfer of environmental contaminants into the system, and eliminates the risk of needlestick injury;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ChemoClaveTM (“ChemoClave”), an ISO Connection standard and universally compatible CSTD used for the preparation and administration of hazardous drugs. ChemoClave utilizes standard ISO luer locking connections, making it compatible with all brands of needlefree connectors and pump delivery systems. ChemoClave also is used to limit the escape of hazardous drug or vapor concentrations, block the transfer of environmental contaminants into the system, and eliminate the risk of needlestick injury;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Deltec® GRIPPER® non-coring needles for portal access.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hazardous drugs typically takes place in a pharmacy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Vascular Access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Vascular Access products are used by clinicians to access the patients' bloodstream to deliver fluids and medication or to obtain blood samples. Our primary Vascular Access products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Jelco® safety and conventional peripheral IV catheters and sharps safety devices for hypodermic injection, designed to help prevent accidental needlestick injury;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Safe-T Wing® venipuncture and blood collection devices;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Port-A-Cath® implantable ports;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Portex® arterial blood sampling syringes;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PowerWand® midline catheters;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Cleo® subcutaneous infusion catheters and 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Tracheostomy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tracheostomy products are used in the placement of a secure airway using both surgical and percutaneous insertion techniques. Our primary Tracheostomy products are: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Portex BLUselect® PVC tracheostomy tubes, which feature an inner cannula as well as a Suctionaid option for above the cuff suctioning and vocalization capability;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Portex Bivona® silicone tracheostomy tubes, which offer the added benefits of comfort and mobility and come in a variety of configurations suited to meet the clinical needs of neonatal through adult patients;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Portex BLUperc® percutaneous insertion kits, which allow for safe placement of the tracheostomy tube at the bedside.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Infusion Systems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offer a comprehensive portfolio of infusion pumps, dedicated IV sets, software and professional services to meet the wide range of infusion needs. Our primary Infusion System products 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Large Volume Pump ("LVP") Hardware: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Plum Duo™ and Plum Solo™ precision infusion pumps (together, the "Plum precision pumps") are single-channel and dual-channel infusion pump systems that received FDA 510(k) clearance in April 2025. The Plum precision pumps are designed to deliver compatible intravenous medications through a single or dual channel, with the dual channel configuration capable of delivering up to four compatible medications through a single pump. The Plum precision pumps are designed to provide delivery accuracy of ±3%, independent of medication bag, pump placement, or patient positioning. The systems incorporate features to support clinic workflows, including reduced alarm and setup requirements and on-screen guidance. Combined with LifeShield™ IV safety software, Plum precision pumps are designed to support IV-EHR interoperability and provide a platform intended to support safety and efficiency across all intravenous medication delivery processes.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Plum 360™ infusion pumps feature the unique Plum cassette system that helps to enhance patient safety and workflow efficiency. PlumSet™ dedicated IV sets include an air trap to help minimize interruptions and a direct connection to the secondary line that eliminates the risk of common setup errors and enables concurrent delivery of two compatible medications through a single line. Plum 360 has been named Best in KLAS for eight years in a row (2018, 2019, 2020, 2023 – Best in KLAS Smart Pump Traditional; 2021, 2022, 2023, 2024, 2025 Best in KLAS Smart Pump EMR Integrated) and was the first medical device to be awarded UL Cybersecurity Assurance Program Certification.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Ambulatory Infusion Hardware: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CADD™ ambulatory infusion pumps and disposables, including administration sets and medication cassette reservoirs, serve as a single pain management platform across all types of IV pain management therapies and all clinical care areas from the hospital to outpatient treatment. The Company has filed a 510(k) application for new clearance for a refreshed CADD™ infusion pump in July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Syringe Infusion Hardware: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Medfusion™ syringe infusion pumps are designed for the administration of fluids and medication to address the needs of the most vulnerable patients requiring precisely controlled infusion rates. Focused on delivery accuracy, the Medfusion™ 4000 can deliver from a comprehensive portfolio of syringes to meet syringe pump guidance to deliver medication from the smallest syringe size possible. The Company has filed a 510(k) application for new clearances for the next generation MedFusion™ infusion pump in July 2025.</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i/>
          <w:color w:val="000000"/>
          <w:sz w:val="20"/>
        </w:rPr>
        <w:t>IV Medication Safety Software: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LifeShield™ infusion safety software for Plum infusion pumps (Plum Solo, Plum Duo) is an enterprise-wide platform designed with the input of pharmacists, nurses and administrators. The software is designed to support intravenous medication management across health systems. The system utilizes hybrid architecture that includes cloud-based functionality for remote access and on-premise system management providing security and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ICU Medical MedNet™ software is an enterprise-class medication management platform that can help reduce medication errors, improve quality of care, streamline workflows and maximize revenue capture. ICU Medical MedNet connects our industry-leading Plum 360 smart pumps to a hospital’s electronic health record ("EHR"), asset tracking systems, and alarm notification platforms to further enhance infusion safety and efficiency.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PharmGuard™ medication safety software for Medfusion 4000 syringe and CADD-Solis™ pumps allows for customized drug libraries to support the standardization of protocols for medication administration throughout the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Professional Services: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 addition to the products above, our teams of clinical and technical experts work with customers to develop safe and efficient infusion systems, providing customized and personalized configuration, implementation, and data analytics services to optimize our infusion hardware and software.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Vital Care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Vital Care business unit includes IV Solutions, Hemodynamic Monitoring, General Anesthesia and Respiratory, Temperature Management Solutions and Regional Anesthesia/Pain Management products.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IV Solutions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 2025, at the closing of our transaction with OPF, we transferred certain interests, including our IV Solutions product line, to OPF. We sell and distribute IV Solutions products to customers on behalf of the joint venture pursuant to a commercial agreement.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IV Solutions products include a broad portfolio of injection, irrigation, nutrition and specialty IV solutions including:</w:t>
      </w:r>
    </w:p>
    <w:p>
      <w:pPr>
        <w:pStyle w:val="TextBody"/>
        <w:bidi w:val="0"/>
        <w:spacing w:before="0" w:after="0"/>
        <w:jc w:val="left"/>
        <w:rPr/>
      </w:pPr>
      <w:r>
        <w:rPr/>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IV Therapy and Diluents, including Sodium Chloride, Dextrose, Balanced Electrolyte Solutions, Lactated Ringer's, Ringer's, Mannitol, Sodium Chloride/Dextrose and Sterile Water.</w:t>
      </w:r>
    </w:p>
    <w:p>
      <w:pPr>
        <w:pStyle w:val="TextBody"/>
        <w:bidi w:val="0"/>
        <w:spacing w:before="0" w:after="0"/>
        <w:jc w:val="left"/>
        <w:rPr/>
      </w:pPr>
      <w:r>
        <w:rPr/>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Irrigation, including Sodium Chloride Irrigation, Sterile Water Irrigation, Physiologic Solutions, Ringer's Irrigation, Acetic Acid Irrigation, Glycine Irrigation, Sorbitol-Mannitol Irrigation, Flexible Containers and Pour Bottle Options.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Hemodynamic Monitoring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Hemodynamic Monitoring products are designed to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Hemodynamic Monitoring products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Cogent™ 2-in-1 hemodynamic monitoring system;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CardioFlo™ hemodynamic monitoring system;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TDQ™ and OptiQ™ cardiac output monitoring catheters;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TriOx™ venous oximetry catheters;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Transpac™ blood pressure transducers;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SafeSet™ closed blood sampling and conservation system;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MEDEX® LogiCal® Pressure Monitoring System and components.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i/>
          <w:color w:val="000000"/>
          <w:sz w:val="20"/>
        </w:rPr>
        <w:t>General Anesthesia &amp; Respiratory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offer a broad range of anesthesia systems and devices and breathing circuits, ventilation, respiratory and specialty airway products that maintain patients’ airways before, during and after surgery. Our primary Anesthesia &amp; Respiratory products are: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Portex® acapella® bronchial hygiene products used to mobilize pulmonary secretions to facilitate the opening of airways in patients with chronic respiratory diseases such as chronic obstructive pulmonary disease, or COPD, asthma and cystic fibrosis.</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Temperature Management Solutions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Temperature Management solutions systems are used in perioperative and critical care settings to help monitor and regulate patient temperature. Our primary Temperature Management products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1® rapid infusion, fluid warming, routine blood and fluid warming, irrigation fluid warming, convective patient warming and temperature probes.</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Regional Anesthesia/Pain Management Trays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offer a comprehensive range of Portex® regional anesthesia/pain management trays and components. Our primary products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Epidural Trays;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Spinal Trays;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Combined (CSE) Trays;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Peripheral Nerve Block Trays;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Specialty Trays (Lumbar Puncture, Amniocentesis, Myelogram).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information relating to our reporting segment and primary product lines is set forth in Part II, Item 7. "Management’s Discussion and Analysis of Financial Condition and Results of Operations" of this Annual Report on Form 10-K.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Manufacturing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Facilities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manufacturing facilities are concentrated in the United States, Costa Rica, Mexico, and Czech Republic. See Part I, Item 2 of this Annual Report on Form 10-K. Additionally, we have historically relied on certain outside manufacturers for certain product lines in Infusion Systems.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regional device service centers, in a number of locations, including Salt Lake City, Utah, U.S., Grasbrunn, Germany; San Laurent; Quebec, Canada; Taipei, Taiwan and Rydalmere, Australia. See Part I, Item 2 of this Annual Report on Form 10-K.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Raw Materials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We purchase many of the components and raw materials used in manufacturing our products from numerous suppliers in various countries. Certain components and raw materials are available only from a single supplier. We currently attempt to manage the risk associated with such suppliers by means of inventory management, relationship management and evaluation of alternative sources when feasible. See Item 1A. Risk Factors - </w:t>
      </w:r>
      <w:r>
        <w:rPr>
          <w:rFonts w:ascii="Times New Roman;serif" w:hAnsi="Times New Roman;serif"/>
          <w:b w:val="false"/>
          <w:i/>
          <w:color w:val="000000"/>
          <w:sz w:val="20"/>
        </w:rPr>
        <w:t xml:space="preserve">We are dependent on single and limited source third-party suppliers, which subjects our business and results of operations to risks of supplier business interruptions, and a loss or degradation in performance in our suppliers could have an adverse effect on our business and financial condition.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Sales, Marketing and Administration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sell globally through our own direct sales force and through independent distributors. We currently serve customers in over 100 countries throughout the world. The majority of our sales is denominated in U.S. dollars and we have sales denominated in Euros, Canadian dollars, Japanese Yen, British Pound and Australian dollars as well as other currencies. In 2025, 2024, and 2023, we had worldwide net sales to a single distributor of 18%, 18%, and 16% of consolidated net sales, respectively.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Distribution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products are marketed and distributed in the U.S. and internationally to medical product manufacturers, independent distributors and directly to end users.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distribution of our products in the U.S. is supported by a network of owned and leased distribution centers, which include King of Prussia, Pennsylvania; Los Angeles, California; Dallas, Texas and Olive Branch, Mississippi. We also utilize a number of public warehouses as part of our supply chain.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Internationally, we manage distribution by utilizing international regional hubs and through independent distributors.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and operations are subject to extensive and rigorous regulation by the Food and Drug Administration ("FDA") and other federal, state and local authorities, as well as foreign regulatory authorities. The FDA regulates, among other things, the research, development, testing, manufacturing, approval, labeling, storage, recordkeeping, advertising, promotion and marketing, distribution, post-approval monitoring and reporting and import and export of drug products, medical devices and combination drug/device products in the U.S. to assure the safety and effectiveness of such medical products for their intended uses and otherwise meet the applicable requirements of the Federal Food, Drug and Cosmetic Act (“FDC Act”). The Federal Trade Commission ("FTC") also regulates the advertising of our products. Further, we are subject to laws directed at preventing fraud and abuse, which subject our sales and marketing, training and other practices to government scrutiny.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Medical Device Regulation in the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majority of our products are regulated by the FDA as medical devices in the U.S. Unless an exemption applies, each new or significantly modified medical device we seek to commercially distribute in the U.S. will require either a pre-market notification to the FDA requesting permission for commercial distribution under Section 510(k) of the FDC Act, also referred to as a 510(k) clearance, or approval from the FDA of a pre-market approval ("PMA") application. Under the FDC Act, medical devices are classified into one of three classes—Class I, Class II or Class III—depending on the degree of risk associated with each medical device and the extent of manufacturer and regulatory control needed to ensure its safety and effectiveness. Class I devices are those that pose the lowest risk to the patient and are those for which safety and effectiveness can be assured by adherence to the FDA's General Controls for medical devices, which include compliance with the applicable portions of current good manufacturing practices ("cGMPs") for medical devices currently known as the Quality Management System Regulation ("QMSR"),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Devices deemed by the FDA to pose the greatest risks, such as life sustaining, life supporting or some implantable devices, or devices that have a new intended use, or use advanced technology that is not substantially equivalent to that of a legally marketed device, are placed into Class III.</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Manufacturers of most Class II devices are required to obtain from the FDA a 510(k) clearance for permission to commercially distribute the device. Class III devices require approval of a PMA application evidencing safety and effectiveness of the device.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Under the 510(k) process, applicants must demonstrate to the FDA that the device is as safe and effective as, or substantially equivalent to, a legally marketed device, the "predicate" device.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Applicants must submit performance data to establish substantial equivalence. In some instances, data from human clinical trials must also be submitted in support of a 510(k) pre-market notification. If so, these data must be collected in a manner that conforms to the applicable Investigational Device Exemption ("IDE") regulations. If the FDA agrees that the device is substantially equivalent to a lawfully marketed predicate device, it will grant 510(k) clearance to authorize the device for commercialization. If the FDA determines that the device is "not substantially equivalent," the device is automatically designated as a Class III device. The device sponsor must then fulfill more rigorous PMA requirements, or can request a risk-based classification determination for the device in accordance with the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classification process, which is a route to market for novel medical devices that are low to moderate risk and are not substantially equivalent to a predicate device.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After a device receives 510(k) clearance, any modification that could significantly affect its safety or effectiveness, or that would constitute a major change or modification in its intended use, will require a new 510(k) clearance or, depending on the modification, PMA approval or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The FDA requires each manufacturer to determine whether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proposed change requires submission of a 510(k),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request or a PMA in the first instance, but the FDA can review any such decision and disagree with a manufacturer’s determination. If the FDA disagrees with a manufacturer’s determination not to seek a new 510(k) or other form of marketing authorization for the modification to the 510(k)-cleared product, the FDA can require the manufacturer to cease marketing and/or request the recall of the modified device until 510(k) clearance or PMA approval is obtained or a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classification is granted.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PMA application process, the applicant must demonstrate to the satisfaction of the FDA that the device is safe and effective for its intended use. This approval process applies to most Class III devices, and generally requires clinical data to support the safety and effectiveness of the device, obtained in adherence with IDE requirements. Following receipt of a PMA application, the FDA determines whether the application is sufficiently complete to permit a substantive review. If FDA accepts the application for review, it has 180 days under the FDC Act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facilities to ensure compliance with the QMSR,. 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Certain changes to an approved device, such as changes in manufacturing facilities, methods, or quality control procedures, or changes in the design performance specifications, which affect the safety or effectiveness of the device, require submission of a PMA supplement, or in some cases a new PMA.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After a device is cleared or approved or otherwise authorized for marketing, numerous pervasive regulatory requirements continue to apply unless explicitly exempt. These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establishment registration and device listing with the FDA;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QMSR requirements, which require manufacturers, including third-party manufacturers, to follow stringent design, testing, control, documentation and other quality assurance procedures during all aspects of the design and manufacturing process;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clearance or approval of product modifications to 510(k)-cleared devices that could significantly affect safety or effectiveness or that would constitute a major change in intended use of cleared devices;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correction, removal and recall reporting regulations, which require that manufacturers report to the FDA field corrections and product recalls or removals if undertaken to reduce a risk to health posed by the device or to remedy a violation of the FDC Act that may present a risk to health;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complying with requirements governing Unique Device Identifiers on devices and also requiring the submission of certain information about each device to the FDA's Global Unique Device Identification Database;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FDA's recall authority, whereby the agency can order device manufacturers to recall from the market a product that is in violation of governing laws and regulations;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post-market surveillance activities and regulations, which apply when deemed by the FDA to be necessary to protect public health or to provide additional safety and effectiveness data for the device.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Post-Market Enforcement in the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FDA may withdraw marketing authorizations for drugs or medical devices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 new safety information, imposition of post-market studies or clinical studies to assess new safety risks, or imposition of distribution restrictions or other restrictions. Other potential consequences include, among other things: complete withdrawal of the product from the market, product recalls, fines, warning letters, untitled letters, clinical holds on clinical studies, refusal of the FDA to approve pending applications or supplements to approved applications, product seizures or detention, refusal to permit the import or export of products, consent decrees, corporate integrity agreements, debarment or exclusion from federal healthcare programs, the issuance of corrective information, injunctions, or the imposition of civil or criminal penalties.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FDA closely regulates the marketing, labeling, advertising and promotion of medical devices. A company can make only those claims relating to safety and efficacy, that are cleared or approved by the FDA and in accordance with the provisions of the authorized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Regulation of Medical Devices in the European Union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European Union ("EU") has adopted specific directives and regulations regulating the design, manufacture, clinical investigation, conformity assessment, labeling and adverse event reporting for medical devices.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Until May 25, 2021, medical devices were regulated by Council Directive 93/42/EEC (the "EU Medical Devices Directive") which has been repealed and replaced by Regulation (EU) No 2017/745 (the "EU Medical Devices Regulation"). Our current certificates have been granted under the EU Medical Devices Directive. In accordance with the EU Medical Devices Regulation’s recently extended transitional provisions, both (i) devices lawfully placed on the market pursuant to the EU Medical Devices Directive prior to May 26, 2021 and (ii) legacy devices lawfully placed on the EU market after May 26, 2021 in accordance with the EU Medical Devices Regulation transitional provisions may generally continue to be made available on the market or put into service, provided that the requirements of the transitional provisions are fulfilled as may be assessed by the notified body. However, even in this case, manufacturers must comply with a number of new or reinforced requirements set forth in the EU Medical Devices Regulation with regard to registration of economic operators and of devices, post-market surveillance and vigilance requirements.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EU, there is currently no premarket government review of medical devices. However, the EU requires that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general safety and performance requirements as a practical matter as it creates a rebuttable presumption that the device satisfies that general safety and performance requirements.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Compliance with the general safety and performance requirements of the EU Medical Devices Regulation is a prerequisite for European Conformity marking (“CE mark”) without which medical devices cannot be marketed or sold in the EU. To demonstrate compliance with the general safety and performance requirements, medical device manufacturers must undergo a conformity assessment procedure, which varies according to the type of medical device and its (risk) classification. As a general rule, demonstration of conformity of medical devices and their manufacturers with the general safety and performance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Except for low-risk medical devices (Class I), where the manufacturer can issue an EC declaration of conformity based on a self-assessment of the conformity of its products with the general safety and performance requirements (except for any parts which relate to sterility, metrology or reuse aspects),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(notified body must presume that quality systems which implement the relevant harmonized standards – which is ISO 13485:2016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Medical Devices Quality Management Systems – conform to these requirements).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Throughout the process of the product authorization in accordance with the EU Medical Devices Directive, the manufacturer will be subject to, by the notified body, periodic surveillance audits and other certifications to verify continued compliance with the applicable requirements of the EU Medical Devices Directive. Among other activities, in particular, there will be a new audit by the notified body before it will renew the relevant certificate(s).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EU Medical Devices Regulation requires that before placing a device, other than a custom-made device, on the market, manufacturers (as well as other economic operators such as authorized representatives and importers) must register by submitting identification information to the electronic system ("Eudamed"), unless they have already registered. The information to be submitted by manufacturers (and authorized representatives) also includes the name, address and contact details of the person or persons responsible for regulatory compliance. The new Regulation also requires that before placing a device, other than a custom-made device, on the market, manufacturers must assign a unique identifier to the device and provide it along with other core data to the unique device identifier ("UDI") database. These new requirements aim at ensuring better identification and traceability of the devices. Each device – and as applicable, each package – will have a UDI composed of two parts: a device identifier ("UDI-DI") specific to a device, and a production identifier ("UDI-PI") to identify the unit producing the device. Manufacturers are also notably responsible for entering the necessary data on Eudamed, which includes the UDI database, and for keeping it up to date. The obligations for registration in Eudamed will become applicable on May 28, 2026 (for the four first modules related to (i) economic actor and (ii) UDI/devices registrations, (iii) notified bodies and certificates, and (iv) market surveillance). Until Eudamed is fully functional, the corresponding provisions of the EU Medical Devices Directive continue to apply for the purpose of meeting the obligations laid down in the provisions regarding exchange of information, including, and in particular, information regarding registration of devices and economic operators.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manufacturers placing medical devices on the market in the EU must comply with the EU medical device vigilance system which has been reinforced by the EU Medical Devices Regulation. Under this system, serious incidents and Field Safety Corrective Actions ("FSCAs") must be reported to the relevant authorities of the EU member states. These reports will have to be submitted through Eudamed – once functional – and aim to ensure that, in addition to reporting to the relevant authorities of the EU member states, other actors such as the economic operators in the supply chain will also be informed. Until Eudamed is fully functional, the corresponding provisions of the EU Medical Devices Directive continue to apply. Manufacturers are required to take FSCAs, which are defined as any corrective action for technical or medical reasons to prevent or reduce a risk of a serious incident associated with the use of a medical device that is made available on the market. A serious incident is any malfunction or deterioration in the characteristics or performance of a device on the market (e.g., inadequacy in the information supplied by the manufacturer, undesirable side-effect), which, directly or indirectly, might lead to either the death or serious deterioration of the health of a patient, user, or other persons, or to a serious public health threat. An FSCA may include the recall, modification, exchange, destruction or retrofitting of the device. FSCAs must be communicated by the manufacturer or its legal representative to its customers and/or to the end users of the device through Field Safety Notices. For similar serious incidents that occur with the same device or device type and for which the root cause has been identified or a FSCA implemented or where the incidents are common and well documented, manufacturers may provide periodic summary reports instead of individual serious incident reports.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advertising and promotion of medical devices are subject to some general principles set forth in EU legislation. According to the EU Medical Devices Regulation, only devices that are CE 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EU member states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U.S., on medical device manufacturers. Certain countries also mandate implementation of commercial compliance programs.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EU, regulatory authorities have the power to carry out announced and, if necessary, unannounced inspections of companies, as well as suppliers and/or sub-contractors and, where necessary, the facilities of professional users. Failure to comply with regulatory requirements (as applicable) could require time and resources to respond to the regulatory authorities’ observations and to implement corrective and preventive actions, as appropriate. Regulatory authorities have broad compliance and enforcement powers and, if such issues cannot be resolved to their satisfaction, can take a variety of actions, including untitled or warning letters, fines, consent decrees, injunctions, or civil or criminal penalties.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aforementioned EU rules are generally applicable in the European Economic Area ("EEA") which consists of the 27 EU member states plus Norway, Liechtenstein and Iceland. Pursuing marketing of medical devices in the EU will notably require that our devices be certified under the new regime set forth in the EU Medical Devices Regulation and comply with the requirements of notified bodies. We are currently complying with the new regulations and working closely with our notified bodies.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Manufacturing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must also comply with FDA and International Organization for Standardization ("ISO") governing medical device manufacturing practices. The FDA, state, foreign agencies and ISO require manufacturers to register and subject manufacturers to periodic FDA, state, foreign agencies and notified bodies and ISO inspections and audits of their manufacturing facilities. We are a FDA and ISO registered medical device manufacturer, and must demonstrate that we and our contract manufacturers comply with the FDA's QMSR, cGMPs and similar foreign requirements. The FDA, other regulatory agencies and notified bodies outside the U.S. monitor compliance with these requirements through inspections and audits of manufacturing facilities. If an inspector observes conditions that might be violative, the manufacturer must correct those conditions or explain them satisfactorily, or face potential regulatory action that might include physical removal of the product from the marketplace.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Healthcare Laws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additional healthcare regulation and enforcement by the federal government and by authorities in the states and foreign jurisdictions in which we conduct our business. These laws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the federal Anti-Kickback Statute or specific intent to violate it to have committed a violation;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federal false claims laws which prohibit, among other things, individuals or entities from knowingly presenting, or causing to be presented, claims for payment from Medicare, Medicaid or other federal third-party payors that are false or fraudulent. In addition, the government may assert that a claim including items or services resulting from a violation of the federal Anti-Kickback Statute constitutes a false or fraudulent claim for purposes of the False Claims Act;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federal criminal laws that prohibit executing a scheme to defraud any federal healthcare benefit program or making false statements relating to healthcare matters. Similar to the federal Anti-Kickback Statute, a person or entity does not need to have actual knowledge of the statute or specific intent to violate it to have committed a violation;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federal Health Insurance Portability and Accountability Act of 1996, as amended by the Health Information Technology for Economic and Clinical Health Act, which governs the conduct of certain electronic healthcare transactions and protects the security and privacy of protected health information;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federal Physician Payment Sunshine Act, which requires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or other "transfers of value" made to physicians (defined to include doctors, dentists, optometrists, podiatrists and chiropractors), certain non-physician health care professionals (physician assistants, nurse practitioners, clinical nurse specialists, anesthesiologist assistants, certified registered nurse anesthetists, and certified nurse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midwives), and teaching hospitals and ownership and investment interests held by the physicians described above and their immediate family members;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analogous state and foreign law equivalents of each of the above federal laws, such as anti-kickback and false claims laws which may apply to items or services reimbursed by any third-party payor, including commercial insurers; state laws that require pharmaceutical and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track and report information related to payments and other "transfers of value" to physicians and other healthcare providers or pricing, marketing expenditures and information.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Violations of any of the laws described above include civil and criminal penalties, damages, fines, the curtailment or restructuring of an entity’s operations, the debarment, suspension or exclusion from federal and state healthcare programs and/or imprisonment.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Coverage and Reimbursement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profitability and operations are subject to changes in legislative, regulatory and reimbursement policies and decisions as well as changes in private payer reimbursement coverage and payment decisions and policies. Our products are purchased by hospitals, physicians and other healthcare providers that typically bill various third-party payors, such as governmental programs, private insurance plans and managed care plans, for the healthcare services and products provided to their patients. The ability of our customers to obtain appropriate coverage and reimbursement for healthcare services and products from third-party payors is critical because it affects which products customers purchase and the prices they are willing to pay since our products are not separately reimbursed by any third-party payor. Third-party payors are increasingly reducing coverage and reimbursement for certain healthcare services and products and challenging prices charged for healthcare services and products.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Health Care Reform in the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U.S., there have been, and we expect that there will continue to be, a number of federal and state proposals to limit payments by governmental payors for medical devices, and the procedures in which medical devices are used. For example, in March 2010, comprehensive healthcare reform legislation was enacted through the passage of the Patient Protection and Affordable Care Act, as amended by the Health Care and Education and Reconciliation Act (the "ACA"), which,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other legislative changes have been proposed and adopted since the Affordable Care Act was enacted. On August 2, 2011, the Budget Control Act of 2011 was signed into law, which, among other things, included reductions to Medicare payments to providers, which went into effect on April 1, 2013, and will stay in effect through 2032, with the exception of a temporary suspension from May 1, 2020 through March 31, 2022 unless additional Congressional action is taken. On January 2, 2013, the American Taxpayer Relief Act of 2012, was signed into law, which, among other things, further reduced Medicare payments to several providers, including hospitals. More recently, the One Big Beautiful Bill Act (“OBBBA”), which was enacted in July 2025, imposes significant reductions in the funding of the Medicaid program. Such reductions are expected to decrease the number of persons enrolled in Medicaid and reduce the services covered by Medicaid, which could adversely affect our sales of our products. We cannot predict whether future healthcare initiatives will be implemented at the federal or state level or internationally, or the effect any future legislation or regulation will have on us. Such legislation and regulation of healthcare costs may, however, result in decreased lower reimbursements by governmental and private payors to our customers, which may adversely affect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EU Healthcare Reform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healthcare reform measures in the EU may be adopted in the future as well. For instance, in December 2021, Regulation (EU) No 2021/2282 on Health Technology Assessment (“HTA”) amending Directive 2011/24/EU,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adopted. The Regulation entered into force in January 2022 and has been applicable since January 2025, with phased implementation based on the type of product i.e., certain high-risk medical devices as of 2026. The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Data Privacy and Security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Medical device companies may be subject to U.S. federal and state and foreign data privacy, security and data breach notification laws governing the collection, use, disclosure and protection of health-related and other personal information. In the U.S.,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industry is highly competitive. We believe our ability to effectively compete in this industry is determined by our ability to provide a wide breadth of cost-effective, high quality products. We believe the added breadth of our acquired product portfolios have increased our competitiveness as we can now provide a one-stop shop for customers and offer more flexible competitive pricing. We also believe our infusion pump product offering will enable us to achieve sales of a larger volume of higher margin infusion consumables, and we believe we have a wider customer reach through our unified distribution channels.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Consumables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ability to effectively compete in the Consumables market depends upon our ability to differentiate our products based on continued innovation, safety, quality, convenience, reliability, patent protection, ease of use and the pricing of our products, in addition to the access to distribution channels. We encounter significant competition in this market both from global, large, established medical device manufacturers and from smaller companies. We compete with products and systems marketed by Becton Dickinson ("BD"), Baxter International ("Baxter"), B. Braun Medical, Inc. ("B. Braun"), Angiodynamics, Teleflex, EquaShield and Medtronic.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Infusion Systems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face strong global competitors in the Infusion Systems market. In the U.S. our competitors include BD, Baxter, B. Braun, Moog Medical, and Fresenius Kabi, a division of Fresenius Group. Outside of the U.S., our primary competitors are BD, B. Braun, Fresenius, and a large number of local market pump manufacturers. These competitors benefit from greater financial, research and development and marketing resources than we have. The smart pump market in recent years has been troubled with security concerns and product recalls. We believe our ability to effectively compete will be determined by our ability to build our brand strength using the development of technological advancements aimed at increasing the quality, reliability, safety and security of our pumps while at the same time focusing on manufacturing efficiency and cost-effectiveness, which are operationally challenging with evolving product lines.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Vital Care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products that we sell and distribute on behalf of the joint venture are sold in the U.S. and Canada and compete in the U.S. with Baxter and B. Braun.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other Vital Care products compete with numerous competitors due to our broad product portfolio. Our primary competitors include Edwards Lifesciences, Belmont, Medical Technologies and Intersurgical plc.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compete in this market will depend on our ability to continue to make technological advances to our products, thereby increasing customer efficiency, and our ability to provide product support and successful customer training aimed at improving clinical decision-making that ultimately enhances patient safety and focuses on demonstrable patient outcomes.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Patents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product lines rely on patent protection. We have obtained U.S. and foreign patents relating to certain of the technologies found in our products, and are pursuing additional patent applications. There is however, no single patent or group of patents that we own that we believe is material in relation to our business as a whole.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will depend in part on our ability to obtain, maintain and enforce patent protection for our products and to operate without infringing on the proprietary rights of third parties. While we have obtained certain patents and applied for additional U.S. and foreign patents covering certain of our products, there is no assurance that the scope of any patent protection will prevent competitors from introducing similar or competing devices or that any of our patents will be held valid if subsequently challenged. We can also lose patent protection through expiration. The inability to obtain effective patent protection or the loss of patent protection on a specific product line could adversely affect our ability to exclude other companies from producing effective competitive products. The loss of a significant portion of our patent portfolio could have an adverse impact on our financial results.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fact that a patent is issued to us does not eliminate the possibility that patents owned by others may contain claims that are infringed by our products.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has been substantial litigation regarding patent and other intellectual property rights in the medical device industry. Litigation, which would result in substantial cost to us and diversion of our resources, may be necessary to defend us against claimed infringement of the rights of others and to determine the scope and validity of the proprietary rights of others. Adverse determinations in such litigation could subject us to significant liabilities to third parties or could require us to seek licenses from third parties and could prevent us from manufacturing, selling or using our products, any of which could have a material adverse effect on our business. In addition, we have initiated litigation, and may continue to initiate litigation in the future, to enforce our intellectual property rights against those we believe to be infringing on our patents.  Such litigation could result in substantial cost and diversion of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Seasonality/Quarterly Results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is not significantly impacted by seasonal aspects. We can, however, experience fluctuations in net sales as a result of variations in the ordering patterns of our largest customers, which can be driven by global health crisis or pandemics, as well as fluctuations due to supply constraints as a result of other macroeconomic and global geopolitical events. Our expenses do not typically fluctuate in the same manner as net sales, which may cause fluctuations in operating income that are disproportionate to fluctuations in our revenue.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invest in certain research and development ("R&amp;D") projects to drive future growth and to remain competitive in our product lines. Our main R&amp;D facilities are located in the U.S and India. Our R&amp;D costs primarily relate to headcount and employment expense in support of the ongoing development of new products. Research and development costs were $87.5 million in 2025, $88.6 million in 2024 and $85.3 million in 2023.</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employees are the foundation of our business and are key to executing our strategy globally. The knowledge, skills and abilities of our workforce is paramount in upholding our mission of connecting patients and caregivers through safe, life-saving, life enhancing IV therapy products, systems, and services.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the health and well-being of our employees are cornerstones for our successful operations. Whether you are a machine operator in one of our manufacturing locations, a material handler in a distribution center, a service technician supporting our products in the field, or a clinician training customers on the use of our products in a hospital, we strive to prioritize the safety of our team members. This includes designing our work environments intended to prioritize safety first, providing personal protective equipment and safety training beginning day one.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attract and retain talented individuals globally begins with our commitment to offer a career that gives people a unique opportunity to work in an exhilarating, fast-paced, inspiring, and collaborative environment where what they do makes a difference. We believe we offer competitive salaries and benefit packages to our employees as well as select participation in incentive plans based on individual and company performance.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the development of our workforce is critical for personal growth and the success of our company as well. We reinforce this with challenging, yet rewarding assignments, continued learning and training programs through our global iLearning platform, and support continued education globally through tuition reimbursement programs. Our team believes in collaboration and removing barriers to communication—all with the goal of creating an environment where innovation and creativity can flourish. This is principal for us in attracting, developing, retaining and rewarding talent on a global scale.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Finally, we believe that our leadership team, with its broad, and deep category knowledge and averaging approximately 23 years of experience in IV therapy has the necessary experience to effectively lead the execution of our strategy.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December 31, 2025, we had approximately 13,000 employees located in over 35 countries.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Geographic Data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regarding financial data by geography is set forth in Part II, Item 8. "Financial Statements and Supplementary Data" of this Annual Report on Form 10-K in Notes [4] and [5] to the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website address is http://www.icumed.com. We make available our Annual Reports on Form 10-K, Quarterly Reports on Form 10-Q and Current Reports on Form 8-K and other filings and amendments thereto those reports, free of charge on our website as soon as reasonably practicable after filing or furnishing them with the Securities and Exchange Commission ("SEC"). We also have our code of ethics posted on our website (http://www.icumed.com). The information on our website is not incorporated into this Annual Report on Form 10-K. We use our Investor Relations website as a means of disclosing material information. Accordingly, investors should monitor our Investor Relations website, in addition to following our press releases, SEC filings, and public conference calls and webcasts.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SEC maintains an Internet site that contains reports, proxy and information statements, and other information regarding issuers that file electronically with the SEC on its website (http://www.sec.gov).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evaluating an investment in our common stock, investors should consider carefully, among other things, the following risk factors, as well as the other information contained in this Annual Report on Form 10-K and our other reports and registration statements filed with the SEC. Any of the following risks could materially and adversely affect our results of operations or financial condition.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 and Other External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If we are unable to compete successfully with our competitors, we may be unable to maintain market share, in which case our sales may not grow and our profitability may be adversely affected.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consumable medical device segment of the health care industry and in particular the infusion products market is intensely competitive and continues to experience both horizontal and vertical consolidation. We believe that our ability to compete depends upon numerous factors including, among other things, continued product innovation, the quality, convenience and reliability of our products, including demand for more environmentally friendly products and focus on using materials of concern, access to distribution channels, patent protection and pricing. The ability to compete effectively depends on our ability to differentiate our products based on these factors, as well as our ability to perceive and respond to changing customer needs. We encounter significant competition in our markets both from large established medical device manufacturers and from smaller companies. Many of these companies have introduced competitive products with features not provided by the conventional products and methods they are intended to replace. Most of our current and prospective competitors have economic and other resources substantially greater than ours and are well established in the healthcare industry. Several large, established competitors offer broad product lines and have been successful in obtaining full-line contracts with a significant number of hospitals and group purchasing organizations to supply all of their infusion product requirements. Due to the highly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competitive nature of the group purchasing organizations ("GPOs") or integrated delivery networks ("IDNs") contracting processes, we may not be able to obtain or maintain contract positions with major GPOs and IDNs across our products portfolio. Furthermore, the increasing leverage of organized buying groups may reduce market prices for our products thereby affecting our profitability. While having a contract with a GPO or IDN can facilitate sales to members of that GPO or IDN, it is no assurance that the sales volume of those products will be maintained. The members of such groups may choose to purchase from our competitors due to the price or quality offered by such competitors, which could result in a decline in our sales and profitability. In addition, distributors of our products may begin to negotiate terms of sale more aggressively in an effort to increase their profitability. Failure to negotiate distribution arrangements having advantageous pricing or other terms of sale could adversely affect our results of operations and financial condition. In addition, if we fail to implement distribution arrangements successfully, it could cause us to lose market share to our competitors. Moreover, there is no assurance that our competitors will not substantially increase resources devoted to the development, manufacture and marketing of products competitive with our products. The successful implementation of such a strategy by one or more of our competitors could materially and adversely affect us.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If demand for our products were to decline significantly, we might not be able to recover the cost of our expensive automated molding and assembly equipment and tooling, which could have an adverse effect on our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production tooling is relatively expensive, with each "module," which consists of an automated assembly machine and the molds and molding machines that mold the components, costing several million dollars. The modules are utilized for certain products. If the demand for these products changes significantly, which could happen with the loss of customers or a change in product mix, it may be necessary for us to recognize an impairment charge for the value of the production tooling because its cost may not be recovered through production of saleable product, which could adversely affect our financial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been and will be ordering production molds and equipment for our new products. We expect to order semi-automated or fully automated assembly machines for certain products in 2026. If we do not achieve significant sales of these new/transitioned products, it might be necessary for us to recognize an impairment charge for the value of the production tooling because its costs may not be recovered through production of saleable product, which could adversely affect our financial condition.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Product development requires substantial investment that may be difficult for us to fund and may be challenging to recover through commercial product sales.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Innovations generally require a substantial investment in product development before we can determine their commercial viability, and we may not have the financial resources necessary to fund these innovations. Even if we succeed in creating new product candidates from these innovations, we may still fail to successfully commercialize such products. The success of new medical device products depends on several factors, including our ability to anticipate and meet customers' or patients' needs, obtain timely regulatory approvals, clearances or certifications, and manufacture quality products in an economic and timely manner. Even if we are able to develop successful new products or enhancements, we may not produce sales exceeding the costs of development, and we may not avoid infringing the proprietary rights of third parties. Moreover, innovations may not be successful due to difficulties encountered in achieving positive clinical outcomes, meeting safety, efficacy or other regulatory requirements of government agencies or notified bodies, or obtaining favorable pricing on those products. Finally, innovations may not be accepted in the marketplace quickly or at all because of, among other things, entrenched patterns of clinical practice and uncertainty over third-party reimbursement.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If we do not successfully develop and commercialize enhanced or new products that remain competitive with new products or alternative technologies developed by others, we could lose revenue opportunities and customers, and our ability to grow our business would be impaired.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medical device industry is characterized by rapid product development and technological advances, which places our products at risk of obsolescence. Our long-term success and profit margins depend upon the development and successful commercialization of new products, new or improved technologies and additional applications of our technology. The research and development process is time-consuming and costly, and may not result in products or applications that we can successfully commercialize.  We can give no assurance that we will be able to successfully develop and commercialize enhanced or new products or that they will be accepted in the marketplace. Even if we successfully develop and commercialize enhanced or new products, they may be quickly rendered obsolete by competitors’ innovations, changing customer preferences, or changing industry or regulatory standards.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Cost volatility or loss of supply of our raw materials could have an adverse effect on our profitability.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Most of the materials used in our products are resins, plastics and other material that depend upon oil or natural gas as their raw material. Crude oil and natural gas prices have been volatile in recent years. Crude oil markets have historically been affected by political uncertainty in the Middle East and more recently, by the conflict in Ukraine. As the current conflict in the Middle East and Ukraine continues and geopolitical tensions rise in the region or globally, there is no assurance that crude oil supplies will not be interrupted or crude oil prices will not rise in the future. New laws or regulations adopted in response to climate change could also increase energy costs as well as the costs of certain raw materials and components. Any such regulations or interruptions could have an adverse effect on our ability to produce, or the cost to produce, our products. Our suppliers have historically passed some of their cost increases on to us, and if such prices are sustained or increase further, our suppliers may pass further cost increases on to us. In addition to the effect on resin prices, transportation costs have increased because of the effect of higher crude oil prices, and we believe most of these costs have been passed on to us. Our ability to recover these increased costs may depend upon our ability to raise prices on our products. In certain cases, we may be unable to pass along increased costs to our customers if they are under long-term fixed price contracts. In the past, we have rarely raised prices and it is uncertain that we would be able to raise them to recover higher prices from our suppliers. Our inability to raise prices in those circumstances, or to otherwise recover these costs, could have an adverse effect on our profitability.</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If we cannot obtain additional custom tooling and equipment on a timely basis to enable us to meet demand for our products, we might be unable to increase our sales or might lose customers, in which case our sales could decline.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expanded our manufacturing capacity substantially in recent years, and we expect that continued expansion may be necessary. Molds and automated assembly machines generally have a long lead-time with vendors, often nine months or longer. Inability to secure such tooling in a timely manner, or unexpected increases in production demands, could cause us to be unable to meet customer orders. Such inability could cause customers to seek alternatives to our products, which would adversely affect our sales.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Heightened inflation, higher interest rates and foreign currency rate fluctuations as a result of global macroeconomic and geopolitical conditions have had and could in the future have a material adverse effect on our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Global macroeconomic conditions and geopolitical tensions and resulting impacts therefrom, for example, heightened inflation, higher interest rates and capital costs, and currency rate fluctuations have resulted in, and may continue to result in, increased raw material costs, higher shipping costs, higher labor costs, and global supply chain disruptions. In 2022, we experienced these supply chain disruptions, increased raw material costs and shipping costs, as prices on several commodities, including oil and gas, increased as a result of the conflict in Ukraine and its impact on the global economy. Although these costs were less volatile in 2025 and 2024, we may continue to experience these inflationary increases in our manufacturing costs and operating expenses, including higher materials and labor costs, as well as negative impacts on our operating results from the strengthening of the U.S. dollar relative to foreign currencies weakening exchange rates. See the risk factor titled “Our operations may be adversely impacted by our exposure to risks related to foreign currency exchange rates” under the “Geographic Risks” subsection for a discussion of risks related to foreign currency exchange rates.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majority of our sales are conducted pursuant to long-term contracts. Our efforts to minimize the impact of inflation on our business through contractual protections may not prove effective, and the presence of longer pricing periods within our contracts along with sustained or higher than anticipated inflation increases the likelihood that the contract protections do not adequately mitigate the financial impact of inflation. If our contractual protections do not adequately protect us in the context of substantial cost increases and inflationary pressures, it could have a material adverse effect on our results of operations. Heightened inflation may also reduce or delay orders for our products and for certain products we may be unable to satisfy demand, both of which could have a material adverse impact on our sales and results of operations.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Our operating results may be adversely affected by unfavorable economic conditions that affect our customers’ ability to buy our products and our suppliers' demand for payment terms.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Disruptions in financial markets worldwide and other worldwide macro-economic challenges have caused and may in the future cause our customers and suppliers to experience cash flow concerns. If job losses and the resulting loss of health insurance and personal savings cause individuals to forego or postpone treatment, the resulting decreased hospital use could affect the demand for our products.</w:t>
      </w:r>
      <w:r>
        <w:rPr>
          <w:color w:val="000000"/>
        </w:rPr>
        <w:t xml:space="preserve"> </w:t>
      </w:r>
      <w:r>
        <w:rPr>
          <w:rFonts w:ascii="Times New Roman;serif" w:hAnsi="Times New Roman;serif"/>
          <w:b w:val="false"/>
          <w:color w:val="000000"/>
          <w:sz w:val="20"/>
        </w:rPr>
        <w:t xml:space="preserve">As a result, customers may modify, delay or cancel plans to purchase our products and suppliers may increase their prices, reduce their output or change terms of sales. Additionally, if customers’ or suppliers’ operating and financial performance deteriorates, or if they are unable to make scheduled payments or obtain credit, customers may not be able to pay, or may delay payment of, accounts receivable owed to us and suppliers may impose different 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terms that are less favorable to us. Any inability of current and/or potential customers to pay us for our products or any demands by suppliers for different payment terms may adversely affect our earnings and cash flow.</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Continuing pressures to reduce healthcare costs and inadequate coverage and reimbursement may adversely affect our prices and volume. If we cannot reduce manufacturing costs of existing and new products to counteract such pricing pressures, our sales may not grow and our profitability may decline.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Increasing awareness of healthcare costs, public interest in healthcare reform and continuing pressure from Medicare, Medicaid, GPOs and other payors, both domestic and international, to reduce costs in the healthcare industry, as well as increasing competition from other protective products, could make it more difficult for us to sell our products at current prices. Our products are purchased by hospitals, physicians and other healthcare providers that typically bill various third-party payors, such as governmental programs, private insurance plans and managed care plans, for the healthcare services and products provided to their patients. The ability of our customers to obtain appropriate coverage and reimbursement for healthcare services and products from third-party payors is critical because it affects the kinds of products customers purchase and the prices they are willing to pay. Because there is often no separate reimbursement for supplies used in surgical procedures, the additional cost associated with the use of our products can affect the profit margin of the hospital or surgery center where the procedure is performed. Some of our target customers may be unwilling to adopt our products in light of the additional associated cost. Further, any decline in the amount payors are willing to reimburse our customers could make it difficult for existing customers to continue using or to adopt our products and could create additional pricing pressure for us. If we are forced to lower the price we charge for our products or if the costs to manufacture our products exceeds the price at which we are able to sell our products, our gross margins will decrease, which could have a material adverse effect on our business, financial condition and results of operations and impair our ability to grow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Third-party payors are developing increasingly sophisticated methods of controlling healthcare costs. In addition, no uniform policy of coverage and reimbursement for procedures using our products exists among third-party payors. Therefore, coverage and reimbursement for procedures using our products can differ significantly from payor to payor. Payors continually review new and existing technologies for possible coverage and can, without notice, deny or reverse coverage for new or existing products and procedures. There can be no assurance that third-party payor policies will provide coverage for procedures in which our products are used. If we are not successful in reversing existing non-coverage policies, or if third-party payors that currently cover or reimburse our products and related procedures reverse or limit their coverage in the future, or if other third-party payors issue similar policies, this could have a material adverse effect on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we believe that future coverage and reimbursement may be subject to increased restrictions, such as additional prior authorization requirements. Third-party coverage and reimbursement for procedures using our products or any of our products in development for which we may receive regulatory approval or certification may not be available or adequate, which could have an adverse effect on our business, financial condition and results of operations and impair our ability to grow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Implementation of further legislative or administrative reforms in the reimbursement system in the U.S. and abroad or adverse decisions relating to coverage or reimbursement could have an impact on acceptance of and demand for our products and the prices that our customers are willing to pay for them. In the event that the market will not accept current prices for our products, our sales and profits could be adversely affected. We believe that our ability to increase our market share and operate profitably in the long term may depend in part on our ability to reduce manufacturing costs on a per unit basis through high volume production using highly automated molding and assembly systems. If we are unable to reduce unit manufacturing costs, we may be unable to increase our market share for our products or may lose market share to alternative products, including competitors’ products. Similarly, if we cannot reduce unit manufacturing costs of new products as production volumes increase, we may not be able to sell new products profitably or gain any meaningful market share. Any of these results would adversely affect our future results of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Disruptions at the FDA, other government agencies or notified bodies caused by funding shortages, policy changes, or personnel turnover could hinder their ability to hire, retain, or deploy key leadership and other personnel, or otherwise prevent new or modified products from being developed, cleared, approved, certified, or commercialized in a timely manner, or at all, which could negatively impact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ability of the FDA, foreign regulatory authorities and notified bodies to review and approve or certify new products can be affected by a variety of factors, including government budget and funding levels, statutory, regulatory and policy changes, a government agency's ability to hire and retain key leadership and other personnel and accept the payment of user fees, and other events that may otherwise affect the government's ability to perform routine functions. Average review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times at the FDA, other government agencies, foreign regulatory authorities and notified bodies have fluctuated in recent years as a result. In addition, government funding of other government agencies that fund research and development activities is subject to the political process, which is inherently fluid and unpredictable. For example, in recent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 If a prolonged government shutdown occurs, or if funding shortages, policy modifications, staffing limitations or similar factors hinder or prevent the FDA or other regulatory authorities from conducting their regular inspections, reviews, or other regulatory activities, such events could significantly impact the ability of the FDA or other such regulatory authorities to timely review and process our regulatory submissions, which could have a material adverse effect on our business.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instance, in the European Union ("EU"), notified bodies must be officially designated to certify products and services in accordance with the EU Medical Devices Regulation. Their designation process, which is significantly stricter under the new Regulation, has experienced considerable delays. Despite a recent increase in designations, the current number of notified bodies designated under the new Regulation remains significantly lower than the number of notified bodies designated under the previous regime. The current designated notified bodies are therefore facing a backlog of requests as a consequence of which review times have lengthened. This situation may impact the way we are conducting our business in the EU and the European Economic Area ("EEA") and the ability of our notified body to timely review and process our regulatory submissions and perform its audits.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Failure to protect our information technology systems against security breaches, service interruptions, or misappropriation of data could disrupt operations, compromise sensitive data, and expose us to liability, possibly causing our business and reputation to suffer.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collect and maintain information in digital form that is necessary to conduct our business, and we depend heavily on information technology infrastructure and systems to achieve our business objectives. In the ordinary course of our business, we collect, store and transmit large amounts of confidential information, including intellectual property, proprietary business information, preclinical and clinical trial data, and personal information (collectively, “Confidential Information”) of customers and our employees and contractors. It is critical that we do so in a secure manner to maintain the confidentiality and integrity of such Confidential Information. Any incident that impairs or compromises this infrastructure, including security breaches, malicious attacks or more general service interruptions, could impede our ability to process orders, manufacture and ship product in a timely manner, protect sensitive data and otherwise carry on business in the normal course. Any such events could result in the loss of customers, revenue, or both, and could require us to incur significant expense to remediate, including legal claims or proceedings. Further, as cybersecurity related incidents continue to evolve, and regulatory focus on these issues continues to expand, additional investment in protective measures, and vulnerability remediation, may be required.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execute our business strategy depends, in part, on the continued and uninterrupted performance of our information technology systems and those of our third-party service providers, strategic partners and other contractors or consultants, which support our operations. Despite the implementation of security measures, our information technology systems, and those of third parties on which we rely, are vulnerable to attack, interruption and damage from, among others, computer viruses, malware (e.g. ransomware), misconfigurations, “bugs” or other vulnerabilities, malicious code, natural disasters, terrorism, war, telecommunication and electrical failures, hacking, cyber-attacks or cyber-intrusions over the Internet, phishing and other social engineering schemes, human error, theft or misuse by persons inside our organization, or persons with access to systems inside our organization, fraud, denial or degradation of service attacks and sophisticated nation-state and nation-state-supported actors or similar disruptive problems. We have also outsourced elements of our information technology infrastructure, and as a result a number of third-party vendors may or could have access to our confidential information. 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Because the techniques used to obtain unauthorized access, disable or degrade service, or sabotage systems change frequently and often are not foreseeable or recognized until launched against a target, we may be unable to anticipate these techniques or to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(including artificial intelligence) that are designed to circumvent controls, to avoid detection, and to remove or obfuscate forensic evidence. There can also be no assurance that our and our third-party service providers’, strategic partners’, contractors’, consultants’, CROs’ and collaborators’ cybersecurity risk management program and processes, including policies, controls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procedures, will be fully implemented, complied with or effective in protecting our systems, networks and Confidential Information.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and certain of our service providers have been in the past and may from time to time in the future be subject to cyberattacks and security incidents. Data security breaches and other cybersecurity incidents may result from, for example, non-technical means (e.g., actions by employees or contractors), system failure, accident or unauthorized access. Any such security breach may compromise information stored on our networks or those of third parties on which we rely and may result in significant data losses or theft of personally identifiable information. Any compromise of our security could result in a violation of applicable security, privacy or data protection, consumer and other laws, legal claims and proceedings (such as class actions), regulatory or other governmental investigations, enforcement actions, disruption of our internal operations, and financial exposure, including potential contractual liability, fines and penalties, negative reputational impacts that cause us to lose existing or future customers, and/or significant incident response, system restoration or remediation and future compliance costs. A number of proposed and enacted federal, state and international laws and regulations obligate companies to notify individuals of security breaches involving particular personally identifiable information, which could result from breaches experienced by us or by third parties, including collaborators, vendors, contractors or other organizations with which we expect to form strategic relationships. Any such compromise could also result in damage to our reputation and a loss of confidence in our security and privacy or data protection measures. Any of these effects could materially and adversely affect our business, financial condition and results of operations. Our cyber liability insurance may not be sufficient to cover the financial, legal, business or reputational losses that may result from such an interruption or breach. Furthermore, there can be no assurance that our cybersecurity risk management program and processes, including our policies, controls or procedures, will be fully implemented, complied with or effective in protecting our systems and information.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Our business could suffer if we lose the services of key personnel.</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dependent upon the management and leadership of our executive team, as well as other members of our senior management team. If one or more of these individuals were unable or unwilling to continue in his or her present position, our business would be disrupted and we might not be able to find replacements on a timely basis or with the same level of skill and experience, which could have an adverse effect on our business. We do not have "key person" life insurance policies on any of our employees.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price of our common stock has been and may continue to be highly volatile due to many factors.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public equity market can be highly volatile, and we have experienced significant volatility in the price of our common stock in the past. We believe that factors such as quarter-to-quarter fluctuations in financial results, differences between stock analysts’ expectations and actual quarterly and annual results, new product introductions by us or our competitors, acquisitions or divestitures, changing regulatory environments, litigation, changes in healthcare reimbursement policies, sales or the perception in the market of possible sales of common stock by insiders, market rumors, general macroeconomic trends (including as a result of pandemics or other health outbreaks, geopolitical tensions and uncertainties) and substantial product orders could contribute to the volatility in the price of our common stock.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Most of our common stock is held by, or included in accounts managed by, institutional investors or managers. Several of those institutions own or manage a significant percentage of our outstanding shares, with the ten largest interests accounting for approximately 70% of our outstanding shares at the end of 2025. If one or more of the institutions or if our other large stockholders should decide to reduce or eliminate their position in our common stock, it could cause a significant decrease in the price of our common stock.</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i/>
          <w:color w:val="000000"/>
          <w:sz w:val="20"/>
        </w:rPr>
        <w:t>Climate-related events and other events could harm our business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Natural disasters, disease outbreaks and pandemics, power shortages, terrorism, political unrest, telecommunications failure, vandalism, geopolitical instability, war, climate-related events, and other events beyond our control could negatively impact our operations or otherwise harm our business. Such events may result in damage or loss of service to assets that our operations rely on or cause delays in product manufacturing or distribution, any of which may adversely impact our operations.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impacts of climate-related events on the global economy and our industry are rapidly evolving. Physical impacts of climate-related events (including but not limited to floods, droughts, more frequent and/or intense storms and wildfires), or chronic changes (such as droughts, heat waves or sea level changes) in climate patterns can adversely impact our operations, as well as the operations of our suppliers and customers.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 catastrophic event occurs at or near any of our manufacturing facilities or our suppliers’ facilities, or utility providers or public health officials take certain actions (e.g., shut off power to our or our suppliers’ facilities), our operations may be interrupted, which could adversely impact our business and results of operations. Transitions to address climate-related events may subject us to increased regulations, reporting requirements, standards or expectations regarding the environmental impacts of our business. Any of such adverse impacts from these or other climate-related events may also adversely affect our reputation, business, or financial performance.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evolving and varied views on sustainability and environmental, social and governance ("ESG") initiatives could increase our costs, harm our reputation and adversely impact our financial results.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Investors, patients, the media, governmental and nongovernmental organizations and other stakeholders have evolving and varied views on sustainability and ESG matters. We may experience conflicting pressures to make commitments relating to sustainability matters that affect us, including the design and implementation of risk mitigation strategies related to sustainability. Expectations regarding the management of ESG initiatives also continue to evolve. While we may from time to time engage in various initiatives (including but not limited to voluntary disclosures, policies or goals) to improve our ESG profile or respond to certain stakeholder expectations, we cannot guarantee that these initiatives will have the desired effect. If we are not effective in addressing sustainability and ESG matters affecting our business, or setting and meeting relevant goals, our reputation and financial results may suffer. In addition, even if we are effective at addressing such matters, we may experience increased costs as a result of executing upon our sustainability and ESG goals that may not be offset by any benefit to our reputation. Moreover, if we are effective at addressing such matters, we may also attract negative attention from stakeholders and regulators with diverging views on ESG and sustainability. These outcomes could have an adverse impact on our business, operations and financial condition.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operate in various jurisdictions that have adopted or proposed laws and regulations related to sustainability and ESG reporting. For example, we and our subsidiaries may be subject to the European Union’s Corporate Sustainability Reporting Directive ("CSRD"), which requires in-scope entities to provide detailed reporting on various climate change and sustainability topics. For certain U.S. companies with subsidiaries in the EU, CSRD will become effective in 2027 through a phased approach, following the European Parliament’s approval of the Omnibus package on December 16, 2025. Similarly, California’s Climate Corporate Data Accountability Act ("SB 253"), Climate-Related Financial Risk Act ("SB 261"), both of which are being challenged in federal courts, and Voluntary Carbon Market Disclosures Act would respectively require third-party assurance of greenhouse gas emissions information for certain entities, climate-related financial risk reporting and disclosures regarding carbon reduction claims. On November 18, 2025, the U.S. Court of Appeals for the Ninth Circuit granted a motion for an injunction on SB 261, enjoining the California Air Resources Board’s from enforcing SB 261, and scheduled a hearing for January 9, 2026. This decision does not impact SB 253, which is still in effect. The court has yet to decide post-hearing whether to issue a preliminary injunction against SB 261 and/or SB 253, and the case will return to the Central District of California for further proceedings, with summary judgment briefing planned for the summer. We are assessing the necessary measures to comply with the climate-related reporting requirements. We may also be subject to the International Sustainability Standards Board’s sustainability and climate disclosure standards, to the extent adopted by jurisdictions in which we operate, among other regulations or requirements. We are assessing our reporting obligations in the jurisdictions where we operate. Operating in more than one jurisdiction is likely to make our compliance with sustainability and ESG rules more complex and expensive, and potentially expose us to greater levels of legal risks associated with our compliance. Our failure to comply with any applicable rules or regulations could lead to penalties and adversely impact our reputation, customer attraction and retention, access to capital and employee retention. Such sustainability and ESG matters may also impact our suppliers and customers, which may augment or cause additional impacts on our business, financial condition, or results of operations.</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Business and Operating Risks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We derive a significant portion of our revenues from non-U.S. sales and from products manufactured at our non-U.S. facilities which are then imported to the U.S. We are therefore subject to risks of doing business in other countries, including those related to tariffs, retaliatory counter measures and further escalation of trade tensions.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imposition of tariffs by the U.S. government and retaliatory tariffs imposed by other foreign governments is expected to increase our costs. Where possible, we may address increasing supply chain costs in pricing; however, we operate to a large extent under long-term contracts whereby pricing is fixed for a set period of time. The tariffs as currently implemented are likely to have a material impact on our business, financial condition and results of operations; however, the extent to which the imposition of tariffs, possible delays and exemptions may have a material impact remains fluid.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imposition of higher tariffs could undermine the competitiveness of a U.S. based company in the global market and could result in termination of orders by customers, lower demand for products and the loss of market share.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meaningful portion of our global revenues is from products manufactured in our Costa Rica and Mexico manufacturing facilities which are then imported into the U.S. We expect revenues from goods manufactured in Costa Rica and Mexico and imported to the U.S. to remain a significant portion of our revenues for the foreseeable future.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U.S. administration has continued to engage in trade discussions and impose tariffs on imports from other countries. Certain of these tariffs have been subsequently paused or modified, and the situation remains highly fluid. For example, most recently, on July 31, 2025, the U.S. announced that the 10% baseline reciprocal tariff on imports from all countries would be raised to 15% for certain countries, including Costa Rica. As to the majority of products manufactured in our Mexico facilities, these are currently exempted from tariffs under the United States-Mexico-Canada Agreement ("USMCA"). If, however, the USMCA exemptions were eliminated in the future, our tariff expense for products manufactured in Mexico would increase substantially.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U.S. Commerce Department ("the Department") initiated a national security investigation into imports of medical consumables and equipment under Section 232 of the Trade Expansion Act (the "Act"). The Act allows the President to negotiate tariffs to promote international trade. Section 232 of the Act specifically grants the President the authority to impose tariffs if the Department determines imports threaten U.S. national security. The Department has 270 days to deliver its policy recommendations to the President, who then has up to 90 days to decide on potential action and 15 days to implement it. If the probes conducted determine these imports, which comprise the vast majority of our product portfolio, pose a national security risk, it could result in potential tariffs imposed in addition to the country-based tariffs and/or could reduce the benefits we receive from currently available exemptions such as the USMCA.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actions have resulted, and are expected to further result, in retaliatory measures on U.S. goods by other foreign governments. If maintained, these recently announced tariffs, and the potential escalation of trade disputes could pose a risk to our business that could further affect our financial condition or results of operations and/or cash flows, as well as, our long-term investment strategies. The extent and duration of the tariffs and the resulting impact on general economic conditions and on our business are uncertain and are expected to be impacted by various factors, such as negotiations between U.S. and affected countries, the responses of other countries or regions, exemptions or exclusions that already exist or may be granted, availability and cost of alternative sources of our products and materials, and our ability to offset the effects of any tariffs that might be imposed.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Damage to, or interruptions at, any of our manufacturing facilities or our suppliers' facilities could impair our ability to produce our products.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severe weather event, including climate change-related severe weather or disasters, other natural or man-made disasters, or any other significant disruption, such as global epidemics/pandemics, the impact of war or political instability, work stoppages, labor shortages and similar interruptions affecting our manufacturing facilities or our suppliers and logistics partners could materially and adversely impact our business, financial condition and results of operations. For example, the impact of COVID-19 caused us to temporarily shut down some of our facilities in 2021.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 single manufacturing facility for our Clave products located in Salt Lake City, Utah. Our Salt Lake City facility also produces other components on which our manufacturing operations in Ensenada, Mexico and Costa Rica rely. We also operate various other manufacturing facilities in the U.S., Mexico, Italy and Czech Republic. In addition, the IV Solutions products that we sell and distribute on behalf of the joint venture are manufactured at a facility in Austin, Texas owned by the joint venture, in which we own a 40% equity interest. If our facilities or our suppliers' facilities are inoperable, for even a short period of time, it could adversely affect our ability to manufacture and distribute our products in a timely or cost-effective manner, and our ability to make product sales. Furthermore, our facilities and the equipment we use to perform our manufacturing processes could be unavailable or costly and time-consuming to repair or replace.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Damage to, or interruptions at, any of our facilities or our suppliers' facilities due to work stoppages or labor shortages could render us unable to manufacture our products or require us to reduce the output of products at such facilities. Several of our manufacturing facilities are located near known earthquake fault zones and are vulnerable to damage from earthquakes. We carry insurance for damage to our property and disruption of our business, but this insurance may not be adequate to cover all of the risks associated with damage or disruption to our facilities and business, may not provide coverage in amounts sufficient to cover our potential losses and may not continue to be available to us on acceptable terms, if at all.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are dependent on single and limited source third-party suppliers, which subjects our business and results of operations to risks of supplier business interruptions, and a loss or degradation in performance in our suppliers could have an adverse effect on our business and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rely on a single source supplier for the supply of certain materials (such as resins) that are critical to our ability to manufacture our products. Our risk mitigation plans employed with such key supplier, or that we may use with other key suppliers, may not suffice to ensure that we are able to receive requisite materials as and when needed and in sufficient quantity. We cannot be certain that our current suppliers will continue to provide us with the quantities of materials that we require or satisfy our anticipated specifications and quality requirements on a timely basis or at all. Any supply interruption in limited or sole sourced raw materials could materially harm our ability to manufacture our products until a new source of supply, if any, could be identified and qualified. Upon identification, the qualification process of new suppliers and component materials can take a considerable amount of time. We may be unable to find a sufficient alternative supply channel in a reasonable time or on commercially reasonable terms. Additionally, we are subject to FDA and foreign regulations, which could further delay our ability to obtain a qualified alternative supplier. The price and supply of these materials may be impacted or disrupted for reasons beyond our control including supplier shutdowns, transportation delays, inflationary pricing pressures, work stoppages, labor shortages, extreme weather events, geopolitical developments, global economic uncertainty or downturns, sanctions and trade restrictions, and other governmental regulatory actions. Furthermore, our contract manufacturers could require us to move to another one of their production facilities. We have experienced, and may continue to experience, significant challenges to our global transportation channels and other aspects of the global supply chain network, including the cost and availability of raw materials and components due to shortages and resulting cost inflation. If we encounter delays or difficulties in securing these components, materials or services and, if we cannot then obtain an acceptable substitute on a timely basis, our commercial operations could be interrupted, and we could experience an adverse effect on our results of operations and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any performance failure on the part of our suppliers could delay the development and manufacture of our products, which could have a material adverse effect on our business. Due to the highly competitive nature of the healthcare industry and the cost controls of our customers and third-party payors, as well as entering into long-term fixed price contracts, we may be unable to pass along cost increases for any key components or raw materials through higher prices to our customers. If the cost of key components or raw materials increases and we are unable to fully recover those increased costs through price increases or offset these increases through other cost reductions, we could experience an adverse effect on our results of operations and financial condition.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may not be successful in achieving expected operating efficiencies or expense reductions associated with cost reduction and restructuring efforts and may experience a decline in our profitability, business disruptions or other adverse consequences to our business as a result.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engaged in restructuring activities in the past and may engage in other restructuring activities in the future. For example, since the Smiths Medical acquisition, we have taken realignment and cost reduction initiatives to achieve operating efficiencies for the combined company. These types of cost reduction and restructuring activities are complex. If we do not successfully manage our current restructuring activities, or any other restructuring activities that we may take in the future, any expected efficiencies and benefits might be delayed or not fully realized, and our operations and business could be disrupted. In addition, the costs associated with implementing restructuring activities might exceed expectations, which could result in additional future charges.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agreements governing our debt contain a number of restrictive covenants which limit our flexibility in operating our business, finance future operations or pursue our business strategies.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 governing our New Credit Facilities contains, among other things, certain customary restrictive covenants that limit our ability to incur additional indebtedness and liens, merge with other companies or consummate certain changes of control, acquire other companies, make certain investments, pay dividends, enter into certain transactions with affiliates, and transfer or dispose of assets as well as financial covenants. While we have not previously breached and are not currently in breach of these or any other covenants contained in our credit agreement, our ability to comply with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covenants may be affected by events beyond our control, including health crises and global pandemics, other geopolitical events, supply chain interruptions or general economic environment, including high inflation and interest rates. These covenants could also limit our ability to seek capital through the incurrence of new indebtedness or, if we are unable to meet our obligations, require us to repay any outstanding amounts with sources of capital we may otherwise use to fund our business. As such, these restrictive covenants contained in our New Credit Facilities may restrict our ability to pursue our business strategies.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Significant sales through distributors expose us to risks that could have a material effect on our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and 2024, business from a single distributor accounted for approximately 18% of our consolidated revenues. We may rely on one or more key distributors for a product, and the loss of these distributors could reduce our revenue. Additionally, distributors may face financial difficulties, including bankruptcy, which could harm our collection of accounts receivable and financial results. Failure to manage risks related to our use of distributors may reduce sales, increase expenses, and weaken our competitive position, any of which could have a material adverse effect on our business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Legal, Compliance, and Regulatory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Our ability to market, distribute and sell our products in the U.S. and other countries may be adversely affected if our products fail to comply with the existing laws and regulations, and applicable requirements of the FDA, governmental agencies in other countries, and notified bodies.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and our products are subject to extensive regulation in the U.S. and elsewhere, including by the FDA and its foreign counterparts. The FDA and foreign regulatory agencies and notified bodies regulate, among other things, with respect to medical devices: design, development and manufacturing; testing, labeling, content and language of instructions for use and storage; clinical trials; product safety; establishment registration and device listing; marketing, sales and distribution; pre-market clearance, approval and certification; record keeping procedures; advertising and promotion; recalls and field safety corrective actions; post-market surveillance, including reporting of deaths or serious injuries and malfunctions that, if they were to recur, could lead to death or serious injury; post-market approval studies; and product import and export.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U.S., our medical device products are subject to clearance or approval by the U.S. FDA under the FDC Act. Before we can market a new medical device, or a new use of, new claim for, or significant modification to, an existing product, we must first receive either clearance under Section 510(k) of the FDC Act or approval of PMA application from the FDA, unless an exemption applies. Under the 510(k) process, the manufacturer must submit to the FDA a pre-market notification, demonstrating that the device is "substantially equivalent," as defined in the FDC Act, to a legally marketed predicate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If the manufacturer is unable to demonstrate substantial equivalence to FDA's satisfaction, or if there is no available predicate device, then the manufacturer may be required to seek approval through the PMA application process, which is generally more costly and time consuming than the 510(k) process. Through the PMA application process, the applicant must submit data and information demonstrating reasonable assurance of the safety and effectiveness of the device for its intended use to the FDA's satisfaction. Accordingly, a PMA application typically includes, but is not limited to, extensive technical information regarding device design and development, pre-clinical and clinical trial data, manufacturing information, labeling and financial disclosure information for the clinical investigators in device studies.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market certain products that have received 510(k) clearance, and we may pursue 510(k) clearance for future products. However, certain of our new products may require a longer time for clearance than we have experienced in the past and there can be no assurance that a PMA application will not be required. For example, in 2022, we acquired Smiths Medical, which has marketed its PORT-A-CATH implantable access systems pursuant to PMA approval, and there is no assurance that other new products developed by us or any manufacturers that we might acquire will be eligible for 510(k) clearance rather than undergoing a more time consuming pre-market approval procedure, such as the PMA approval process, or that, in any case, they will receive clearance or approval from the FDA. FDA regulatory processes are time consuming and expensive. Uncertainties as to the time required to obtain FDA clearances or approvals could adversely affect the timing and expense of new product introductions.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are necessary. We have modified certain of our products subsequent to obtaining 510(k) clearance, and have determined based on our review of the applicable FDA guidance that in these instances new 510(k) clearances or pre-market approvals were not required. If the FDA disagrees with our determination and requires us to submit new 510(k) notifications or PMAs for modifications to our products or any other product for which we may obtain 510(k) clearance in the future, and for which we have concluded that new clearances or approvals are unnecessary, we may be required to cease marketing or to recall the modified product until we obtain clearance or approval, and we may be subject to significant regulatory fines or penalties. On April 4, 2025, we received a warning letter from the FDA regarding certain modifications we made to our cleared MedFusion™ Model 4000 Syringe Infusion Pump and CADD™ Solis VIP Ambulatory Infusion Pump, and since then we are working closely with the FDA to resolve all concerns identified in such warning letter, including the filing of new clearances for next generation MedFusion™ and a refreshed CADD™ Solis device (which are currently under review by the FDA), and though we believe we will be able to ultimately close out this warning letter, there is no guarantee that we will be able to do so in a timely manner, or that we will not receive similar notices in the future.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regulations to which we are subject are complex and have tended to become more stringent over time. Regulatory changes could result in restrictions on our ability to continue or expand our operations, higher than anticipated costs, or lower than anticipated sales. The FDA enforces these regulatory requirements through periodic unannounced inspections. Even after we have obtained the proper regulatory clearance or approval to market a product, we have ongoing responsibilities under FDA regulations and applicable foreign laws and regulations. The FDA, state and foreign regulatory authorities have broad enforcement powers.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new and changing laws, regulations, executive orders and other governmental actions, particularly from the new presidential administration, may also create uncertainty about how laws and regulations will be interpreted and applied. Regulatory changes and other actions that materially affect our business may be announced with little or no advance notice, and we may be unable to effectively mitigate all adverse impacts from such measures. Differing interpretations of such legal obligations can expose us to significant fines, government investigations, litigation and reputational harm. If we are found to have violated laws, regulations, or executive orders, it could materially adversely affect our business, reputation, results of operations and financial condition.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know whether we will pass or be found compliant in any future inspections by FDA or other regulatory authorities. Our failure to comply with applicable regulatory requirements could result in enforcement action by the FDA, state or foreign regulatory authorities which may include any of the following sanctions:</w:t>
      </w:r>
    </w:p>
    <w:p>
      <w:pPr>
        <w:pStyle w:val="TextBody"/>
        <w:bidi w:val="0"/>
        <w:spacing w:before="0" w:after="0"/>
        <w:jc w:val="left"/>
        <w:rPr/>
      </w:pPr>
      <w:r>
        <w:rPr/>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 xml:space="preserve">untitled letters or warning letters; </w:t>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 xml:space="preserve">fines, injunctions, consent decrees and civil penalties; </w:t>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 xml:space="preserve">recalls, termination of distribution, administrative detention, or seizure of our products;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customer notifications or repair, replacement or refunds; </w:t>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 xml:space="preserve">operating restrictions or partial suspension or total shutdown of production; </w:t>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 xml:space="preserve">delays in or refusal to grant our requests for future 510(k) clearances, PMA approvals or foreign regulatory approvals or certifications of new products, new intended uses, or modifications to existing products; </w:t>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 xml:space="preserve">withdrawals or suspensions of current 510(k) clearances or PMAs or foreign regulatory approvals, resulting in prohibitions on sales of our products; </w:t>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 xml:space="preserve">FDA refusal to issue certificates to foreign governments needed to export products for sale in other countries;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criminal prosecution.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FDA's and other regulatory authorities' policies may change and additional government regulations may be enacted that could prevent, limit or delay regulatory approval or certification of our product candidates. We cannot predict the likelihood, nature or extent of government regulation that may arise from future legislation or administrative action, either in the U.S. or abroad.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FDA may change its clearance and approval policies, adopt additional regulations or revise existing regulations, or take other actions which may prevent or delay approval or clearance of our future products under development or otherwise increase the costs associated with compliance.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FDA and foreign regulations and guidance are often revised or reinterpreted by the FDA and foreign counterparts in ways that may significantly affect our business and our products. Any new statutes, regulations or revisions or reinterpretations of existing regulations may impose additional costs or lengthen review times of any future products or make it more difficult to obtain clearance, approval, or certification to manufacture, market or distribute our products. We cannot determine what effect changes in regulations, statutes, legal interpretation or policies, when and if promulgated, enacted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adopted may have on our business in the future. Such changes could, among other things, require: additional testing prior to obtaining clearance, approval, or certification; changes to manufacturing methods; recall, replacement or discontinuance of our products; or additional record keeping. For example, on February 2, 2026, the FDA’s final rule implementing the QMSR became effective. The QMSR, which replaced the FDA’s former Quality System Regulation, sets forth the FDA’s cGMP requirements for medical devices, and among other things, incorporates by reference certain elements of the quality management system requirements of ISO 13485:2016. Although the FDA has stated that the standards contained in ISO 13485:216 are substantially similar to those set forth in the QSR, and although we have obtained ISO 13485:2016 certification for our quality management system, the FDA has indicated that ISO:13485 certification alone will not ensure compliance under the QMSR, nor will ISO certification exempt manufacturers from FDA inspection. The QMSR also includes certain compliance obligations, such as those relating to unique device identification, product traceability, and maintenance of complaint and service records, that align more closely with FDA’s existing medical device requirements than with ISO standards. Accordingly, it remains unclear the extent to which the QMSR may impose additional or different regulatory requirements on us that could increase the costs of compliance or otherwise negatively affect our business. If we are unable to comply with QMSR or with any other changes in the laws or regulations enforced by FDA or comparable regulatory authorities, we may be subject to enforcement action, which could have an adverse effect on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EU landscape concerning medical devices recently evolved, and continues to undergo legislative changes. On May 26, 2021, the EU Medical Devices Regulation became applicable and repealed and replaced the EU Medical Devices Directive.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These requirements are in active implementation and may change as the European Commission adopts additional implementing acts and considers targeted revisions to related medical device rules. In addition, on December 16, 2025, the European Commission published a targeted revision proposal of the MDR to address structural issues, certification delays, and burdens on Small and medium-sized enterprises (“SMEs”). The proposal will enter the ordinary legislative procedure and is not expected to be adopted before 2027.</w:t>
      </w:r>
    </w:p>
    <w:p>
      <w:pPr>
        <w:pStyle w:val="TextBody"/>
        <w:bidi w:val="0"/>
        <w:spacing w:before="0" w:after="0"/>
        <w:ind w:left="0" w:right="0" w:firstLine="720"/>
        <w:jc w:val="left"/>
        <w:rPr/>
      </w:pPr>
      <w:r>
        <w:rPr/>
      </w:r>
    </w:p>
    <w:p>
      <w:pPr>
        <w:pStyle w:val="TextBody"/>
        <w:bidi w:val="0"/>
        <w:spacing w:lineRule="auto" w:line="276" w:before="0" w:after="0"/>
        <w:jc w:val="left"/>
        <w:rPr>
          <w:color w:val="000000"/>
        </w:rPr>
      </w:pPr>
      <w:r>
        <w:rPr>
          <w:color w:val="000000"/>
        </w:rPr>
        <w:t>    </w:t>
      </w:r>
      <w:r>
        <w:rPr>
          <w:rFonts w:ascii="Times New Roman;serif" w:hAnsi="Times New Roman;serif"/>
          <w:b w:val="false"/>
          <w:color w:val="000000"/>
          <w:sz w:val="20"/>
        </w:rPr>
        <w:t>In accordance with its extended transitional provisions, both (i) devices lawfully placed on the market pursuant to the EU Medical Devices Directive prior to May 26, 2021 and (ii) legacy devices lawfully placed on the EU market after May 26, 2021 in accordance with the EU Medical Devices Regulation transitional provisions may generally continue to be made available on the market or put into service, provided that the requirements of the transitional provisions are fulfilled as may be assessed by the notified body. However, even in this case, manufacturers must comply with a number of new or reinforced requirements set forth in the EU Medical Devices Regulation with regard to registration of economic operators and of devices, post-market surveillance, market surveillance and vigilance requirements and comply with the requirements of the notified body.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Subject to the transitional provisions and in order to sell our products in EU member states, our products must comply with the general safety and performance requirements of the EU Medical Devices Regulation, which repeals and replaces the EU Medical Devices Directive.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w:t>
      </w:r>
      <w:r>
        <w:rPr>
          <w:color w:val="000000"/>
        </w:rPr>
        <w:t xml:space="preserve"> </w:t>
      </w:r>
      <w:r>
        <w:rPr>
          <w:rFonts w:ascii="Times New Roman;serif" w:hAnsi="Times New Roman;serif"/>
          <w:b w:val="false"/>
          <w:color w:val="000000"/>
          <w:sz w:val="20"/>
        </w:rPr>
        <w:t>Compliance with these requirements is a prerequisite to be able to affix the European Conformity ("CE") mark to our products, without which they cannot be sold or marketed in the EU. See – Government Regulation. To demonstrate compliance with the general safety and performance requirements, we must undergo a conformity assessment procedure, which varies according to the type of medical device and its (risk) classification. Except for low-risk medical devices (Class I), where the manufacturer can self-assess the conformity of its products with the general safety and performance requirements (except for any parts which relate to sterility, metrology or reuse aspects), a conformity assessment procedure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If we fail to comply with applicable laws and regulations, we would be unable to affix the CE mark to our products, which would prevent us from selling them within the EU.</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aforementioned EU rules are generally applicable in the EEA. Non-compliance with the above requirements including as determined by a notified body would also prevent us from selling our products in these geographies.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If we or our </w:t>
      </w:r>
      <w:r>
        <w:rPr>
          <w:rFonts w:ascii="Times New Roman;serif" w:hAnsi="Times New Roman;serif"/>
          <w:b w:val="false"/>
          <w:color w:val="000000"/>
          <w:sz w:val="20"/>
        </w:rPr>
        <w:t>comp</w:t>
      </w:r>
      <w:r>
        <w:rPr>
          <w:rFonts w:ascii="Times New Roman;serif" w:hAnsi="Times New Roman;serif"/>
          <w:b w:val="false"/>
          <w:i/>
          <w:color w:val="000000"/>
          <w:sz w:val="20"/>
        </w:rPr>
        <w:t>onent manufacturers fail to comply with the FDA's Quality Management System Regulation or Good Manufacturing Practice regulations or other requirements, our manufacturing operations could be interrupted, and our product sales and operating results could suffer.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United States, we and some of our component manufacturers are required to comply with regulatory requirements known as the FDA's QMSR, a complex regulatory scheme which currently covers the procedures and documentation of the design, testing, production, control, quality assurance, inspection, complaint handling, recordkeeping, management review, labeling, packaging, sterilization, storage and shipping of our device products. The FDA audits compliance with these regulatory requirements through periodic announced and unannounced inspections of manufacturing and other facilities. The FDA may conduct inspections or audits at any time, and we are subject to such inspections. Although we believe our manufacturing facilities are in compliance with the QMSR requirements, and with other applicable cGMPs for our products, we cannot provide assurance that any future inspection will not result in adverse findings.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our manufacturing facilities or those of any of our component suppliers are found to be in violation of applicable laws and regulations, or we or our suppliers have significant noncompliance issues or fail to timely and adequately respond to any adverse inspectional observations or product safety issues, or if any corrective action plan that we or our suppliers propose in response to observed deficiencies is not sufficient, the FDA or foreign regulatory authorities could take enforcement action, including any of the following sanctions:</w:t>
      </w:r>
    </w:p>
    <w:p>
      <w:pPr>
        <w:pStyle w:val="TextBody"/>
        <w:bidi w:val="0"/>
        <w:spacing w:before="0" w:after="0"/>
        <w:jc w:val="left"/>
        <w:rPr/>
      </w:pPr>
      <w:r>
        <w:rPr/>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 xml:space="preserve">untitled letters or warning letters; </w:t>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 xml:space="preserve">fines, injunctions, consent decrees and civil penalties; </w:t>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 xml:space="preserve">customer notifications or repair, replacement, refunds, recall, detention or seizure of our products; </w:t>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operating restrictions or partial suspension or total shutdown of production;</w:t>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 xml:space="preserve">refusing or delaying our requests for clearance or approval or certifications of new products or modified products; </w:t>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 xml:space="preserve">withdrawing clearances, approvals, or certifications that have already been granted; </w:t>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 xml:space="preserve">refusal to grant export approval for our products; or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criminal prosecution.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Any of these sanctions could adversely affect our business, financial condition and operating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market our products in the EU, we must conform to additional requirements and demonstrate conformance to harmonized quality standards. A notified body would typically audit and examine a product's technical dossiers and the manufacturer's quality system (the notified body must presume that quality systems which implement the relevant harmonized standards – which is ISO 13485:2016 for Medical Devices Quality Management Systems – conform to these requirements). Subject to the transitional provisions, manufacturers of medical devices must also comply with the EU Medical Devices Regulation. Compliance with these requirements assure that medical devices are both safe and effective and do not compromise the clinical condition or safety of patients, or the safety and health of users and – where applicable – other persons and meet all applicable established standards prior to being marketed in the EU. There is no assurance that we will continue to meet the requirements for distribution of our products in the EU and the EEA.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these new requirements, we may be subject to risks associated with additional testing, modification, certification, or amendment of our existing certifications, or we may be required to modify products already installed at our customers' facilities to comply with the official interpretations of the EU Medical Devices Regulation.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Distribution of our products in other countries may be subject to regulation in those countries, and there is no assurance that we will obtain necessary approvals or certifications in countries in which we want to introduce our products.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Actual or perceived failures to comply with foreign, federal, and state data privacy and security laws, regulations and standards may adversely affect our business, operations and financial performance.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various federal, state and foreign laws that govern the collection, use, disclosure, retention and security of personal information, including patient health information and information that we may collect in connection with clinical trials. The global data protection landscape is rapidly evolving, and implementation standards and enforcement practices are likely to remain uncertain for the foreseeable future. This evolution may create uncertainty in our business, affect our or our collaborators', service providers' and contractors' ability to operate in certain jurisdictions or to collect, store, transfer,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use and share personal information, necessitate the acceptance of more onerous obligations in our contracts, result in liability or impose additional costs on us. In the U.S., numerous federal and state laws and regulations could apply to our operations or the operations of our partners, including state data breach notification laws, federal and state health information privacy laws, and federal and state consumer protection laws and regulations (e.g. Section 5 of the Federal Trade Commission Act (the "FTC Act")). For example, the privacy, security and breach notification rules promulgated under the Health Insurance Portability and Accountability Act of 1996, as amended by the Health Information Technology for Economic and Clinical Health Act of 2009, and regulations implemented thereunder (collectively ("HIPAA") establish a set of national privacy and security standards for the protection of protected health information ("PHI") by health plans, health care clearinghouses and certain health care providers, called covered entities, and the business associates with whom such covered entities contract for services that involve creating, receiving, maintaining or transmitting PHI, as well as their covered subcontractors. HIPAA also requires covered entities to provide individuals with certain rights with respect to their PHI, and requires covered entities to enter into a written business associate contract or other arrangement with the business associate that establishes specifically what the business associate has been engaged to do and requires the business associate to comply with the requirements of HIPAA.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HIPAA requires the notification of patients, and other compliance actions, in the event of a breach of unsecured PHI. If notification to patients of a breach is required, such notification must be provided without unreasonable delay and in no event later than 60 calendar days after discovery of the breach. In addition, if the PHI of 500 or more individuals is improperly used or disclosed, we would be required to report the improper use or disclosure to the U.S. Department of Health and Human Services ("HHS") which would post the violation on its website, and to the media.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Penalties for failure to comply with a requirement of HIPAA vary significantly depending on the nature of violation and could include civil monetary or criminal penalties. HIPAA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Certain states have also adopted privacy and security laws and regulations, which govern the privacy, processing and protection of health-related and other personal information. Such laws and regulations are subject to interpretation by various courts and other governmental authorities, thus creating potentially complex compliance issues for us and our future customers and strategic partners. For example, California enacted the California Consumer Privacy Act of 2018 (the "CCPA"), as amended by the California Privacy Rights Act (collectively, the CCPA) which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passed in other states, reflecting a trend toward more stringent privacy legislation in the U.S. The enactment of such laws could have potentially conflicting requirements that would make compliance challenging. If we fail to comply with applicable laws and regulations we could be subject to penalties or sanctions, including criminal penalties if we knowingly obtain or disclose individually identifiable health information from a covered entity in a manner that is not authorized or permitted by HIPAA or applicable state laws.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personal or personally identifiable information, through websites or otherwise, and to regulate the presentation of website content.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Foreign data protection laws, including the European Union General Data Protection Regulation (the "EU GDPR") and the United Kingdom General Data Protection Regulation (the "UK GDPR") (the EU GDPR and UK GDPR together referred to as the "GDPR", may also apply to health-related and other personal data obtained outside of the U.S. or in the context of our establishments outside of the U.S.. The GDPR imposes strict requirements for processing the personal data of individuals within the EEA and the UK or in the context of our activities within the EEA and the UK, including by mandating potentially burdensome documentation requirements and granting certain rights to individuals to control how we collect, use, disclose,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retain and process data about them. Fines for non-compliance with the GDPR are significant - the greater of €20 million/£17.5 million or 4% of global turnover. In addition to fines, a breach of the GDPR may result in regulatory investigations, reputational damage, orders to cease/ change our data processing activities, enforcement notices, assessment notices (for a compulsory audit) and/ or civil claims (including class actions). The GDPR provides that EU and EEA member states or the UK may impose further obligations relating to the processing of genetic, biometric or health data, which could limit our ability to collect, use and share personal data, or could cause our compliance costs to increase, ultimately having an adverse impact on our business.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now be assessed on a case-by-case basis.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We are subject to certain fraud and abuse and transparency laws, which, if violated, could subject us to substantial penalties. Additionally, any challenge to or investigation into our practices under these laws could cause adverse publicity and be costly to respond to, and thus could harm our business.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numerous U.S. federal and state, as well as foreign, laws pertaining to healthcare fraud and abuse, including anti-kickback, false claims and transparency laws regarding payments and other transfers of value made to physicians and other licensed healthcare professionals. Our business practices and relationships with providers are subject to scrutiny under these laws. The healthcare laws and regulations that may affect our ability to operate include, but are not limited to:</w:t>
      </w:r>
    </w:p>
    <w:p>
      <w:pPr>
        <w:pStyle w:val="TextBody"/>
        <w:bidi w:val="0"/>
        <w:spacing w:before="0" w:after="0"/>
        <w:jc w:val="left"/>
        <w:rPr/>
      </w:pPr>
      <w:r>
        <w:rPr/>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the federal Anti-Kickback Statute, which prohibits, among other things, persons and entities from knowingly and willfully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A person or entity does not need to have actual knowledge of the statute or specific intent to violate it to have committed a violation. The U.S. government has interpreted this law broadly to apply to the marketing and sales activities of manufacturers;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the federal civil and criminal false claims laws, including the federal civil False Claims Act, which prohibit, among other things, individuals or entities from knowingly presenting, or causing to be presented, claims for payment from Medicare, Medicaid or other federal healthcare programs that are false or fraudulent. Private individuals can bring False Claims Act "qui tam" actions, on behalf of the government and such individuals, commonly known as "whistleblowers," may share in amounts paid by the entity to the government in fines or settlement. Moreover, the government may assert that a claim including items or services resulting from a violation of the federal Anti-Kickback Statute constitutes a false or fraudulent claim for purposes of the federal civil False Claims Act;</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the federal Physician Sunshine Act, which require certain applicable manufacturers of drugs, devices, biologics and medical supplies for which payment is available under Medicare, Medicaid or the Children’s Health Insurance Program ("CHIP") to report annually to the U.S. Department of Health and Human Services' CMS information related to payments and other transfers of value to physicians (defined to include doctors, dentists, optometrists, podiatrists and chiropractors), certain other healthcare providers (physician assistants, nurse practitioners, clinical nurse specialists, anesthesiologist assistants, certified registered nurse anesthetists, and certified nurse midwives, and teaching hospitals), and applicable manufacturers and GPOs, to report annually ownership and investment interests held by physicians and their immediate family members;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HIPAA, which created additional federal criminal statutes that prohibit,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analogous state and foreign law equivalents of each of the above federal laws, such as anti-kickback and false claims laws which may apply to items or services reimbursed by any third-party payor, including commercial insurers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consumer protection and unfair competition laws, which broadly regulate marketplace activities and activities that potentially harm customers; and state laws related to insurance fraud in the case of claims involving private insurers.</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laws and regulations, among other things, constrain our business, marketing and other promotional activities by limiting the kinds of financial arrangements, including sales programs, we may have with hospitals, physicians or other potential purchasers of our products.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Additionally, as a result of these investigations, healthcare providers and entities may have to agree to additional compliance and reporting requirements as part of a consent decree or corporate integrity agreement. Any such investigation or settlement could increase our costs or otherwise have an adverse effect on our business. Even an unsuccessful challenge or investigation into our practices could cause adverse publicity, and be costly to respond to. If our operations are found to be in violation of any of the healthcare laws or regulations described above or any other healthcare regulations that apply to us, we may be subject to penalties, including administrative, civil and criminal penalties, damages, fines, exclusion from participation in government healthcare programs, such as Medicare and Medicaid, imprisonment, contractual damages, reputational harm, disgorgement and the curtailment or restructuring of our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Healthcare regulation and reform measures could adversely affect our revenue and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profitability and operations are subject to risks relating to changes in government and private reimbursement programs and policies and changes in legal requirements in the U.S. and in the world. There have been, and we expect there will continue to be, a number of legislative and regulatory changes to the healthcare system that could affect our future revenues and profitability in the U.S. and abroad. Federal and state lawmakers regularly propose and, at times, enact legislation that results in significant changes to the healthcare system, some of which are intended to contain or reduce the costs of medical products and services. For example, in 2010, the ACA was signed into law introducing comprehensive health insurance and healthcare reforms in the U.S. The ACA,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ACA has expanded eligibility criteria for Medicaid programs and created a new Patient-Centered Outcomes Research Institute to oversee, identify priorities in, and conduct comparative clinical effectiveness research, along with funding for such research. 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other legislative changes have been proposed and adopted since the ACA was enacted. On August 2, 2011, the Budget Control Act of 2011 was signed into law, which, among other things, included reductions to Medicare payments to providers, which went into effect on April 1, 2013, and will remain in effect through 2032, with the exception of a temporary suspension from May 1, 2020 through March 31, 2022, unless additional Congressional action is taken. On January 2, 2013, the American Taxpayer Relief Act of 2012, was signed into law, which, among other things, further reduced Medicare payments to several providers, including hospitals. More recently, the OBBBA, which was enacted in July 2025, imposes significant reductions in the funding of the Medicaid program. Such reductions are expected to decrease the number of persons enrolled in Medicaid and reduce the services covered by Medicaid, which could adversely affect our sales of our products.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anticipate there will continue to be proposals by legislators at both the federal state and foreign levels, regulators and commercial payors to reduce costs while expanding individual healthcare benefits. The ultimate implementation of any healthcare reform legislation and any new laws and regulations, and its impact on us, is impossible to predict, particularly in light of the new presidential administration. Any significant reforms made to the healthcare system in the U.S., or in other jurisdictions, may have an adverse effect on our financial condition and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13, 2021, Regulation No 2021/2282 on Health Technology Assessment (“HTA”) amending Directive 2011/24/EU, was adopted. The Regulation entered into force in January 2022 and has been applicable since January 2025, with phased implementation based on the type of product i.e., certain high-risk medical devices as of 2026. The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Our business could be materially and adversely affected if we fail to defend and enforce our patents or other proprietary rights, if our products are found to infringe patents or other proprietary rights owned by others or if the cost to protect our patents or other proprietary rights becomes excessive or as our patents expire.</w:t>
      </w:r>
    </w:p>
    <w:p>
      <w:pPr>
        <w:pStyle w:val="TextBody"/>
        <w:bidi w:val="0"/>
        <w:spacing w:before="0" w:after="0"/>
        <w:jc w:val="left"/>
        <w:rPr/>
      </w:pPr>
      <w:r>
        <w:rPr/>
      </w:r>
    </w:p>
    <w:p>
      <w:pPr>
        <w:pStyle w:val="TextBody"/>
        <w:bidi w:val="0"/>
        <w:spacing w:lineRule="auto" w:line="288" w:before="0" w:after="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We rely on a combination of patents, trademarks, copyrights, trade secrets, business methods, software and nondisclosure agreements to protect our proprietary intellectual property. Our efforts to protect our intellectual and proprietary rights may not be sufficient. Further, there is no assurance that patents pending will issue or that the protection from patents which have issued or may issue in the future will be broad enough to prevent competitors from introducing similar devices, that such patents, if challenged, will be upheld by the courts or that we will be able to prove infringement and damages in litigation.</w:t>
      </w:r>
    </w:p>
    <w:p>
      <w:pPr>
        <w:pStyle w:val="TextBody"/>
        <w:bidi w:val="0"/>
        <w:spacing w:before="0" w:after="0"/>
        <w:ind w:left="0" w:right="0" w:firstLine="810"/>
        <w:jc w:val="left"/>
        <w:rPr/>
      </w:pPr>
      <w:r>
        <w:rPr/>
      </w:r>
    </w:p>
    <w:p>
      <w:pPr>
        <w:pStyle w:val="TextBody"/>
        <w:bidi w:val="0"/>
        <w:spacing w:lineRule="auto" w:line="288" w:before="0" w:after="0"/>
        <w:ind w:left="0" w:right="0" w:firstLine="765"/>
        <w:jc w:val="left"/>
        <w:rPr>
          <w:rFonts w:ascii="Times New Roman;serif" w:hAnsi="Times New Roman;serif"/>
          <w:b w:val="false"/>
          <w:color w:val="000000"/>
          <w:sz w:val="20"/>
        </w:rPr>
      </w:pPr>
      <w:r>
        <w:rPr>
          <w:rFonts w:ascii="Times New Roman;serif" w:hAnsi="Times New Roman;serif"/>
          <w:b w:val="false"/>
          <w:color w:val="000000"/>
          <w:sz w:val="20"/>
        </w:rPr>
        <w:t xml:space="preserve">We generally have multiple patents covering various features of a product, and as each patent expires, the protection afforded by that patent is no longer available to us, even though protection of features that are covered by other unexpired patents may continue to be available to us. The loss of patent protection on certain features of our products may make it possible for others to manufacture and sell products with features identical or similar to ours, which could adversely affect our business. </w:t>
      </w:r>
    </w:p>
    <w:p>
      <w:pPr>
        <w:pStyle w:val="TextBody"/>
        <w:bidi w:val="0"/>
        <w:spacing w:before="0" w:after="0"/>
        <w:ind w:left="0" w:right="0" w:firstLine="765"/>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fail to develop and successfully launch new products prior to the expiration of patents for our existing products, our sales and profits with respect to those products could decline significantly. We may not be able to develop and successfully launch more advanced replacement products before these and other patents expire.</w:t>
      </w:r>
    </w:p>
    <w:p>
      <w:pPr>
        <w:pStyle w:val="TextBody"/>
        <w:bidi w:val="0"/>
        <w:spacing w:before="0" w:after="0"/>
        <w:ind w:left="0" w:right="0" w:firstLine="765"/>
        <w:jc w:val="left"/>
        <w:rPr/>
      </w:pPr>
      <w:r>
        <w:rPr/>
      </w:r>
    </w:p>
    <w:p>
      <w:pPr>
        <w:pStyle w:val="TextBody"/>
        <w:bidi w:val="0"/>
        <w:spacing w:lineRule="auto" w:line="288" w:before="0" w:after="0"/>
        <w:ind w:left="0" w:right="0" w:firstLine="765"/>
        <w:jc w:val="left"/>
        <w:rPr>
          <w:rFonts w:ascii="Times New Roman;serif" w:hAnsi="Times New Roman;serif"/>
          <w:b w:val="false"/>
          <w:color w:val="000000"/>
          <w:sz w:val="20"/>
        </w:rPr>
      </w:pPr>
      <w:r>
        <w:rPr>
          <w:rFonts w:ascii="Times New Roman;serif" w:hAnsi="Times New Roman;serif"/>
          <w:b w:val="false"/>
          <w:color w:val="000000"/>
          <w:sz w:val="20"/>
        </w:rPr>
        <w:t>In addition, our ability to enforce and protect our intellectual property rights may be limited in certain countries outside of the U.S., which could make it easier for competitors to obtain market position in such countries by utilizing technologies that are similar to those developed by us.</w:t>
      </w:r>
    </w:p>
    <w:p>
      <w:pPr>
        <w:pStyle w:val="TextBody"/>
        <w:bidi w:val="0"/>
        <w:spacing w:before="0" w:after="0"/>
        <w:ind w:left="0" w:right="0" w:firstLine="765"/>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others choose to manufacture and sell products similar to or substantially the same as our products, it could have a material adverse effect on our business through loss of unit volume or price erosion, or both, and could adversely affect our ability to secure new business.</w:t>
      </w:r>
    </w:p>
    <w:p>
      <w:pPr>
        <w:pStyle w:val="TextBody"/>
        <w:bidi w:val="0"/>
        <w:spacing w:before="0" w:after="0"/>
        <w:ind w:left="0" w:right="0" w:firstLine="720"/>
        <w:jc w:val="left"/>
        <w:rPr/>
      </w:pPr>
      <w:r>
        <w:rPr/>
      </w:r>
    </w:p>
    <w:p>
      <w:pPr>
        <w:pStyle w:val="TextBody"/>
        <w:bidi w:val="0"/>
        <w:spacing w:lineRule="auto" w:line="288" w:before="0" w:after="0"/>
        <w:ind w:left="0" w:right="0" w:firstLine="765"/>
        <w:jc w:val="left"/>
        <w:rPr>
          <w:rFonts w:ascii="Times New Roman;serif" w:hAnsi="Times New Roman;serif"/>
          <w:b w:val="false"/>
          <w:color w:val="000000"/>
          <w:sz w:val="20"/>
        </w:rPr>
      </w:pPr>
      <w:r>
        <w:rPr>
          <w:rFonts w:ascii="Times New Roman;serif" w:hAnsi="Times New Roman;serif"/>
          <w:b w:val="false"/>
          <w:color w:val="000000"/>
          <w:sz w:val="20"/>
        </w:rPr>
        <w:t>There has been substantial litigation regarding patent and other intellectual property rights in the medical device industry. We have in the past faced and may in the future face patent infringement claims. Patent infringement litigation, which may be necessary to enforce patents issued to us or to defend ourselves against claimed infringement of the rights of others, can be expensive and may involve a substantial commitment of our resources which may divert resources from other uses. Adverse determinations in litigation or settlements could subject us to significant liabilities to third parties, could require us to seek licenses from third parties, could prevent us from manufacturing and selling our products or could fail to prevent competitors from manufacturing products similar to ours. Any of these results could materially and adversely affect our business.</w:t>
      </w:r>
    </w:p>
    <w:p>
      <w:pPr>
        <w:pStyle w:val="TextBody"/>
        <w:bidi w:val="0"/>
        <w:spacing w:before="0" w:after="0"/>
        <w:ind w:left="0" w:right="0" w:firstLine="765"/>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become aware of newly issued patents on medical devices, which we review to evaluate any infringement risk. We are aware of a number of patents that have been issued to others. While we believe these patents will not affect our ability to market our products, there is no assurance that these or other issued or pending patents might not interfere with our right or ability to manufacture and sell our products.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have been cleared, approved or certified by the FDA, foreign regulatory authorities and notified bodies for specific indications of use. We train our marketing personnel and direct sales force to not promote our products for uses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outside of the FDA-cleared or approved indications for use, known as "off-label uses." We cannot, however, prevent a physician from using our products off-label, when in the physician's independent professional medical judgment he or she deems it appropriate. There may be increased risk of injury to patients if physicians attempt to use our products off-label. Furthermore, the use of our products for indications other than those cleared or approved by the FDA or approved by any foreign body may not effectively treat such conditions, which could harm our reputation in the marketplace among physicians and patients.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the FDA or any foreign regulatory authorities determine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physicians may misuse our products or use improper techniques if they are not adequately trained, potentially leading to injury and an increased risk of product liability. If our products are misused or used with improper technique, we may become subject to costly litigation by our customers or their patients.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Litigation, product liability claims or product recalls could be costly and could expose us to loss.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use of our products exposes us to an inherent risk of product liability. Further, the medical device industry has historically been subject to extensive litigation and we cannot offer any assurance that we will not face product liability or other lawsuits in the future. Patients, healthcare workers, healthcare providers or others who claim that our products have resulted in injury could initiate product liability litigation seeking large damage awards against us. Costs of the defense of such litigation, even if successful, could be substantial. We maintain insurance against product liability and defense costs in the amount of $50 million per occurrence. However, legal proceedings are inherently unpredictable, and the outcome can result in judgments that affect how we operate our business, or we may enter into settlements of claims for monetary damages that exceed our insurance coverage, if any is available. A successful claim against us in excess of insurance coverage could materially and adversely affect us, and result in substantial liabilities and reputational harm including product recalls or withdrawals from the market, withdrawal of clinical trial participants or clinical studies, the inability to commercialize our existing or new products, distraction of management’s attention from our primary business or decreased demand for our products or, if cleared or approved, products in development.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attempts we take to manage our product liability exposure, for example, by proactively recalling or withdrawing from the market any defective products, and any required recall or market withdrawal of our products may delay the supply of those products to our customers and may impact our reputation. We can provide no assurance that we will be successful in initiating appropriate market recall or market withdrawal efforts that may be required in the future or that these efforts will have the intended effect of preventing product malfunctions and the accompanying product liability that may result. Such recalls and withdrawals may also be used by our competitors to harm our reputation for safety or be perceived by patients as a safety risk when considering the use of our products, either of which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we generally offer a limited warranty for product returns which are due to defects in quality and workmanship. We attempt to estimate our potential liability for future product returns and establish reserves on our financial statements in amounts that we believe will be sufficient to address our warranty obligations; however, our actual liability for product returns may significantly exceed the amount of our reserves. If we underestimate our potential liability for future product returns, or if unanticipated events result in returns that exceed our historical experience, our financial condition and operating results could be materially and adversely affected.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Our products may cause or contribute to adverse medical events or be subject to failures or malfunctions that we are required to report to the FDA and foreign regulatory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the FDA's medical device reporting regulations and similar foreign regulations, which require us to report to the FDA and foreign regulatory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foreign regulatory authorities could take action, including warning letters, untitled letters, administrative actions, criminal prosecution, imposition of civil monetary penalties, revocation of our device clearances, approvals or certifications, seizure of our products or delay in clearance, approval, or certification of future products.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For example, in June 2024, Smiths Medical ASD initiated Class 1 recalls with respect to certain tracheostomy tube kits, in May 2024, Smiths Medical ASD initiated Class 1 recalls for certain paraPAC plus ventilators, and in April 2025 and February 2025, we initiated Class 1 recalls for certain CADD Solis ambulatory infusion pumps and ProPort venous access systems and catheters, respectively. We can provide no assurance that our efforts to work with the FDA to complete, and ultimately close, these product recalls, and any recalls that may occur in the future, will be accomplished in a timely manner, or at all. In addition, the costs associated with conducting and closing these or any other product recalls, including any liabilities we may incur, could have a material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Depending on the corrective action we take to redress a product's deficiencies or defects, the FDA or foreign regulatory agencies may require, or we may decide, that we will need to obtain new clearances, approvals or certifications for the device before we may market or distribute the corrected device. Seeking such clearances, approvals or certifications may delay our ability to replace the recalled devices in a timely manner. Moreover, if we do not adequately address problems associated with our devices, we may face additional regulatory enforcement action, including FDA or foreign regulatory authorities warning letters, product seizure, injunctions, administrative penalties or civil or criminal fines.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Companies are required to maintain certain records of recalls and corrections, even if they are not reportable to the FDA or foreign regulatory authorities. We may initiate voluntary withdrawals or corrections for our products in the future that we determine do not require notification of the FDA or foreign regulatory authorities. If the FDA or foreign regulatory authorities disagree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Geographic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Significant changes in U.S. trade, tax or other policies that restrict imports or increase import tariffs for certain countries, particularly Mexico and Costa Rica, can escalate trade wars and could have a meaningful adverse effect on our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significant amount of our products are manufactured outside of the U.S. In certain years, the U.S. government has initiated substantial changes in U.S. trade policy and U.S. trade agreements, including the initiation of tariffs on certain foreign goods. In response to these tariffs, certain foreign governments, including Canada, China and Mexico, have retaliated imposing tariffs on certain U.S. goods. In January 2025, the current administration issued executive orders imposing additional tariffs on imported goods from Canada, Mexico, and China and in response Canada immediately announced similar tariffs on U.S. imports. In April 2025, the U.S. announced and began implementing "Liberation Day" reciprocal tariff measures, including a 10% baseline tariff on imports from many countries and certain higher country-specific tariff rates. Further, in July 2025, the U.S. announced that the 10% baseline reciprocal tariff on imports from all countries would be raised to 15% for certain countries, including Costa Rica. Imposed tariffs and retaliatory responses to these and further trade measures could prevent or make it difficult and will be more costly for us to import goods. They could also potentially disrupt our existing supply chains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and impose additional costs on our business, including, without limitation, costs with respect to raw materials upon which our business depends. The most significant potential impact to us is the additional tariffs on Costa Rican and Mexican imports, which could result in a meaningful impact to our results of operations due to our manufacturing facilities in these countries. Increased tariffs could require us to increase our prices, which likely could decrease demand for our products, and in many cases we may be unable to pass along increased costs to our customers if they are under long-term fixed price contracts. Additionally, we are subject to income taxes in the U.S. and numerous foreign jurisdictions. Any significant changes in current tax policies could have a material adverse effect on our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Our operations may be adversely impacted by our exposure to risks related to foreign currency exchange rates.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face exposure to adverse movements in foreign currency exchange rates due to our operations in foreign markets through our foreign subsidiaries and other international distributors. Our primary foreign currency exchange rate exposures are currently with the Euro, Mexican Peso, Canadian Dollar, Czech Koruna, Costa Rican Colon, Japanese Yen, Chinese Renminbi, and the Australian Dollar against the U.S. dollar. Our income and expenses are based on a mix of currencies, and a decline in one currency relative to the other currencies could adversely affect our operating results. Furthermore, our operating results are reported in U.S. dollars, using the exchange rate in effect at the balance sheet date, or, for revenues and expenses, using the average monthly exchange rates during the year. Accordingly, our operating results have been and continue to be subject to volatility due to fluctuations in foreign currency exchange rates. Generally, when the U.S. dollar weakens against these currencies, the dollar value of foreign-currency denominated revenue and expense increases, and when the U.S. dollar strengthens against these currencies, the dollar value of foreign-currency denominated revenue and expense decreases. We are also exposed to foreign currency risk on outstanding foreign currency denominated receivables and payables. Currency exchange rates have been especially volatile in the recent past. Accordingly, changes in foreign currency exchange rates have adversely affected and may continue to adversely affect our results of operations. For example, during 2025, we recorded $3.8 million in foreign exchange gains, net primarily related to the weakening of the U.S. dollar relative to certain foreign currencies, including the Euro and British Pound, partially offset by the weakening of the U.S. dollar relative to the Mexican Peso. See Item 7. “Management’s Discussion and Analysis of Financial Condition and Results of Operations” for a further discussion of the financial impact of exchange rate fluctuations on our results of operations. Fluctuations in currency exchange rates are caused by a number of factors that are beyond our control, including a country’s political and economic policies, inflationary conditions, disruptions in the financial markets, and global economic and geopolitical conditions.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only partially hedge against our foreign currency exchange rate risks, related to certain forecasted foreign currency-denominated revenues and expenses. We, therefore, believe our exposure to these risks may be higher than if we entered into hedging transactions, including forward exchange contracts or similar instruments that covered the company on a consolidated basis. If we decide in the future to enter into additional forward foreign exchange contracts to attempt to reduce the risk related to foreign currency exchange rates, these contracts may not mitigate the potential adverse impact on our financial results due to the limitations and difficulty forecasting future activity. In addition, these types of contracts may themselves cause financial harm to us and have inherent levels of counter-party risk over which we would have no control. We attempt to mitigate a portion of foreign currency exchange rate risks through foreign currency hedging. Our hedging activities, however, may not sufficiently offset the adverse financial impact caused by unfavorable movement in foreign currency exchange rates applicable to our business, and such exchange rate impacts could materially adversely affect our financial condition or results of operations. See “Item 7A.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International sales pose additional risks related to competition with larger international companies and established local companies and higher credit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undertaken an initiative to increase our international sales, and have distribution arrangements in all the principal countries in Western Europe, the Pacific Rim, Middle East, Latin America, Canada and South Africa. We plan to sell in most other areas of the world. We export most of our products sold internationally primarily from the U.S. and Mexico and to a lesser extent Costa Rica. Our principal competitors in international markets consist of much larger companies as well as smaller companies already established in the countries into which we sell our products. Our cost structure is often higher than that of our competitors because of the relatively high cost of transporting products to some local markets as well as our competitors’ lower local labor costs in some markets.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international sales are subject to higher credit risks than sales in the U.S. Many of our distributors are small and may not be well capitalized. Payment terms are relatively long. The European hospitals tend to be significantly slower in payment which has resulted in and may continue to result in an increase to our days sales outstanding from previous years. Our prices to our international distributors, outside of Europe, for products shipped to the customers from the U.S., Costa Rica or Mexico are generally denominated in U.S. dollars, but their resale prices are set in their local currency. A decline in the value of the local currency in relation to the U.S. dollar has in prior years adversely affected and may in future years adversely affect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their ability to profitably sell in their market the products they buy from us, and has in prior years adversely affected and may in future years adversely affect their ability to make payment to us for the products they purchase. Legal recourse for non-payment of indebtedness may be uncertain. These factors all contribute to a potential for credit losses.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We are dependent on manufacturing in Mexico and could be adversely affected by that region's increased labor costs and any economic, social or political disruptions.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Most of the material we use in manufacturing is imported into Mexico, and substantially all of the products we manufacture in Mexico are exported. Business activity in the Ensenada area has expanded significantly, providing increased employment opportunities. This has had and may continue to have an adverse effect on our ability to hire or retain necessary personnel and has resulted in and may continue to result in higher labor costs. In addition, minimum wages in regions within which we operate have increased labor costs significantly. We continue to take steps to compete for labor through attractive employment conditions and benefits, but there is no assurance that these steps will continue to be successful or that we will not continue to face increasing labor costs in the future.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political or economic disruption in Mexico or a change in its local economies could have an adverse effect on our operations. We depend on our ability to move goods across borders quickly, and any disruption in the free flow of goods across national borders could have an adverse effect on our business. Additionally, political and social instability resulting from violence in certain areas of Mexico has raised concerns about the safety of our personnel. These concerns may hinder our ability to send domestic personnel abroad and to hire and retain local personnel. Such concerns may require us to conduct more operations from the U.S. rather than Mexico, which may negatively impact our operations and result in higher costs and inefficiencies.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We could be adversely affected by violations of the U.S. Foreign Corrupt Practices Act and other worldwide anti-bribery laws.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Foreign Corrupt Practices Act and anti-bribery laws in other jurisdictions generally prohibit companies and their intermediaries from making improper payments for the purpose of obtaining or retaining business or other commercial advantage. Our policies mandate compliance with these anti-bribery laws, which often carry substantial penalties, including criminal and civil fines, potential loss of export licenses, possible suspension of the ability to do business with the federal government, denial of government reimbursement for products and exclusion from participation in government healthcare programs. We operate in jurisdictions that have experienced governmental and private sector corruption to some degree, and, in certain circumstances, strict compliance with anti-bribery laws may conflict with certain local customs and practices. We cannot assure that our internal control policies and procedures always will protect us from reckless or other inappropriate acts committed by our affiliates, employees, distributors or other agents. Violations of these laws, or allegations of such violations, could have a material adverse effect on our business, financial position and results of operations.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are subject to risks associated with doing business outside of the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a global market and global operations are subject to a number of risks. Sales to customers outside of the U.S. composed approximately 39% of our revenues in 2025 and as our operations and sales located in Europe and other areas outside the U.S. increase, we may face new challenges and uncertainties, although we can give no assurance that such operations and sales will increase.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risks associated with our operations outside the U.S. include, without limitation: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economic and political uncertainty;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changes in non-U.S. government programs;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multiple non-U.S. regulatory requirements that are subject to change and that could restrict our ability to manufacture and sell our products;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different local medical practices, product preferences and product requirements;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possible failure to comply with trade protection and restriction measures and import or export licensing requirements;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difficulty in establishing, staffing and managing non-U.S. operations;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different labor regulations or work stoppages or strikes;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changing geopolitical conditions arising from political instability and any actual or anticipated military or political conflicts;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economic instability in other parts of the world and the impact on interest rates, inflation and the credit worthiness of our customers in foreign countries, such as the devaluation of the Argentine Peso;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tariffs on products imported to the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uncertainties regarding judicial systems and procedures;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minimal or diminished protection of intellectual property in some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natural disasters or outbreak of diseases or pandemics;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foreign currency exchange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to international trade agreements and trade relationships and conflicts between countries;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imposition of government controls, such as economic sanctions and export controls.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risks, individually or in the aggregate, could have an adverse effect on our results of operations and financial condition. The occurrence or allegation of these types of risks may adversely affect our business, performance, prospects, value,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color w:val="000000"/>
          <w:sz w:val="20"/>
        </w:rPr>
        <w:t>Risks Related to our Strategic Transactions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If we fail to effectively complete the integration of our acquired businesses in a manner that preserves our reputation with customers and the key aspects of our corporate culture, our business, financial condition and results of operations could be harmed.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Smiths Medical acquisition was a significant acquisition for us and the product offerings within Smiths Medical are not product offerings that we previously offered. The success of our business will depend, in part, on our ability to realize our anticipated benefits, opportunities and synergies from combining our legacy businesses and Smiths Medical. We can provide no assurance that the anticipated benefits of the Smiths Medical acquisition will be fully realized in the time frame anticipated or at all. Integrating the operations of Smiths Medical with that of our legacy business has been and continues to be a complex, costly and time-consuming process. For example, we continue to execute several integration initiatives, including remaining enterprise systems conversions, manufacturing plant consolidation efforts and supply chain integration projects. The integration process may disrupt the businesses and, if implemented ineffectively, would restrict the realization of the full expected benefits. The failure to meet the challenges involved in integrating the two businesses could cause an interruption of, or a loss of momentum in, the activities of the combined businesses and could adversely affect the results of operations of the combined businesses. Potential difficulties that may be encountered in the integration process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challenges in preserving important strategic customer and other third-party relationships of both businesses;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diversion of management’s attention to integration matters;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costs, delays and other difficulties consolidating corporate and administrative infrastructures and information systems and implementing common systems and procedures including, in particular, our internal controls over financial reporting;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coordinating and integrating a geographically dispersed organization, including operations in jurisdictions we did not operate in prior to the Smiths Medical transaction.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one or all of these factors may increase operating costs or lower anticipated financial performance. Achieving the anticipated benefits and the potential benefits underlying our reasons for the Smiths Medical business acquisition will depend on successful integration of the businesses. Because of the significance of the Smiths Medical business acquisition to us, our failure to successfully complete the integration of the Smiths Medical business with that of our own could have a material adverse impact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If we are unable to effectively manage our internal growth or growth through acquisitions of companies, assets or products, our financial performance may be adversely affected.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We may expand our product offerings through acquisitions of companies or product lines from time to time. We can provide no assurance that we will be able to identify, acquire, develop or profitably manage additional companies or operations or successfully integrate such companies or operations into our existing operations without substantial costs, delays or other challenges. In 2022, we acquired the Smiths Medical business, which includes syringe and ambulatory infusion devices, vascular access, and vital care products, but we have made and continue to make significant integration efforts to achieve the anticipated benefits. See “</w:t>
      </w:r>
      <w:r>
        <w:rPr>
          <w:rFonts w:ascii="Times New Roman;serif" w:hAnsi="Times New Roman;serif"/>
          <w:b w:val="false"/>
          <w:i/>
          <w:color w:val="000000"/>
          <w:sz w:val="20"/>
          <w:shd w:fill="FFFFFF" w:val="clear"/>
        </w:rPr>
        <w:t>The Smiths Medical acquisition completed in January 2022 has resulted in organizational changes and an increase in size to our business. If we fail to effectively complete the integration of our business in a manner that preserves our reputation with customers and the key aspects of our corporate culture, our business, financial condition and results of operations could be harmed</w:t>
      </w:r>
      <w:r>
        <w:rPr>
          <w:rFonts w:ascii="Times New Roman;serif" w:hAnsi="Times New Roman;serif"/>
          <w:b w:val="false"/>
          <w:i/>
          <w:color w:val="000000"/>
          <w:sz w:val="20"/>
        </w:rPr>
        <w:t>.</w:t>
      </w:r>
      <w:r>
        <w:rPr>
          <w:color w:val="000000"/>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additional production facilities outside the U.S. to reduce labor costs. We intend to continue to expand our marketing and distribution capability, which may include external expansion through acquisitions both in the U.S. and foreign markets. The expansion of our marketing, distribution and product offerings both internally and through acquisitions or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 may place substantial burdens on our management resources and financial controls. Decentralization of assembly and manufacturing could place further burdens on management to manage those operations and maintain efficiencies and quality control.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increasing burdens on our management resources and financial controls resulting from internal growth and acquisitions could adversely affect our operating results. In addition, acquisitions may involve a number of special risks in addition to the difficulty of integrating cultures and operations and the diversion of management’s attention, including adverse short-term effects on our reported operating results, dependence on retention, hiring and training of key personnel, risks associated with unanticipated problems or legal liabilities, and amortization of acquired intangible assets, some or all of which could materially and adversely affect our operations and financial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For the Smiths Medical acquisition, we incurred a substantial amount of debt to finance the cash consideration portion and certain other amounts paid in connection with the Smiths Medical acquisition, which could adversely affect our business, including by restricting our ability to engage in additional transactions or incur additional indebtedness.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In connection with the Smiths Medical transaction, we entered into our Existing Credit Agreement with Wells Fargo Bank and certain other financial institutions to refinance the Term Loan A and the existing Revolving Credit Facility under the Credit Agreement dated as of January 6, 2022 (as amended by Amendment No. 1, dated as of October 5, 2022, the "Existing Credit Agreement," and as further amended by the Amendment, the "Amended Credit Agreement"), which resulted in us incurring additional borrowing costs. In October 31, 2025, we amended our Existing Credit Agreement to refinance our existing Term Loan A and Revolving Credit Facilities. The amended credit facility includes a new five-year term loan A facility of $750.0 million (the "Term Loan A"), and a new five-year revolving credit facility of $500.0 million (the "Revolving Credit Facility"). The proceeds from the new Term Loan A were primarily used by the lenders to (i) directly repay in full the $559.7 million of outstanding principal of the existing Term Loan A and (ii) directly repay $190.0 million of the outstanding balance of the Term Loan B under the Existing Credit Agreement. As a result of entering into the amended credit facility, we incurred additional borrowing costs. At December 31, 2025, our long-term debt outstanding was $1.3 billion. Our more leveraged financial position following the Smiths Medical transaction could make us more vulnerable to general economic downturns and industry conditions, and place us at a competitive disadvantage relative to our competitors. In the event that we do not have adequate capital to maintain or develop our business and need to seek additional financing, additional capital may not be available to us on a timely basis, on favorable terms, or at all. Moreover, our New Credit Facilities (defined below) have certain restrictions that may limit how we operate our business, including our ability to engage in certain transactions and incur additional indebtedness, and our business may be materially and adversely affected if these restrictions prevent us from implementing our business plan. See “Business and Operating Risks - The agreements governing our debt contain a number of restrictive covenants which limit our flexibility in operating our business, finance future operations or pursue our business strategies</w:t>
      </w:r>
      <w:r>
        <w:rPr>
          <w:rFonts w:ascii="Times New Roman;serif" w:hAnsi="Times New Roman;serif"/>
          <w:b w:val="false"/>
          <w:i/>
          <w:color w:val="000000"/>
          <w:sz w:val="20"/>
        </w:rPr>
        <w: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have and may continue to acquire businesses, form strategic alliances, enter into joint ventures or make investments in businesses or technologies. Such transactions or investments could result in unforeseen operating difficulties or expenditures and require significant management resources, charges or write-downs that could adversely impact our business and operating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and may continue to seek to supplement our internal growth through acquisitions of complementary businesses, technologies, services, or products, as well as investments, joint ventures and strategic alliances. We compete for those opportunities with others including our competitors, some of which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Such transactions are inherently risky, and the integration of any newly-acquired business requires significant effort and management attention that otherwise would be available for ongoing development of our other businesses.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success of any acquisition, investment, joint venture or alliance may be affected by a number of factors, including our ability to properly assess and value the potential business opportunity or to successfully integrate any business we may acquire into our existing business. Integration of an acquired business also may disrupt our ongoing operations and require management resources that we would otherwise focus on developing our existing business. For example, we acquired the HIS business in February 2017, which includes IV pumps, solutions, and devices in order to create a leading pure-play infusion therapy company, and we acquired Smiths Medical in January 2022, which includes syringe and ambulatory infusion devices, vascular access, and vital care products. We invested significant time and resources into the HIS integration in order to achieve the anticipated benefits of the transaction, and we have been and continue to do the same with the Smiths Medical integration.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 recently, in November 2024, we entered into a purchase agreement (the “Agreement”) with Otsuka to form a joint venture (the “joint venture”) for our IV Solutions product line. In May 2025, we announced the completion of our joint venture and the formation of ICU Medical, Pearl LLC (n/k/a Otsuka ICU Medical LLC) with Otsuka having 60% equity interest, and us being a minority holder with a 40% equity interest. The failure for the joint venture to meet our performance and financial expectations could adversely impact our ability to meet internal forecasts and expectations. Additionally, pursuant to the terms of the Agreement, we do not have sole decision-making authority with matters related to the joint venture, or have the ability to control over the actions of Otsuka, which could result in impasses on decisions or decisions made by our partners, which we may be unable to resolve in a manner that will be favorable to us. Further, Otsuka may have economic or business interests that are, or may become, inconsistent with our interests.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Acquisitions, investments, joint ventures and alliances involve numerous risks and uncertainties, including, without limitation, the failure to identify suitable acquisition candidates and partners, the ability to complete the transaction on acceptable terms and conditions, the incurrence of liabilities greater than anticipated or operating results that are less than anticipated, the inability to realize the projected value, and the inability to realize projected synergies, the incurrence of debt, contingent liabilities or future write-offs of intangible assets or goodwill, any of which could have a material adverse effect on our financial condition, results of operations and cash flows. We may also experience losses related to investments in other companies, which could have an adverse effect on our results of operations and financial condition. As such, there can be no assurance that any past or future transactions or investments will be successful.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i/>
          <w:color w:val="000000"/>
          <w:sz w:val="20"/>
        </w:rPr>
      </w:pPr>
      <w:r>
        <w:rPr>
          <w:rFonts w:ascii="Times New Roman;serif" w:hAnsi="Times New Roman;serif"/>
          <w:b/>
          <w:i/>
          <w:color w:val="000000"/>
          <w:sz w:val="20"/>
        </w:rPr>
        <w:t>Cybersecurity Risk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developed and implemented a cybersecurity risk management program intended to protect the confidentiality, integrity, and availability of our critical systems and information.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leverage guidance from the National Institute of Standards and Technology Cybersecurity Framework (“NIST CSF”), which provides an outline of enterprise security processes and controls, to inform the design and assessment of our cybersecurity risk management program. This does not imply that we meet any particular technical standards, specifications, or requirements, only that we use the NIST CSF as a guide to help us identify, assess, and manage cybersecurity risks relevant to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cybersecurity risk management program is overseen by a cross-functional team comprised of our business-functional and IT employees. Our cybersecurity risk management program is integrated into our overall risk management program, and shares common methodologies, reporting channels and governance processes that apply across the risk management program to other legal, compliance, strategic, operational, and financial risk areas.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Key elements of our cybersecurity risk management program include but are not limited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risk assessments designed to help identify material risks from cybersecurity threats to our critical systems and information;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evaluations of our readiness to assess, respond and, as applicable, recover from potential cybersecurity incidents;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use of external service providers, where appropriate, to assess, test or otherwise assist with aspects of our security processes;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cybersecurity training to educate our employees (including senior management and incident response personnel), consultants, and other users about their individual responsibilities regarding protecting our IT systems and data;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third-party risk management process for key service providers, based on our assessment of their criticality to our operations and respective risk profile.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not identified risks from known cybersecurity threats, including as a result of any prior cybersecurity incidents, that have materially affected or are reasonably likely to materially affect us, including our operations,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strategy, results of operations, or financial condition. We face risks from cybersecurity threats that, if realized, are reasonably likely to materially affect us, including our operations, business strategy, results of operations or financial condition. For more information, see the section titled “Risk Factor—Market and Other External Risks—</w:t>
      </w:r>
      <w:r>
        <w:rPr>
          <w:rFonts w:ascii="Times New Roman;serif" w:hAnsi="Times New Roman;serif"/>
          <w:b w:val="false"/>
          <w:i/>
          <w:color w:val="000000"/>
          <w:sz w:val="20"/>
        </w:rPr>
        <w:t>Failure to protect our information technology systems against security breaches, service interruptions, or misappropriation of data could disrupt operations, compromise sensitive data, and expose us to liability, possibly causing our business and reputation to suffer.”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Cybersecurity Governance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considers cybersecurity risk as part of its risk oversight function and has delegated to the Audit and Compliance Committee ("Audit Committee") oversight of cybersecurity, including management’s implementation of our cybersecurity risk management program.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 quarterly basis, our Audit Committee receives updates from our Chief Information Officer ("CIO") with respect to the status of our cybersecurity initiatives to strengthen our cybersecurity risk management. In addition, our CIO updates the Audit Committee, where it deems appropriate, regarding cybersecurity incidents it considers to be significant or potentially significant. Our Audit Committee discusses the potential impact of cybersecurity risks on our financial condition, results of operations or our reputation.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Audit Committee also periodically reports to the Board regarding its activities, including those related to cybersecurity. The full Board also periodically receives briefings from management on our cyber risk management program. Board members receive periodic presentations on cybersecurity topics from our CIO, internal security staff or external experts as part of the Board’s continuing education on topics that impact public companies.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cybersecurity risk management program is led by our CIO through our Information Security Committee (“ISC”), which includes a cross-functional group of senior leaders who are responsible for the dissemination and promotion of our cybersecurity strategy, implementation of cybersecurity objectives and top-down communication and monitoring of the risk management program as described above. Our ISC is responsible for the regular oversight of cybersecurity risks from cybersecurity threats and supervises both our internal cybersecurity personnel and our retained external cybersecurity consultants.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ISC facilitates communications between executive, business/process level and the implementation/operations level to coordinate the implementation of our cybersecurity risk program. The ISC team meets on a regular basis, at least quarterly and more frequently as needed, to discuss significant initiatives, critical metrics and address certain risk responses.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ISC members includes, among others, our CIO and our Director of IT Security, Risk and Compliance who have a combined 20 years of risk management experience encompassing cybersecurity and technology security, such as threat assessments, risk management, cybersecurity insurance, incident response, end user awareness and vulnerability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team takes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our IT environment.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material properties used by us in connection with our corporate administrative operations, manufacturing, distribution, research and development and service centers as of December 31, 2025,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62"/>
        <w:gridCol w:w="840"/>
        <w:gridCol w:w="854"/>
        <w:gridCol w:w="109"/>
        <w:gridCol w:w="109"/>
        <w:gridCol w:w="109"/>
        <w:gridCol w:w="778"/>
        <w:gridCol w:w="778"/>
        <w:gridCol w:w="780"/>
        <w:gridCol w:w="109"/>
        <w:gridCol w:w="109"/>
        <w:gridCol w:w="109"/>
        <w:gridCol w:w="985"/>
        <w:gridCol w:w="981"/>
        <w:gridCol w:w="986"/>
        <w:gridCol w:w="109"/>
        <w:gridCol w:w="109"/>
        <w:gridCol w:w="109"/>
        <w:gridCol w:w="373"/>
        <w:gridCol w:w="373"/>
        <w:gridCol w:w="534"/>
      </w:tblGrid>
      <w:tr>
        <w:trPr/>
        <w:tc>
          <w:tcPr>
            <w:tcW w:w="96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Approximate Square Footage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Primary 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Owned/Leased</w:t>
            </w:r>
          </w:p>
        </w:tc>
      </w:tr>
      <w:tr>
        <w:trPr/>
        <w:tc>
          <w:tcPr>
            <w:tcW w:w="26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 Clemente, California,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39,000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Headquarters and 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Owned </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 Clemente, California,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9,779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Headquarters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 Diego, California,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Offices and 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Lake Forest, Illinois,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Offices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Dublin, Ohio,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Offices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Houten, Netherlands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Offices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Rydalmere, NSW Australia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14,735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Offices/Device Service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Chennai, India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30,838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Plymouth, Minnesota,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19,847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Offices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Kent, 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Offices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Grasbrunn, Germany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Offices/Device Service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Ensenada, Baja California, 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265,021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Monterrey, 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 Aurora, Costa 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626,869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Salt Lake City, Utah,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440,104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Manufacturing/Device Service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Dublin, Ohio,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153,121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Gary, Indiana,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45,416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Gary, Indiana,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Manufacturing/Corporate Offices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Southington, Connecticut,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Tijuana, Mexico (multiple 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243,935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Hranice, Czech Republic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129,953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Latina, Italy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Keene, New Hampshire,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153,427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Warehouse/Manufacturing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Oakdale, Minnesota,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93,648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Warehouse/Device Service Center - </w:t>
            </w:r>
            <w:r>
              <w:rPr>
                <w:rFonts w:ascii="Times New Roman;serif" w:hAnsi="Times New Roman;serif"/>
                <w:b/>
                <w:i/>
                <w:color w:val="000000"/>
                <w:sz w:val="18"/>
              </w:rPr>
              <w:t>Idle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Dallas, Texas,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610,806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Warehouse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King of Prussia, Pennsylvania,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105,611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Warehouse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Santa Fe Springs, California,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76,794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Warehouse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Wijchen, Netherlands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Warehouse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Olive Branch, Mississippi,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239,863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Warehouse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above, we own and lease additional office and building space, research and development, and sales and support offices primarily in North America, Europe, South America, and Asia. We believe our existing facilities, both owned and leased, are in good condition and suitable for the conduct of our business.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The information required with respect to this Item 3. is discussed in Part II, Item 8. "Financial Statements and Supplementary Data" of this Annual Report on Form 10-K in Note 15. Commitments and Contingencies to the Consolidated Financial Statements.</w:t>
      </w:r>
      <w:r>
        <w:rPr>
          <w:color w:val="008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Market Information for Common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common stock trades on the Nasdaq Global Select Market under the symbol “ICUI.”</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Stockholders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January 31, 2026, we had 31 stockholders of record. This does not include persons whose shares are held in nominee or “street name” accounts through brokers.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Securities authorized for issuance under equity compensation plans are discussed in Part III, Item 12 of this Annual Report on Form 10-K.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never paid dividends and do not anticipate paying dividends in the foreseeable future as the Board of Directors intends to retain future earnings for use in our business to pay down our long-term debt or to purchase our shares. Any future determination as to payment of dividends or purchase of our shares will depend upon our financial condition, results of operations and such other factors as the Board of Directors deems relevant.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stock repurchasing activity during the fourth quarter of 2025:</w:t>
      </w:r>
    </w:p>
    <w:tbl>
      <w:tblPr>
        <w:tblW w:w="7662" w:type="dxa"/>
        <w:jc w:val="left"/>
        <w:tblInd w:w="0" w:type="dxa"/>
        <w:tblLayout w:type="fixed"/>
        <w:tblCellMar>
          <w:top w:w="28" w:type="dxa"/>
          <w:left w:w="28" w:type="dxa"/>
          <w:bottom w:w="28" w:type="dxa"/>
          <w:right w:w="28" w:type="dxa"/>
        </w:tblCellMar>
      </w:tblPr>
      <w:tblGrid>
        <w:gridCol w:w="791"/>
        <w:gridCol w:w="696"/>
        <w:gridCol w:w="703"/>
        <w:gridCol w:w="109"/>
        <w:gridCol w:w="109"/>
        <w:gridCol w:w="109"/>
        <w:gridCol w:w="280"/>
        <w:gridCol w:w="280"/>
        <w:gridCol w:w="281"/>
        <w:gridCol w:w="109"/>
        <w:gridCol w:w="109"/>
        <w:gridCol w:w="109"/>
        <w:gridCol w:w="240"/>
        <w:gridCol w:w="461"/>
        <w:gridCol w:w="125"/>
        <w:gridCol w:w="109"/>
        <w:gridCol w:w="109"/>
        <w:gridCol w:w="109"/>
        <w:gridCol w:w="315"/>
        <w:gridCol w:w="315"/>
        <w:gridCol w:w="316"/>
        <w:gridCol w:w="109"/>
        <w:gridCol w:w="109"/>
        <w:gridCol w:w="109"/>
        <w:gridCol w:w="211"/>
        <w:gridCol w:w="1186"/>
        <w:gridCol w:w="154"/>
      </w:tblGrid>
      <w:tr>
        <w:trPr/>
        <w:tc>
          <w:tcPr>
            <w:tcW w:w="7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purchased</w:t>
              <w:br/>
              <w:t>as part of a</w:t>
              <w:br/>
              <w:t>publicly</w:t>
              <w:br/>
              <w:t>announced</w:t>
              <w:br/>
              <w:t>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Approximate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dollar value that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may yet be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under the</w:t>
            </w:r>
          </w:p>
          <w:p>
            <w:pPr>
              <w:pStyle w:val="TableContents"/>
              <w:bidi w:val="0"/>
              <w:spacing w:lineRule="auto" w:line="240" w:before="0" w:after="0"/>
              <w:jc w:val="center"/>
              <w:rPr/>
            </w:pPr>
            <w:r>
              <w:rPr>
                <w:rFonts w:ascii="Times New Roman;serif" w:hAnsi="Times New Roman;serif"/>
                <w:b/>
                <w:color w:val="000000"/>
                <w:sz w:val="16"/>
              </w:rPr>
              <w:t>program</w:t>
            </w:r>
            <w:r>
              <w:rPr>
                <w:rFonts w:ascii="Times New Roman;serif" w:hAnsi="Times New Roman;serif"/>
                <w:b/>
                <w:color w:val="000000"/>
                <w:sz w:val="10"/>
              </w:rPr>
              <w:t>(1)</w:t>
            </w:r>
          </w:p>
        </w:tc>
      </w:tr>
      <w:tr>
        <w:trPr/>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10/01/2025 - 10/31/2025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11/01/2025 - 11/30/2025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12/01/2025 - 12/31/2025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 2025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w:t>
      </w:r>
    </w:p>
    <w:p>
      <w:pPr>
        <w:pStyle w:val="TextBody"/>
        <w:bidi w:val="0"/>
        <w:spacing w:lineRule="auto" w:line="268" w:before="0" w:after="0"/>
        <w:ind w:left="0" w:right="0" w:hanging="36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18"/>
        </w:rPr>
        <w:t>Our common stock purchase plan, which authorized the repurchase of up to $100.0 million of our common stock, was authorized by our Board of Directors and publicly announced in August 2019.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 depending on a variety of factors, including our financial position, earnings, share price, capital requirements, other investment opportunities (including mergers and acquisitions and related financings), market conditions and other factors. Purchases made under our stock purchase program can be discontinued at any time we determine additional purchases are not warranted.</w:t>
      </w:r>
    </w:p>
    <w:p>
      <w:pPr>
        <w:pStyle w:val="TextBody"/>
        <w:bidi w:val="0"/>
        <w:spacing w:before="0" w:after="0"/>
        <w:ind w:left="0" w:right="0" w:hanging="360"/>
        <w:jc w:val="left"/>
        <w:rPr/>
      </w:pPr>
      <w:r>
        <w:rPr/>
      </w:r>
    </w:p>
    <w:p>
      <w:pPr>
        <w:pStyle w:val="TextBody"/>
        <w:bidi w:val="0"/>
        <w:spacing w:before="0" w:after="0"/>
        <w:ind w:left="0" w:right="0" w:hanging="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center"/>
        <w:rPr>
          <w:rFonts w:ascii="Times New Roman;serif" w:hAnsi="Times New Roman;serif"/>
          <w:b w:val="false"/>
          <w:color w:val="000000"/>
          <w:sz w:val="18"/>
        </w:rPr>
      </w:pPr>
      <w:r>
        <w:rPr>
          <w:rFonts w:ascii="Times New Roman;serif" w:hAnsi="Times New Roman;serif"/>
          <w:b w:val="false"/>
          <w:color w:val="000000"/>
          <w:sz w:val="18"/>
        </w:rPr>
        <w:t>COMPARISON OF CUMULATIVE TOTAL RETURN FROM DECEMBER 31, 2020 TO DECEMBER 31, 2025 OF ICU MEDICAL, INC., NASDAQ AND NASDAQ MEDICAL SUPPLIES INDEX</w:t>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following graph shows the total stockholder return on our common stock based on the market price of the common stock from December 31, 2020 to December 31, 2025 and the total returns of the NASDAQ U.S. Index and NASDAQ Medical Supplies Index for the same period.</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drawing>
          <wp:inline distT="0" distB="0" distL="0" distR="0">
            <wp:extent cx="5819775" cy="3267075"/>
            <wp:effectExtent l="0" t="0" r="0" b="0"/>
            <wp:docPr id="4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 descr=""/>
                    <pic:cNvPicPr>
                      <a:picLocks noChangeAspect="1" noChangeArrowheads="1"/>
                    </pic:cNvPicPr>
                  </pic:nvPicPr>
                  <pic:blipFill>
                    <a:blip r:embed="rId2"/>
                    <a:stretch>
                      <a:fillRect/>
                    </a:stretch>
                  </pic:blipFill>
                  <pic:spPr bwMode="auto">
                    <a:xfrm>
                      <a:off x="0" y="0"/>
                      <a:ext cx="5819775" cy="3267075"/>
                    </a:xfrm>
                    <a:prstGeom prst="rect">
                      <a:avLst/>
                    </a:prstGeom>
                  </pic:spPr>
                </pic:pic>
              </a:graphicData>
            </a:graphic>
          </wp:inline>
        </w:drawing>
      </w:r>
      <w:bookmarkStart w:id="0" w:name="i-1"/>
      <w:bookmarkEnd w:id="0"/>
    </w:p>
    <w:tbl>
      <w:tblPr>
        <w:tblW w:w="10205" w:type="dxa"/>
        <w:jc w:val="left"/>
        <w:tblInd w:w="0" w:type="dxa"/>
        <w:tblLayout w:type="fixed"/>
        <w:tblCellMar>
          <w:top w:w="28" w:type="dxa"/>
          <w:left w:w="28" w:type="dxa"/>
          <w:bottom w:w="28" w:type="dxa"/>
          <w:right w:w="28" w:type="dxa"/>
        </w:tblCellMar>
      </w:tblPr>
      <w:tblGrid>
        <w:gridCol w:w="886"/>
        <w:gridCol w:w="781"/>
        <w:gridCol w:w="783"/>
        <w:gridCol w:w="350"/>
        <w:gridCol w:w="330"/>
        <w:gridCol w:w="332"/>
        <w:gridCol w:w="109"/>
        <w:gridCol w:w="109"/>
        <w:gridCol w:w="109"/>
        <w:gridCol w:w="350"/>
        <w:gridCol w:w="330"/>
        <w:gridCol w:w="332"/>
        <w:gridCol w:w="109"/>
        <w:gridCol w:w="109"/>
        <w:gridCol w:w="109"/>
        <w:gridCol w:w="350"/>
        <w:gridCol w:w="330"/>
        <w:gridCol w:w="332"/>
        <w:gridCol w:w="109"/>
        <w:gridCol w:w="109"/>
        <w:gridCol w:w="109"/>
        <w:gridCol w:w="350"/>
        <w:gridCol w:w="330"/>
        <w:gridCol w:w="332"/>
        <w:gridCol w:w="109"/>
        <w:gridCol w:w="109"/>
        <w:gridCol w:w="109"/>
        <w:gridCol w:w="350"/>
        <w:gridCol w:w="330"/>
        <w:gridCol w:w="332"/>
        <w:gridCol w:w="109"/>
        <w:gridCol w:w="109"/>
        <w:gridCol w:w="109"/>
        <w:gridCol w:w="323"/>
        <w:gridCol w:w="303"/>
        <w:gridCol w:w="434"/>
      </w:tblGrid>
      <w:tr>
        <w:trPr/>
        <w:tc>
          <w:tcPr>
            <w:tcW w:w="88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12/31/2023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12/31/2024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12/31/2025</w:t>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ICU Medical, Inc.</w:t>
            </w:r>
          </w:p>
        </w:tc>
        <w:tc>
          <w:tcPr>
            <w:tcW w:w="1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66.52</w:t>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 U.S. Index</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186.96</w:t>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 Medical Supplies Index</w:t>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67.95</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Assumes $100 invested on December 31, 2020 in ICU Medical Inc.’s common stock, the NASDAQ U.S. Index and the NASDAQ Medical Supplies Index and that all dividends, if any, were reinvested.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You should read the following discussion and analysis of our financial condition and results of operations together with our consolidated financial statements and notes thereto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Part I, Item 1A. “Risk Factors” or in other sections of this Annual Report on Form 1</w:t>
      </w:r>
      <w:r>
        <w:rPr>
          <w:rFonts w:ascii="Times New Roman;serif" w:hAnsi="Times New Roman;serif"/>
          <w:b w:val="false"/>
          <w:color w:val="000000"/>
          <w:sz w:val="20"/>
        </w:rPr>
        <w:t>0</w:t>
      </w:r>
      <w:r>
        <w:rPr>
          <w:rFonts w:ascii="Times New Roman;serif" w:hAnsi="Times New Roman;serif"/>
          <w:b w:val="false"/>
          <w:i/>
          <w:color w:val="000000"/>
          <w:sz w:val="20"/>
        </w:rPr>
        <w:t>-K as may be further updated from time to time in our other filings with the SEC.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Business Overview and Highlights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develop, manufacture, and sell innovative medical products used in infusion systems, infusion consumables and high-value critical care products used in hospital, alternate site and home care settings. Our team is focused on providing quality, innovation and value to our clinical customers worldwide. Our product portfolio includes ambulatory, syringe, and large volume IV pumps and safety software; dedicated and non-dedicated IV sets, needlefree IV connectors, and peripheral IV catheters; closed system transfer devices and pharmacy compounding systems; as well as a range of respiratory, anesthesia,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patient monitoring, and temperature management products. We also offer IV Solutions products through a commercial relationship with the joint venture.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Global Economic Challenges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recent years, we have experienced, and may continue to experience, significant impacts to our business as a result of global economic challenges, resulting from, among other events, health pandemics and geopolitical conflicts which have resulted in fluctuating inflation rates, especially with respect to increased cost and shortages of raw materials, supply chain disruptions, higher interest rates, volatility on foreign currency exchange rates, and freight costs driven by higher fuel prices.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2025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U.S. administration has continued to engage in trade discussions and impose tariffs on imports from other countries. Certain of these tariffs have been subsequently paused or modified, and the situation remains highly fluid. For example, on July 31, 2025, the U.S. announced that the 10% baseline reciprocal tariff on imports from all countries would be raised to 15% for certain countries, including Costa Rica. More recently, the U.S. administration threatened to impose additional tariffs on European allies as a penalty for the Greenland dispute. In response, the European Union prepared a list of retaliatory tariffs; subsequently, the U.S. withdrew the proposed tariffs following diplomatic discussions.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majority of our global revenues are from products manufactured in our Costa Rica and Mexico manufacturing facilities and imported into the U.S. Currently the vast majority of products manufactured in our Mexico facilities are exempted from tariffs under the United States-Mexico-Canada Agreement ("USMCA"). If, however, the USMCA exemptions were eliminated in the future, our tariff expense for products manufactured in Mexico would increase substantially. The tariffs as currently implemented are likely to have a material impact on our business, financial condition and results of operations through the incurrence of additional costs; however, the extent to which the imposition of tariffs, possible delays and exemptions may have a material impact remains fluid. During 2025, we incurred $33.6 million in incremental reciprocal tariffs as a result of the tariffs imposed by the U.S. Administration in 2025, of which $7.9 million was capitalized and $25.7 million was expensed.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U.S. Commerce Department (the "Department") initiated a national security investigation into imports of medical consumables and equipment under Section 232 of the Trade Expansion Act (the "Act"). The Act allows the President to negotiate tariffs to promote international trade. Section 232 of the Act specifically grants the President the authority to impose tariffs if the Department determines imports threaten U.S. national security. The Department has 270 days to deliver its policy recommendations to the President, who then has up to 90 days to decide on potential action and 15 days to implement it. If the probes conducted determine these imports, which comprise the vast majority of our product portfolio, pose a national security risk, it could result in potential tariffs imposed in addition to the country-based tariffs and/or could reduce the benefits we receive from currently available exemptions such as the USMCA.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current geopolitical conditions we expect foreign currency rates, freight costs, oil prices, interest rates, and general inflation to remain subject to volatility in the market.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While we continually monitor the ongoing and evolving impact of the above events on our operations the overall impact remains uncertain and may not be fully reflected in our results of operations until future periods. The overall impact to our results of operations will depend on a number of factors, many of which are out of our control, none of which can be fully predicted at this time. See "Part I. Item 1A. Risk Factors" for a discussion of risks and uncertainties. </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Disposition of our IV Solutions Business and Prepayment of a portion of our Long-term Obligations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24, 2025, pursuant to a purchase agreement (the "Agreement") with Otsuka Pharmaceutical Factory America, Inc. a Delaware corporation ("OPF") (described in Note 3: Assets Held For Sale and Disposal of Business to our accompanying consolidated financial statements), we completed the formation of ICU Medical Pearl LLC (n/k/a Otsuka ICU Medical LLC (the "joint venture")) and transferred the assets, liabilities and operations that comprise our IV Solutions product line to the joint venture. At the closing of the transaction on May 1, 2025, under the Agreement, we sold a 60% interest in the joint venture to OPF. The total sales price, inclusive of our final price adjustments, was $211.2 million, of which we used $200.0 million of the proceeds from the sale to pay down a portion of our outstanding Term Loan A (as defined below) long-term debt during the second quarter of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present our consolidated statements of operations for each of the three years ended December 31, 2025, 2024 and 2023 in Item 8. Financial Statements and Supplementary Data. The following table shows, for each of the three most recent years, the respective percentages of items in our statements of operations in relation to total revenues: </w:t>
      </w:r>
    </w:p>
    <w:tbl>
      <w:tblPr>
        <w:tblW w:w="10077" w:type="dxa"/>
        <w:jc w:val="left"/>
        <w:tblInd w:w="0" w:type="dxa"/>
        <w:tblLayout w:type="fixed"/>
        <w:tblCellMar>
          <w:top w:w="28" w:type="dxa"/>
          <w:left w:w="28" w:type="dxa"/>
          <w:bottom w:w="28" w:type="dxa"/>
          <w:right w:w="28" w:type="dxa"/>
        </w:tblCellMar>
      </w:tblPr>
      <w:tblGrid>
        <w:gridCol w:w="2474"/>
        <w:gridCol w:w="2177"/>
        <w:gridCol w:w="2189"/>
        <w:gridCol w:w="109"/>
        <w:gridCol w:w="109"/>
        <w:gridCol w:w="109"/>
        <w:gridCol w:w="233"/>
        <w:gridCol w:w="233"/>
        <w:gridCol w:w="271"/>
        <w:gridCol w:w="109"/>
        <w:gridCol w:w="109"/>
        <w:gridCol w:w="109"/>
        <w:gridCol w:w="233"/>
        <w:gridCol w:w="233"/>
        <w:gridCol w:w="271"/>
        <w:gridCol w:w="109"/>
        <w:gridCol w:w="109"/>
        <w:gridCol w:w="109"/>
        <w:gridCol w:w="233"/>
        <w:gridCol w:w="233"/>
        <w:gridCol w:w="316"/>
      </w:tblGrid>
      <w:tr>
        <w:trPr/>
        <w:tc>
          <w:tcPr>
            <w:tcW w:w="2474"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of Revenues</w:t>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strategic transaction and integration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earn-out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 and equity in losses of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of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revenues were $2.2 billion, $2.4 billion and $2.3 billion for 2025, 2024 and 2023, respectively.</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for the periods indicated, total revenue by product line as a percentage of total revenue:  </w:t>
      </w:r>
    </w:p>
    <w:tbl>
      <w:tblPr>
        <w:tblW w:w="4737" w:type="dxa"/>
        <w:jc w:val="left"/>
        <w:tblInd w:w="0" w:type="dxa"/>
        <w:tblLayout w:type="fixed"/>
        <w:tblCellMar>
          <w:top w:w="28" w:type="dxa"/>
          <w:left w:w="28" w:type="dxa"/>
          <w:bottom w:w="28" w:type="dxa"/>
          <w:right w:w="28" w:type="dxa"/>
        </w:tblCellMar>
      </w:tblPr>
      <w:tblGrid>
        <w:gridCol w:w="543"/>
        <w:gridCol w:w="477"/>
        <w:gridCol w:w="480"/>
        <w:gridCol w:w="109"/>
        <w:gridCol w:w="109"/>
        <w:gridCol w:w="109"/>
        <w:gridCol w:w="232"/>
        <w:gridCol w:w="234"/>
        <w:gridCol w:w="271"/>
        <w:gridCol w:w="109"/>
        <w:gridCol w:w="109"/>
        <w:gridCol w:w="109"/>
        <w:gridCol w:w="232"/>
        <w:gridCol w:w="234"/>
        <w:gridCol w:w="271"/>
        <w:gridCol w:w="109"/>
        <w:gridCol w:w="109"/>
        <w:gridCol w:w="109"/>
        <w:gridCol w:w="232"/>
        <w:gridCol w:w="234"/>
        <w:gridCol w:w="316"/>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Product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Infusion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Vital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manage our product distribution through a network of owned and leased distribution facilities in combination with independent distributors and third-party fulfillment and logistics providers. Our end customers, which include healthcare providers and original equipment manufacturer suppliers, may order and receive our products directly from us or through an independent full-line distributor.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U.S. a substantial amount of our products are sold to group purchasing organization ("GPO")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Seasonality/Quarterly Results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no significant seasonal aspects to our business. We can experience fluctuations in net sales as a result of variations in the ordering patterns of our largest customers, which may be driven more by customer inventory levels and production scheduling, and less by seasonality. Our expenses often do not fluctuate in the same manner as net sales, which may cause fluctuations in operating income that are disproportionate to fluctuations in our revenue.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comparing changes in revenue on a U.S. GAAP basis, we also compare the changes in revenue from one period to another using constant currency. The presentation of revenues on a constant currency basis is a non-GAAP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measure that excludes the impact of fluctuations in foreign currency exchange rates that occurred between the comparative periods. We provide constant currency information to enhance the visibility of underlying business trends, excluding the effects of changes in foreign currency translation rates. We believe this information is useful to investors to facilitate comparisons and better identify trends in our business. Our constant currency revenues reflect current year local currency revenues at prior year's average exchange rates. We consistently apply this approach to revenues for all currencies where the functional currency is not the U.S. dollar. These results should be considered in addition to, not as a substitute for, results reported in accordance with GAAP. Revenues on a constant currency basis, as we present them, may not be comparable to similarly titled measures used by other companies and are not measures of performance presented in accordance with GAAP.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Consumables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total Consumables revenue (in millions, except percentages):</w:t>
      </w:r>
    </w:p>
    <w:tbl>
      <w:tblPr>
        <w:tblW w:w="10205" w:type="dxa"/>
        <w:jc w:val="left"/>
        <w:tblInd w:w="0" w:type="dxa"/>
        <w:tblLayout w:type="fixed"/>
        <w:tblCellMar>
          <w:top w:w="28" w:type="dxa"/>
          <w:left w:w="28" w:type="dxa"/>
          <w:bottom w:w="28" w:type="dxa"/>
          <w:right w:w="28" w:type="dxa"/>
        </w:tblCellMar>
      </w:tblPr>
      <w:tblGrid>
        <w:gridCol w:w="473"/>
        <w:gridCol w:w="416"/>
        <w:gridCol w:w="418"/>
        <w:gridCol w:w="211"/>
        <w:gridCol w:w="766"/>
        <w:gridCol w:w="271"/>
        <w:gridCol w:w="109"/>
        <w:gridCol w:w="109"/>
        <w:gridCol w:w="109"/>
        <w:gridCol w:w="211"/>
        <w:gridCol w:w="766"/>
        <w:gridCol w:w="271"/>
        <w:gridCol w:w="109"/>
        <w:gridCol w:w="109"/>
        <w:gridCol w:w="109"/>
        <w:gridCol w:w="211"/>
        <w:gridCol w:w="616"/>
        <w:gridCol w:w="109"/>
        <w:gridCol w:w="109"/>
        <w:gridCol w:w="109"/>
        <w:gridCol w:w="109"/>
        <w:gridCol w:w="211"/>
        <w:gridCol w:w="511"/>
        <w:gridCol w:w="109"/>
        <w:gridCol w:w="109"/>
        <w:gridCol w:w="109"/>
        <w:gridCol w:w="109"/>
        <w:gridCol w:w="204"/>
        <w:gridCol w:w="202"/>
        <w:gridCol w:w="483"/>
        <w:gridCol w:w="109"/>
        <w:gridCol w:w="109"/>
        <w:gridCol w:w="109"/>
        <w:gridCol w:w="211"/>
        <w:gridCol w:w="511"/>
        <w:gridCol w:w="109"/>
        <w:gridCol w:w="109"/>
        <w:gridCol w:w="109"/>
        <w:gridCol w:w="109"/>
        <w:gridCol w:w="203"/>
        <w:gridCol w:w="203"/>
        <w:gridCol w:w="547"/>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 over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 over 2023</w:t>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Consumables revenue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foreign exchange rate changes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Consumables revenue on a constant currency basis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Change in constant currency</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Change in constant currency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Consumables revenue increased in 2025, as compared to 2024, primarily due to new customer installations and increased demand for our Infusion Consumables, Oncology, and Tracheostomy product lines.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Consumables revenue increased in 2024, as compared to 2023, primarily due to new customer installations and increased demand for our Infusion Consumables, Vascular Access and Oncology product lines.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Infusion Systems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total Infusion Systems revenue (in millions, except percentages):</w:t>
      </w:r>
    </w:p>
    <w:tbl>
      <w:tblPr>
        <w:tblW w:w="10205" w:type="dxa"/>
        <w:jc w:val="left"/>
        <w:tblInd w:w="0" w:type="dxa"/>
        <w:tblLayout w:type="fixed"/>
        <w:tblCellMar>
          <w:top w:w="28" w:type="dxa"/>
          <w:left w:w="28" w:type="dxa"/>
          <w:bottom w:w="28" w:type="dxa"/>
          <w:right w:w="28" w:type="dxa"/>
        </w:tblCellMar>
      </w:tblPr>
      <w:tblGrid>
        <w:gridCol w:w="698"/>
        <w:gridCol w:w="449"/>
        <w:gridCol w:w="453"/>
        <w:gridCol w:w="211"/>
        <w:gridCol w:w="616"/>
        <w:gridCol w:w="271"/>
        <w:gridCol w:w="109"/>
        <w:gridCol w:w="109"/>
        <w:gridCol w:w="109"/>
        <w:gridCol w:w="211"/>
        <w:gridCol w:w="616"/>
        <w:gridCol w:w="271"/>
        <w:gridCol w:w="109"/>
        <w:gridCol w:w="109"/>
        <w:gridCol w:w="109"/>
        <w:gridCol w:w="211"/>
        <w:gridCol w:w="616"/>
        <w:gridCol w:w="109"/>
        <w:gridCol w:w="109"/>
        <w:gridCol w:w="109"/>
        <w:gridCol w:w="109"/>
        <w:gridCol w:w="211"/>
        <w:gridCol w:w="511"/>
        <w:gridCol w:w="109"/>
        <w:gridCol w:w="109"/>
        <w:gridCol w:w="109"/>
        <w:gridCol w:w="109"/>
        <w:gridCol w:w="204"/>
        <w:gridCol w:w="202"/>
        <w:gridCol w:w="487"/>
        <w:gridCol w:w="109"/>
        <w:gridCol w:w="109"/>
        <w:gridCol w:w="109"/>
        <w:gridCol w:w="211"/>
        <w:gridCol w:w="511"/>
        <w:gridCol w:w="109"/>
        <w:gridCol w:w="109"/>
        <w:gridCol w:w="109"/>
        <w:gridCol w:w="109"/>
        <w:gridCol w:w="203"/>
        <w:gridCol w:w="203"/>
        <w:gridCol w:w="550"/>
      </w:tblGrid>
      <w:tr>
        <w:trPr/>
        <w:tc>
          <w:tcPr>
            <w:tcW w:w="69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 over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 over 2023</w:t>
            </w:r>
          </w:p>
        </w:tc>
      </w:tr>
      <w:tr>
        <w:trPr/>
        <w:tc>
          <w:tcPr>
            <w:tcW w:w="1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Infusion Systems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foreign exchange rate changes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Infusion Systems on a constant currency basis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Change in constant currency</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Change in constant currency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Infusion Systems revenue increased in 2025, as compared to 2024, primarily due to increased sales of LVP hardware and dedicated sets.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Infusion Systems revenue increased in 2024, as compared to 2023, primarily due to increased sales of LVP dedicated sets on a larger installed base, as well as growth in our ambulatory hardware and dedicated sets.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Vital Care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total Vital Care revenue (in millions, except percentages):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69"/>
        <w:gridCol w:w="329"/>
        <w:gridCol w:w="331"/>
        <w:gridCol w:w="211"/>
        <w:gridCol w:w="637"/>
        <w:gridCol w:w="271"/>
        <w:gridCol w:w="109"/>
        <w:gridCol w:w="109"/>
        <w:gridCol w:w="109"/>
        <w:gridCol w:w="211"/>
        <w:gridCol w:w="616"/>
        <w:gridCol w:w="271"/>
        <w:gridCol w:w="109"/>
        <w:gridCol w:w="109"/>
        <w:gridCol w:w="109"/>
        <w:gridCol w:w="211"/>
        <w:gridCol w:w="616"/>
        <w:gridCol w:w="109"/>
        <w:gridCol w:w="109"/>
        <w:gridCol w:w="109"/>
        <w:gridCol w:w="109"/>
        <w:gridCol w:w="211"/>
        <w:gridCol w:w="637"/>
        <w:gridCol w:w="109"/>
        <w:gridCol w:w="109"/>
        <w:gridCol w:w="109"/>
        <w:gridCol w:w="109"/>
        <w:gridCol w:w="266"/>
        <w:gridCol w:w="266"/>
        <w:gridCol w:w="485"/>
        <w:gridCol w:w="109"/>
        <w:gridCol w:w="109"/>
        <w:gridCol w:w="109"/>
        <w:gridCol w:w="211"/>
        <w:gridCol w:w="511"/>
        <w:gridCol w:w="109"/>
        <w:gridCol w:w="109"/>
        <w:gridCol w:w="109"/>
        <w:gridCol w:w="109"/>
        <w:gridCol w:w="203"/>
        <w:gridCol w:w="203"/>
        <w:gridCol w:w="550"/>
      </w:tblGrid>
      <w:tr>
        <w:trPr/>
        <w:tc>
          <w:tcPr>
            <w:tcW w:w="66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r>
      <w:tr>
        <w:trPr/>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 over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 over 2023</w:t>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Vital Care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foreign exchange rate changes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Vital Care on a constant currency basis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Change in constant currency</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Change in constant currency</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Vital Care revenue decreased in 2025, as compared to 2024, primarily due to lower IV Solutions sales of $213.9 million as a result of the sale of a controlling ownership interest in our IV Solutions business on May 1, 2025 (see Note 3: Assets Held For Sale and Disposal of Business to our accompanying consolidated financial statements).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Vital Care revenue increased in 2024, as compared to 2023, due to higher sales volume of IV Solutions primarily driven by a market shortage of these products in the U.S. during the fourth quarter of 2024, as explained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third quarter of 2024, a competitor’s U.S. IV solutions manufacturing facility was damaged as a result of Hurricane Helene causing a national shortage of IV solutions. In response, we actively increased production of our IV Solutions product lines in anticipation of increased demand due to the temporary market shortage. We experienced increased demand for our IV Solutions product lines in the fourth quarter of 2024.</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Gross Margins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margins were 36.8%, 34.6% and 32.8% for 2025, 2024 and 2023, respectively.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gross margin in 2025, as compared to 2024, was primarily driven by the impact of the sale of a 60% interest of our IV Solutions business on May 1, 2025, which is a lower margin business. Gross margin also increased as a result of price increases, the impact of foreign exchange rates, lower supply chain costs and the realization of integration synergies. These improvements were partially offset by an increase in IEEPA tariff costs of $25.7 million in 2025.</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gross margin in 2024, as compared to 2023, was primarily driven by lower supply chain costs due to synergies and freight rates, price increases, reduced spend on quality remediation activities and the impact of foreign exchange rate changes which was partially offset by lower manufacturing absorption and higher inventory write-offs.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Selling, General and Administrative ("SG&amp;A")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SG&amp;A expenses (in millions, except percentages):</w:t>
      </w:r>
    </w:p>
    <w:tbl>
      <w:tblPr>
        <w:tblW w:w="9114" w:type="dxa"/>
        <w:jc w:val="center"/>
        <w:tblInd w:w="0" w:type="dxa"/>
        <w:tblLayout w:type="fixed"/>
        <w:tblCellMar>
          <w:top w:w="28" w:type="dxa"/>
          <w:left w:w="28" w:type="dxa"/>
          <w:bottom w:w="28" w:type="dxa"/>
          <w:right w:w="28" w:type="dxa"/>
        </w:tblCellMar>
      </w:tblPr>
      <w:tblGrid>
        <w:gridCol w:w="233"/>
        <w:gridCol w:w="204"/>
        <w:gridCol w:w="20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39"/>
        <w:gridCol w:w="241"/>
        <w:gridCol w:w="507"/>
        <w:gridCol w:w="109"/>
        <w:gridCol w:w="109"/>
        <w:gridCol w:w="109"/>
        <w:gridCol w:w="211"/>
        <w:gridCol w:w="511"/>
        <w:gridCol w:w="109"/>
        <w:gridCol w:w="109"/>
        <w:gridCol w:w="109"/>
        <w:gridCol w:w="109"/>
        <w:gridCol w:w="203"/>
        <w:gridCol w:w="203"/>
        <w:gridCol w:w="570"/>
      </w:tblGrid>
      <w:tr>
        <w:trPr/>
        <w:tc>
          <w:tcPr>
            <w:tcW w:w="23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 over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 over 2023</w:t>
            </w:r>
          </w:p>
        </w:tc>
      </w:tr>
      <w:tr>
        <w:trPr/>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SG&amp;A expenses decreased in 2025, as compared to 2024, primarily due to a decrease of $9.8 million in depreciation and amortization, $5.9 million in bad debt and warranty expense, and $5.5 million in compensation costs which when combined with other smaller category decreases, were partially offset by an increase of $8.3 million in stock based compensation and $4.9 million in professional services. Depreciation and amortization expense decreased primarily due to the disposal of certain assets related to the sale of a 60% interest of our IV Solutions business (see Note 3: Assets Held For Sale and Disposal of Business to our accompanying consolidated financial statements). Bad debt expense is adjusted quarterly, if deemed necessary, based on an assessment of our accounts receivables and our expectations regarding the collectability of those accounts. Warranty expense decreased due to the release of reserves related to certain products and lower warranty estimated reserve due to lower warranty claims expected. Compensation costs decreased primarily due to service fee income recorded in the same line as the related personnel expenses for services provided to the joint venture (see Note 3: Assets Held For Sale and Disposal of Business to our accompanying consolidated financial statements). Stock based compensation increased due to a change in the probability of meeting certain financial targets related to a performance equity award. Professional services increased primarily due to higher costs related to the use of third-party service providers supporting various projects and initiatives.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Consolidated SG&amp;A expenses increased in 2024, as compared to 2023, primarily due to increases of $11.3 million in compensation costs, $9.4 million in commissions, $5.6 million in stock based compensation and $5.2 million in dealer fees. The increases were partially offset by decreases of $8.8 million in depreciation and amortization. Compensation costs increased primarily due to an increase in cash incentive compensation and employee benefits. Commissions increased primarily due to increased sales performance in the current period measured against preset sales targets as compared to sales performance achieved against targets in the comparable prior year period. Stock based compensation primarily increased due to a change in the probability of meeting a certain earning potential related to a performance based equity award. Dealer fees increased due to an increase in revenues to distributors. Depreciation and amortization decreased in 2024 due to certain assets reaching the end of their useful lives and certain assets classified as held for sale during the fourth quarter.</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Research and Development ("R&amp;D")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total R&amp;D expenses (in millions, except percentages):</w:t>
      </w:r>
    </w:p>
    <w:tbl>
      <w:tblPr>
        <w:tblW w:w="8607" w:type="dxa"/>
        <w:jc w:val="center"/>
        <w:tblInd w:w="0" w:type="dxa"/>
        <w:tblLayout w:type="fixed"/>
        <w:tblCellMar>
          <w:top w:w="28" w:type="dxa"/>
          <w:left w:w="28" w:type="dxa"/>
          <w:bottom w:w="28" w:type="dxa"/>
          <w:right w:w="28" w:type="dxa"/>
        </w:tblCellMar>
      </w:tblPr>
      <w:tblGrid>
        <w:gridCol w:w="195"/>
        <w:gridCol w:w="171"/>
        <w:gridCol w:w="173"/>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7"/>
        <w:gridCol w:w="496"/>
        <w:gridCol w:w="112"/>
        <w:gridCol w:w="109"/>
        <w:gridCol w:w="109"/>
        <w:gridCol w:w="109"/>
        <w:gridCol w:w="239"/>
        <w:gridCol w:w="241"/>
        <w:gridCol w:w="507"/>
        <w:gridCol w:w="109"/>
        <w:gridCol w:w="109"/>
        <w:gridCol w:w="109"/>
        <w:gridCol w:w="239"/>
        <w:gridCol w:w="461"/>
        <w:gridCol w:w="125"/>
        <w:gridCol w:w="109"/>
        <w:gridCol w:w="109"/>
        <w:gridCol w:w="109"/>
        <w:gridCol w:w="203"/>
        <w:gridCol w:w="203"/>
        <w:gridCol w:w="570"/>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 over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 over 2023</w:t>
            </w:r>
          </w:p>
        </w:tc>
      </w:tr>
      <w:tr>
        <w:trPr/>
        <w:tc>
          <w:tcPr>
            <w:tcW w:w="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R&amp;D expenses slightly decreased in 2025, as compared to 2024, primarily due to lower headcount and employment expense that support ongoing R&amp;D projects. R&amp;D expenses generally include compensation and benefit expenses, consulting fees, production supplies, samples, travel costs, utilities and other miscellaneous administrative costs incurred in our ongoing R&amp;D projects.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R&amp;D expenses increased in 2024, as compared to 2023, primarily due to higher headcount and employment expense in support of ongoing R&amp;D projects. R&amp;D expenses generally include compensation and benefit expenses, consulting fees, production supplies, samples, travel costs, utilities and other miscellaneous administrative costs incurred in our ongoing R&amp;D projects.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Restructuring, Strategic Transaction and Integration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Restructuring, strategic transaction and integration expenses were $66.5 million, $59.8 million and $41.3 million in 2025, 2024 and 2023,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Restructuring Charges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2025, we incurred restructuring charges of $30.0 million primarily related to facility closure costs and severance costs.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2024, we incurred restructuring charges of $19.6 million primarily related to severance costs.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2023, we incurred restructuring charges net of reversed accruals of $5.7 million primarily related to severance costs. We reversed approximately $1.0 million in accrued restructuring balances related to severance and facility closure costs that will not be utilized.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Strategic Transaction and Integration Expenses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2025 we incurred $36.5 million in strategic transaction and integration expenses primarily related to consulting expenses and employee costs incurred to integrate our Smiths Medical business acquired in 2022, and transaction costs related to the sale of a 60% interest of our IV Solutions business in the second quarter of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2024, we incurred $40.2 million in strategic transaction and integration expenses primarily related to consulting expenses and employee costs incurred to integrate our Smiths Medical business acquired in 2022.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2023, we incurred $35.6 million in strategic transaction and integration expenses primarily related to consulting expenses and employee costs incurred to integrate our Smiths Medical business acquired in 2022.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 in fair value of contingent earn-out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2024, the fair value revaluation of our contingent earn-outs resulted in a decrease in value of $5.4 million. This decrease was related to the fair value revaluation of our Smiths Medical contingent earn-out liability and the fair value revaluation of a contingent earn-out recognized in 2021 upon the acquisition of a small foreign infusion systems supplier. The Smiths Medical contingent earn-out was adjusted to zero during 2024. As of December 31, 2024, Smiths had sold all of its ownership interest in ICU Medical shares. Smiths no longer holds the shares necessary to meet the minimum beneficial ownership percentage required to earn the contingent earn-out.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interest expense, net (in thousands): </w:t>
      </w:r>
    </w:p>
    <w:tbl>
      <w:tblPr>
        <w:tblW w:w="6354" w:type="dxa"/>
        <w:jc w:val="left"/>
        <w:tblInd w:w="0" w:type="dxa"/>
        <w:tblLayout w:type="fixed"/>
        <w:tblCellMar>
          <w:top w:w="28" w:type="dxa"/>
          <w:left w:w="28" w:type="dxa"/>
          <w:bottom w:w="28" w:type="dxa"/>
          <w:right w:w="28" w:type="dxa"/>
        </w:tblCellMar>
      </w:tblPr>
      <w:tblGrid>
        <w:gridCol w:w="641"/>
        <w:gridCol w:w="562"/>
        <w:gridCol w:w="567"/>
        <w:gridCol w:w="109"/>
        <w:gridCol w:w="109"/>
        <w:gridCol w:w="109"/>
        <w:gridCol w:w="211"/>
        <w:gridCol w:w="796"/>
        <w:gridCol w:w="109"/>
        <w:gridCol w:w="109"/>
        <w:gridCol w:w="109"/>
        <w:gridCol w:w="109"/>
        <w:gridCol w:w="211"/>
        <w:gridCol w:w="901"/>
        <w:gridCol w:w="109"/>
        <w:gridCol w:w="109"/>
        <w:gridCol w:w="109"/>
        <w:gridCol w:w="109"/>
        <w:gridCol w:w="211"/>
        <w:gridCol w:w="901"/>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(95,219)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2025, 2024 and 2023, interest expense primarily includes the contractual interest incurred on borrowings under the Credit Agreement, as defined below, the per annum commitment fee charged on the available amount of the revolving credit facility contained in the Credit Agreement, the amortization of debt issuance costs incurred in connection with entering into the Credit Agreement (see Note 12: Long-Term Obligations in our accompanying consolidated financial statements) offset by the impact of the interest rate swaps (see Note 8: Derivatives and Hedging in our accompanying consolidated financial statements) and interest income.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interest expense during 2025 includes the interest accretion on an unfavorable contract loss provision and a loss on debt extinguishment due to a debt refinancing which we completed in October 2025, (see Note 12: Long-Term Obligations in our accompanying consolidated financial statements).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interest expense component decreased in 2025, as compared to 2024, primarily due to decrease in the applicable SOFR reference rate and due to lower obligation principal balances. During 2025 we prepaid $35.0 million on our Term Loan B in March 2025, $200.0 million on our Term Loan A in May 2025 using proceeds from the sale of a 60% interest of our IV Solutions business, $25.0 million on our Term Loan B in September 2025, and $30.0 million on our Term Loan B in December 2025. Additionally, the October 2025 debt refinance reduced borrowing costs in the last part of the year as $190.0 million of the lower rate Term Loan A issuance was used to settle a portion of the higher rate Term Loan B in a cashless roll.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interest expense increased in 2024, as compared to 2023, primarily due to amortization of certain swaps.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in all years was related to interest earned on interest-bearing securities and cash holdings.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i/>
          <w:color w:val="000000"/>
          <w:sz w:val="20"/>
        </w:rPr>
        <w:t>Other expense, net</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other expense, net (in thousands): </w:t>
      </w:r>
    </w:p>
    <w:tbl>
      <w:tblPr>
        <w:tblW w:w="7719" w:type="dxa"/>
        <w:jc w:val="left"/>
        <w:tblInd w:w="0" w:type="dxa"/>
        <w:tblLayout w:type="fixed"/>
        <w:tblCellMar>
          <w:top w:w="28" w:type="dxa"/>
          <w:left w:w="28" w:type="dxa"/>
          <w:bottom w:w="28" w:type="dxa"/>
          <w:right w:w="28" w:type="dxa"/>
        </w:tblCellMar>
      </w:tblPr>
      <w:tblGrid>
        <w:gridCol w:w="1314"/>
        <w:gridCol w:w="1156"/>
        <w:gridCol w:w="1160"/>
        <w:gridCol w:w="109"/>
        <w:gridCol w:w="109"/>
        <w:gridCol w:w="109"/>
        <w:gridCol w:w="211"/>
        <w:gridCol w:w="616"/>
        <w:gridCol w:w="109"/>
        <w:gridCol w:w="109"/>
        <w:gridCol w:w="109"/>
        <w:gridCol w:w="109"/>
        <w:gridCol w:w="211"/>
        <w:gridCol w:w="796"/>
        <w:gridCol w:w="109"/>
        <w:gridCol w:w="109"/>
        <w:gridCol w:w="109"/>
        <w:gridCol w:w="109"/>
        <w:gridCol w:w="211"/>
        <w:gridCol w:w="691"/>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gains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disposition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miscellaneous income (expense)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foreign exchange gains, net in 2025 were primarily related to the weakening of the U.S. dollar relative to certain foreign currencies, including the Euro and British Pound, partially offset by the weakening of the U.S. dollar relative to the Mexican Peso.</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2024, other miscellaneous (expense) income, net primarily includes $2.6 million in fees associated with our accounts receivable purchase program with BMO Bank N.A. ("BMO") (see Note 16: Accounts Receivable Purchase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2023, other miscellaneous (expense) income, net primarily includes $3.7 million in fees related to our accounts receivable purchase program (see Note 16: Accounts Receivable Purchase Program) mostly offset by a business interruption gain recognized upon receipt of insurance proceeds. We received total insurance recoveries for property damage and business interruption of $3.1 million, $2.6 million of which was related to insurance proceeds for business interruption included within other miscellaneous (expense) income, net.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Gain on Sale of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2025, we recorded a gain on the sale of business of $44.8 million comprising of the sum of a $45.6 million gain from the disposal of a 60% ownership interest in the joint venture, a $19.4 million gain from the difference between the fair value of our retained 40% ownership interest in the joint venture and our carrying value of that same proportionate ownership interest, and a $20.2 million unfavorable contract loss (see Note 3: Assets Held For Sale and Disposal of Business to our accompanying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Income taxes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taxes were accrued at an estimated annual effective tax rate of 56%, (78)% and 62% in 2025, 2024 and 2023,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in 2025 differs from the federal statutory rate of 21% principally because of the effect of the mix of U.S. and foreign income, section 162(m) excess compensation, federal and state valuation allowance, and tax credits. Additionally, the effective tax rate in 2025 included a tax benefit of $7.1 million primarily related to unrecognized tax benefits released as a result of the expiration of the statute of limitations.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regularly assesses the realizability of deferred tax assets and records a valuation allowance to reduce the deferred tax assets to the amount that is more likely than not to be realized. In assessing the realizability of our deferred tax assets,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the Company recorded a change to the valuation allowance against certain U.S. federal and state deferred tax assets, resulting in a $8.7 million tax expense and $2.8 million foreign currency translation and derivative instrument adjustments, for the tax years ending December 31, 2025. The significant piece of objectively verifiable negative evidence evaluated was the recent U.S. cumulative losses. Our ability to use our deferred tax assets depends on the amount of taxable income in future periods.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2022, the European Union (EU) agreed to implement Pillar Two, the OECD’s global minimum tax rate of 15% for multinationals that meet a global revenue threshold. All of the EU countries and some of the non-EU countries in which we operate have enacted or have announced plans to enact legislation to adopt Pillar Two. The Pillar Two legislation has been effective since our fiscal year beginning January 1, 2024. For fiscal year 2025, we considered the impact of Pillar Two in our tax provision and effective tax rate. However, the Pillar Two rules continue to evolve and their application may alter our tax obligations in certain countries where we operate for fiscal periods beyond 2025 as we continue to assess the impact of tax legislation in these jurisdictions.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U.S. enacted H.R. 1 "A bill to provide for reconciliation pursuant to Title II of H. Con. Res. 14", commonly referred to as the One Big Beautiful Bill Act (“OBBBA”).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will assess its future impact on our consolidated financial statements as additional guidance becomes available as uncertainty remains regarding the timing and interpretation by tax authorities in affected jurisdictions. To the extent known, the impact is included in our tax provision and effective tax rate for the year ended December 31,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in 2024 differs from the federal statutory rate of 21% principally because of the effect of the mix of U.S. and foreign income, foreign-derived intangible income (“FDII”), federal and state valuation allowance, tax reserve releases, and tax credits. The effective tax rate in 2024 included a tax benefit of $10.1 million primarily related to unrecognized tax benefits released as a result of the expiration of the statute of limitations offset by a tax expense of $81.7 million related to a valuation allowance against certain U.S. federal and state deferred tax assets.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in 2023 differs from the federal statutory rate of 21% principally because of the effect of the mix of U.S. and foreign income, state income taxes, section 162(m) excess compensation, FDII, and tax credits. The effective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rate in 2023 included a tax benefit of $9.6 million primarily related to unrecognized tax benefits released as a result of the expiration of the statute of limitations. The effective tax rate for 2023 also included a tax benefit of $0.8 million related to the excess tax benefits recognized on stock option exercises and the vesting of restricted stock units during the period. Additionally, the effective tax rate for 2023 included a tax benefit of $6.5 million related to U.S. federal and state return-to-provision adjustments net of related tax reserves. The adjustments related to primarily to changes in estimates for the research and development credit and foreign tax credits. Lastly, the effective tax rate 2023 included the tax impact of the revaluation of contingent consideration of $16.2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Equity in Earnings of Unconsolidated Affiliates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2025, we recorded equity in losses of unconsolidated affiliates of $(1.2) million related to our 40% proportionate share of the earnings of the joint venture (see Note 3: Assets Held For Sale and Disposal of Business to our accompanying consolidated financial statements).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regularly evaluate our liquidity and capital resources, including our access to external capital, to assess our ability to meet our principal cash requirements, which include working capital requirements, planned capital investments in our business, commitments, acquisition restructuring and integration expenses, investments in quality systems and quality compliance objectives, payment of interest expense, repayment of outstanding borrowings, income tax obligations and acquisition opportunities in accordance with our growth strategy.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current primary sources of liquidity are cash and cash equivalents, cash flows from our operations including access to borrowing arrangements and cash flows from our accounts receivable purchase program.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Funds generated from operations are held in cash and cash equivalents. During 2025, our cash and cash equivalents and short-term investment securities decreased by $0.6 million from $308.6 million at December 31, 2024 to $308.0 million at December 31, 2025. This slight decrease was primarily due to cash generated from operations offset by principal payments made during 2025 consisting of (i) $47.8 million payment on our Term Loan A and Term Loan B during the first quarter of 2025 (ii) $200.0 million of the $209.5 million received in cash consideration for the sale of a 60% interest in our IV Solutions business used to pay down a portion of our Term Loan A during the second quarter of 2025 (iii) $25.0 million payment on Term Loan B during the third quarter of 2025 and (iv) $30.0 million payment on Term Loan B during the fourth quarter of 2025.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Credit Facilities and Access to Capital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discussed in Note 12: Long-Term Obligations to our accompanying consolidated financial statements, on October 31, 2025, we amended our Existing Credit Agreement to refinance our existing Term Loan A and Revolving Credit Facilities. The amended credit facility includes a new five-year term loan A facility of $750.0 million (the "Term Loan A"), and a new five-year revolving credit facility of $500.0 million (the "Revolving Credit Facility"). The proceeds from the new Term Loan A were primarily used by the lenders to (i) directly repay in full the $559.7 million of outstanding principal of the existing Term Loan A and (ii) directly repay $190.0 million of the outstanding balance of the Term Loan B under the Existing Credit Agreement. The outstanding aggregate principal amount of the term loans is $1.3 billion as of December 31, 2025, which includes the Term Loan A that will mature in October 2030 and the Term Loan B that will mature in January 2029. The proceeds of future borrowings under the Revolving Credit Facility, which expires in October 2030, may be used as a source of liquidity to support our ongoing working capital requirements and other general corporate purposes. There are no outstanding borrowings under the Revolving Credit Facility as of December 31, 2025. As part of entering into the Senior Secured Credit Facilities, we were assigned issuer and Term Loan B credit ratings. At the date of issuance of this report, our issuer and Term Loan B credit ratings assigned and outlook were as follows:</w:t>
      </w:r>
    </w:p>
    <w:p>
      <w:pPr>
        <w:pStyle w:val="TextBody"/>
        <w:bidi w:val="0"/>
        <w:spacing w:before="0" w:after="0"/>
        <w:ind w:left="0" w:right="0" w:firstLine="720"/>
        <w:jc w:val="left"/>
        <w:rPr/>
      </w:pPr>
      <w:r>
        <w:rPr/>
      </w:r>
    </w:p>
    <w:tbl>
      <w:tblPr>
        <w:tblW w:w="4425" w:type="dxa"/>
        <w:jc w:val="left"/>
        <w:tblInd w:w="0" w:type="dxa"/>
        <w:tblLayout w:type="fixed"/>
        <w:tblCellMar>
          <w:top w:w="28" w:type="dxa"/>
          <w:left w:w="28" w:type="dxa"/>
          <w:bottom w:w="28" w:type="dxa"/>
          <w:right w:w="28" w:type="dxa"/>
        </w:tblCellMar>
      </w:tblPr>
      <w:tblGrid>
        <w:gridCol w:w="619"/>
        <w:gridCol w:w="543"/>
        <w:gridCol w:w="548"/>
        <w:gridCol w:w="609"/>
        <w:gridCol w:w="609"/>
        <w:gridCol w:w="611"/>
        <w:gridCol w:w="259"/>
        <w:gridCol w:w="259"/>
        <w:gridCol w:w="368"/>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Issuer/Term Loan B</w:t>
              <w:br/>
              <w:t>Credit Ratings</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Outlook</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Moody's</w:t>
            </w:r>
          </w:p>
        </w:tc>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B1/B1</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Stable</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Fitch</w:t>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BB/BB+</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Negative</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Standard &amp; Poor's</w:t>
            </w:r>
          </w:p>
        </w:tc>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BB-/BB-</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Positive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credit ratings are not a recommendation by the rating agency to buy, sell, or hold our securities, are subject to revision or withdrawal at any time by the rating agency and should be evaluated independently of any other credit rating we may receive. In addition, credit rating agencies review their ratings periodically, and there is no guarantee our current credit rating will remain the same as described above. If our credit rating were to be lowered, our ability to access the debt markets, our cost of funds, and other terms for new incurrence of debt could be adversely impacted.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financial covenants that pertain to the Term Loan A and the Revolving Credit Facility. Specifically, we were required to maintain a Senior Secured Leverage Ratio of no more than 4.00 to 1.00 and an Interest Coverage Ratio of no less than 3.00 to 1.00 (defined and discussed in greater detail in Note 12: Long-Term Obligations to our accompanying consolidated financial statements). We were in compliance with these financial covenants as of December 31,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2023, we entered into a receivables purchase agreement with Bank of the West, which was subsequently acquired by BMO Bank, N.A. ("BMO") in February 2023. This agreement accelerates our access to capital, which we utilize on an as needed basis (see Note 16: Accounts Receivable Purchase Program).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cash and cash equivalents along with cash flows expected to be generated from future operations, the funds received and accessible under the New Credit Facilities and funds received under the accounts receivable program will provide us with sufficient liquidity to finance our cash requirements for the next twelve months and the foreseeable future. In the event that we experience downturns, cyclical fluctuations in our business that are more severe or longer than anticipated, fail to achieve anticipated revenue and expense levels, or have significant unplanned cash expenditures,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 products or in the solvency of our customers or suppliers, deterioration in our key financial ratios or credit ratings or other significantly unfavorable changes in economic conditions. See Part I. Item 1A. Risk Factors for discussion of the risks and uncertainties associated with our debt financing.</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Uses of Liquidity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capital expenditures relate to the expansion and maintenance of our business. While we can provide no assurances, we estimate that our capital expenditures in 2026 will be in the range of $85 million to $100 million. We anticipate making additional investments in machinery and equipment in our manufacturing operations in Costa Rica, Europe, Mexico and the U.S. to support new and existing products and in infusion pumps that get placed with customers outside the U.S. We expect to use our cash and cash equivalents to fund our capital expenditures. Amounts of spending are estimates and actual spending may substantially differ from those amounts.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Contractual Obligations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commitments at December 31, 2025 include both short and long-term future obligations.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Operating Leases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non-cancelable operating lease agreements where we are contractually obligated for certain lease payment amounts. For more information regarding our operating lease obligations, see Note 6: Leases in our accompanying consolidated financial statements.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Long-term Debt Obligations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2022, we incurred borrowings under the Senior Secured Credit Facilities to finance the Smiths Medical acquisition. On October 31, 2025 (the "Closing Date"), we entered into an Amendment No. 2 to our Credit Agreement (the "Amendment"), whereby we refinanced our Term Loan A and our Revolving Credit Facility under our existing Credit Agreement dated as of January 6, 2022 (as amended by Amendment No. 1, dated as of October 5, 2022, the "Existing Credit Agreement" and as further amended by the Amendment, the "Amended Credit Agreement"). The Amended Credit Agreement includes new credit facilities (the "New Credit Facilities") that consists of a $750.0 million senior secured Term Loan A and a new $500.0 million revolving credit facility (the "New Revolving Facility"). The proceeds from and commitments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Credit Facilities were used to (i) repay the outstanding principal amount of the Term Loan A of $559.7 million and refinance the existing Revolving Credit Facility (collectively, the "Refinancing") under the Existing Credit Agreement (ii) repay $190.0 million of the outstanding balance of the Term Loan B under the Existing Credit Agreement and (iii) to finance the payment of fees and expenses incurred in connection with the Refinancing. The New Credit Facilities mature five years from the Closing Date, subject to a springing maturity provision under which the New Credit Facilities will mature 91 days prior to the maturity date of the Term Loan B if the maturity date of the Term Loan B is less than 91 days after the scheduled maturity of the New Credit Facilities at that time. This provision could accelerate the maturity of the Term Loan A and New Revolving Facility, requiring earlier repayment. We are monitoring our liquidity position to ensure we can address this potential earlier repayment obligation.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payments on the term loans were estimated using an Adjusted Term SOFR rate and an applicable margin on of 1.75% for term loan A and 2.25% for term loan B and the revolver commitment fees were estimated using a rate of 0.25%. The applicable margin rate and commitment fee rate will change from time to time in accordance with a preset pricing grid based on the leverage ratio (see Note 12: Long-Term Obligations in our accompanying consolidated financial statements for pricing grids related to the New Credit Facilities).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Fiscal 2025 Principal Pre-Payments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2025, we made total prepayments of $290.0 million. This comprised of (i) a $30.0 million prepayment on Term Loan B in the fourth quarter (ii) a $25.0 million prepayment on Term Loan B in the third quarter (iii) a $200 million prepayment on Term Loan A during the second quarter funded by the proceeds from the sale of our IV Solutions business (see Note 3: Assets Held For Sale and Disposal of Business) and (iv) a $35.0 million prepayment on Term Loan B in the first quarter. Due to these prepayments, there is no principal payments due on Term Loan B until 2029.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principal repayment obligations, estimated interest payments and revolver commitment fee payments are estimated in the below table. We expect to fund these obligations with our existing cash and cash equivalents and cash generated from our future operations.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8430" w:type="dxa"/>
        <w:jc w:val="left"/>
        <w:tblInd w:w="0" w:type="dxa"/>
        <w:tblLayout w:type="fixed"/>
        <w:tblCellMar>
          <w:top w:w="28" w:type="dxa"/>
          <w:left w:w="28" w:type="dxa"/>
          <w:bottom w:w="28" w:type="dxa"/>
          <w:right w:w="28" w:type="dxa"/>
        </w:tblCellMar>
      </w:tblPr>
      <w:tblGrid>
        <w:gridCol w:w="1047"/>
        <w:gridCol w:w="922"/>
        <w:gridCol w:w="925"/>
        <w:gridCol w:w="211"/>
        <w:gridCol w:w="511"/>
        <w:gridCol w:w="109"/>
        <w:gridCol w:w="211"/>
        <w:gridCol w:w="511"/>
        <w:gridCol w:w="109"/>
        <w:gridCol w:w="211"/>
        <w:gridCol w:w="616"/>
        <w:gridCol w:w="109"/>
        <w:gridCol w:w="211"/>
        <w:gridCol w:w="616"/>
        <w:gridCol w:w="109"/>
        <w:gridCol w:w="211"/>
        <w:gridCol w:w="616"/>
        <w:gridCol w:w="109"/>
        <w:gridCol w:w="291"/>
        <w:gridCol w:w="561"/>
        <w:gridCol w:w="214"/>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2030</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Thereafter</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Principal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Interest Payments*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 Principal Payments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 Interest Payments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 Commitment Fee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Term Loan A principal and interest payments in the above table are subject to the springing maturity clause described in Exhibit 10.1 as filed as an exhibit to our Quarterly Report on Form 10-Q for the quarterly period ended September 30,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Other Future Capital Investments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January 2022 acquisition of Smiths Medical, we estimate the investment needed in 2026 for restructuring and integration expenses along with spending to support quality systems and quality compliance objectives to be in the range of $60 million to $80 million, which includes acquired accrued field action liabilities. We expect to fund these obligations with our cash and cash equivalents and cash generated from our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Contingent Payments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2015, the Italy Medical Device Payback ("IMDP") was enacted in Italy, which requires medical device companies to make payments to the Italian government if Italy's medical device expenditures for certain years exceeded annual regional expenditure ceilings. Since its enactment, the legislation has been subject to appeals in the Italian court system. In the third quarter of 2024, Italy's Constitutional Court issued two judgments, one of which confirmed the legitimacy of the legislation on the IMDP. In September 2025, the Italian government enacted a law that allows medical device companies to settle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historical periods (2015-2018) for 25% of the original assessed value. During the third quarter of 2025, we settled the liability related to the 2015-2018 historical periods and paid $2.5 million. Additionally, we recorded a release of $3.8 million in previously established reserves. The release is included in total revenues in our consolidated statements of operations. See Note 11: Accrued Liabilities to our accompanying consolidated financial statements for details on amounts accrued for potential payments related to the IMDP.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fund our capital expenditures and contractual obligations with our existing cash and cash equivalents and cash generated from our future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Historical Cash Flows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Cash Flows from Operating Activities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cash provided by operations was $179.8 million in 2025. The changes in operating assets and liabilities included an $8.9 million decrease in accounts receivable and a $7.0 million increase in accounts payable. Offsetting these amounts was a $26.3 million increase in inventories, a $11.0 million increase in prepaid expenses and other current assets, a $7.0 million increase in other assets, $37.0 million decrease in accrued liabilities, and $24.8 million in net changes in income taxes, including excess tax benefits and deferred income taxes. The decrease in accounts receivable was primarily due to the amount and timing of revenue. The increase in accounts payable was due to the timing of payments. The increase in inventory was primarily to build inventory safety stock levels and the impact of the capitalization of tariffs. The increase in prepaid expenses and other current assets was primarily due to an increase in the payment of miscellaneous prepaid invoices. The increase in other assets was due to the purchase of spare parts. The decrease in accrued liabilities was primarily due to utilization of field service action reserve. The net changes in income taxes was a result of the timing of payments, recording of the current deferred provision, and valuation allowance.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cash provided by operations was $204.0 million in 2024. The changes in operating assets and liabilities included a $46.8 million increase in accounts receivable, a $23.2 million increase in other assets, and $8.8 million increase in prepaid expenses and other current assets. Offsetting these amounts was a $20.7 million increase in accrued liabilities, a $16.8 million decrease in inventories, a $12.5 million increase in accounts payable and $26.2 million in net changes in income taxes, including excess tax benefits and deferred income taxes. The increase in accounts receivable was primarily due to the amount and timing of revenues and we sold less receivables under our accounts receivable purchase program with BMO as we did not utilize the program during the fourth quarter of 2024 (see Note 16: Accounts Receivable Purchase Program). The increase in other assets was due to the purchase of spare parts. The increase in prepaid expenses and other current assets was primarily attributable to deferred costs related to infusion pumps sold and insurance and property taxes. The net change in income taxes was a result of recording the current deferred provision and the timing of payments. The primary drivers for the net increase in accrued liabilities was primarily due to accrued employee costs, accrued restructuring costs and distributor rebates partially offset by operating lease payments. The decrease in inventory was primarily due to our focus on reducing inventory levels.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cash provided by operations was $166.2 million in 2023. The changes in operating assets and liabilities included a $48.6 million decrease in accounts receivable and a $11.7 million decrease in prepaid expenses and other current assets. Offsetting these amounts was a $6.1 million increase in inventories, a $68.3 million decrease in accounts payable, a $24.7 million increase in other assets, a $14.5 million decrease in accrued liabilities, and $82.4 million in net changes in income taxes, including excess tax benefits and deferred income taxes. The decrease in accounts receivable was primarily due to the sale of accounts receivable as part of our accounts receivable purchase program with BMO (see Note 16: Accounts Receivable Purchase Program). The decrease in prepaid expenses and other current assets was primarily attributable to insurance, property taxes, and prepaid vendor expenses. The increase in inventory was primarily to build inventory safety stock levels. The decrease in accounts payable was due to the timing of payments. The increase in other assets was due to the purchase of spare parts. The primary drivers for the net decrease in accrued liabilities was primarily due to payments for field corrective actions, operating lease liabilities and distributor rebates as well as a decrease in deferred revenue offset partially by increases in accrued employee costs. The net changes in income taxes was a result of recording the current deferred provision and the timing of payments.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our investing cash flows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27"/>
        <w:gridCol w:w="856"/>
        <w:gridCol w:w="859"/>
        <w:gridCol w:w="109"/>
        <w:gridCol w:w="109"/>
        <w:gridCol w:w="109"/>
        <w:gridCol w:w="211"/>
        <w:gridCol w:w="826"/>
        <w:gridCol w:w="109"/>
        <w:gridCol w:w="109"/>
        <w:gridCol w:w="109"/>
        <w:gridCol w:w="109"/>
        <w:gridCol w:w="211"/>
        <w:gridCol w:w="768"/>
        <w:gridCol w:w="109"/>
        <w:gridCol w:w="109"/>
        <w:gridCol w:w="109"/>
        <w:gridCol w:w="109"/>
        <w:gridCol w:w="211"/>
        <w:gridCol w:w="768"/>
        <w:gridCol w:w="109"/>
        <w:gridCol w:w="109"/>
        <w:gridCol w:w="109"/>
        <w:gridCol w:w="109"/>
        <w:gridCol w:w="211"/>
        <w:gridCol w:w="826"/>
        <w:gridCol w:w="109"/>
        <w:gridCol w:w="109"/>
        <w:gridCol w:w="109"/>
        <w:gridCol w:w="109"/>
        <w:gridCol w:w="211"/>
        <w:gridCol w:w="663"/>
        <w:gridCol w:w="109"/>
        <w:gridCol w:w="109"/>
        <w:gridCol w:w="109"/>
        <w:gridCol w:w="159"/>
      </w:tblGrid>
      <w:tr>
        <w:trPr/>
        <w:tc>
          <w:tcPr>
            <w:tcW w:w="102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additions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2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2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4"/>
        </w:rPr>
      </w:pPr>
      <w:r>
        <w:rPr>
          <w:rFonts w:ascii="Times New Roman;serif" w:hAnsi="Times New Roman;serif"/>
          <w:b w:val="false"/>
          <w:color w:val="000000"/>
          <w:sz w:val="24"/>
        </w:rPr>
        <w:t>__________________________</w:t>
      </w:r>
    </w:p>
    <w:p>
      <w:pPr>
        <w:pStyle w:val="TextBody"/>
        <w:bidi w:val="0"/>
        <w:spacing w:lineRule="auto" w:line="288" w:before="0" w:after="6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Our purchases of property, plant and equipment will vary from period to period based on additional investments needed to support new and existing products and expansion of our manufacturing facilities.</w:t>
      </w:r>
    </w:p>
    <w:p>
      <w:pPr>
        <w:pStyle w:val="TextBody"/>
        <w:bidi w:val="0"/>
        <w:spacing w:lineRule="auto" w:line="288" w:before="0" w:after="60"/>
        <w:ind w:left="0" w:right="0" w:hanging="360"/>
        <w:jc w:val="left"/>
        <w:rPr/>
      </w:pPr>
      <w:r>
        <w:rPr>
          <w:rFonts w:ascii="Times New Roman;serif" w:hAnsi="Times New Roman;serif"/>
          <w:b w:val="false"/>
          <w:color w:val="000000"/>
          <w:sz w:val="13"/>
        </w:rPr>
        <w:t>(2)    </w:t>
      </w:r>
      <w:r>
        <w:rPr>
          <w:rFonts w:ascii="Times New Roman;serif" w:hAnsi="Times New Roman;serif"/>
          <w:b w:val="false"/>
          <w:color w:val="000000"/>
          <w:sz w:val="20"/>
        </w:rPr>
        <w:t>In 2025, we sold a 60% ownership interest in our IV Solutions business to OPF, see Note 3: Assets Held For Sale and Disposal of Business to our accompanying consolidated financial statements.</w:t>
      </w:r>
    </w:p>
    <w:p>
      <w:pPr>
        <w:pStyle w:val="TextBody"/>
        <w:bidi w:val="0"/>
        <w:spacing w:lineRule="auto" w:line="288" w:before="0" w:after="60"/>
        <w:ind w:left="0" w:right="0" w:hanging="360"/>
        <w:jc w:val="left"/>
        <w:rPr/>
      </w:pPr>
      <w:r>
        <w:rPr>
          <w:rFonts w:ascii="Times New Roman;serif" w:hAnsi="Times New Roman;serif"/>
          <w:b w:val="false"/>
          <w:color w:val="000000"/>
          <w:sz w:val="13"/>
        </w:rPr>
        <w:t>(3)    </w:t>
      </w:r>
      <w:r>
        <w:rPr>
          <w:rFonts w:ascii="Times New Roman;serif" w:hAnsi="Times New Roman;serif"/>
          <w:b w:val="false"/>
          <w:color w:val="000000"/>
          <w:sz w:val="20"/>
        </w:rPr>
        <w:t>Primarily relates to the sale of our warehouse/manufacturing property in Keene, New Hampshire in 2025.</w:t>
      </w:r>
    </w:p>
    <w:p>
      <w:pPr>
        <w:pStyle w:val="TextBody"/>
        <w:bidi w:val="0"/>
        <w:spacing w:lineRule="auto" w:line="288" w:before="0" w:after="0"/>
        <w:ind w:left="0" w:right="0" w:hanging="360"/>
        <w:jc w:val="left"/>
        <w:rPr/>
      </w:pPr>
      <w:r>
        <w:rPr>
          <w:rFonts w:ascii="Times New Roman;serif" w:hAnsi="Times New Roman;serif"/>
          <w:b w:val="false"/>
          <w:color w:val="000000"/>
          <w:sz w:val="13"/>
        </w:rPr>
        <w:t>(4)    </w:t>
      </w:r>
      <w:r>
        <w:rPr>
          <w:rFonts w:ascii="Times New Roman;serif" w:hAnsi="Times New Roman;serif"/>
          <w:b w:val="false"/>
          <w:color w:val="000000"/>
          <w:sz w:val="20"/>
        </w:rPr>
        <w:t>Proceeds from the sale of our investment securities will vary based on the maturity dates of the investments.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our financing cash flows (in thousands):</w:t>
      </w:r>
    </w:p>
    <w:tbl>
      <w:tblPr>
        <w:tblW w:w="10205" w:type="dxa"/>
        <w:jc w:val="center"/>
        <w:tblInd w:w="0" w:type="dxa"/>
        <w:tblLayout w:type="fixed"/>
        <w:tblCellMar>
          <w:top w:w="28" w:type="dxa"/>
          <w:left w:w="28" w:type="dxa"/>
          <w:bottom w:w="28" w:type="dxa"/>
          <w:right w:w="28" w:type="dxa"/>
        </w:tblCellMar>
      </w:tblPr>
      <w:tblGrid>
        <w:gridCol w:w="1014"/>
        <w:gridCol w:w="800"/>
        <w:gridCol w:w="802"/>
        <w:gridCol w:w="109"/>
        <w:gridCol w:w="109"/>
        <w:gridCol w:w="109"/>
        <w:gridCol w:w="211"/>
        <w:gridCol w:w="858"/>
        <w:gridCol w:w="109"/>
        <w:gridCol w:w="109"/>
        <w:gridCol w:w="109"/>
        <w:gridCol w:w="109"/>
        <w:gridCol w:w="211"/>
        <w:gridCol w:w="753"/>
        <w:gridCol w:w="109"/>
        <w:gridCol w:w="109"/>
        <w:gridCol w:w="109"/>
        <w:gridCol w:w="109"/>
        <w:gridCol w:w="211"/>
        <w:gridCol w:w="753"/>
        <w:gridCol w:w="109"/>
        <w:gridCol w:w="109"/>
        <w:gridCol w:w="109"/>
        <w:gridCol w:w="109"/>
        <w:gridCol w:w="211"/>
        <w:gridCol w:w="858"/>
        <w:gridCol w:w="109"/>
        <w:gridCol w:w="109"/>
        <w:gridCol w:w="109"/>
        <w:gridCol w:w="109"/>
        <w:gridCol w:w="211"/>
        <w:gridCol w:w="753"/>
        <w:gridCol w:w="109"/>
        <w:gridCol w:w="109"/>
        <w:gridCol w:w="109"/>
        <w:gridCol w:w="161"/>
      </w:tblGrid>
      <w:tr>
        <w:trPr/>
        <w:tc>
          <w:tcPr>
            <w:tcW w:w="101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lender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third-party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r>
      <w:tr>
        <w:trPr/>
        <w:tc>
          <w:tcPr>
            <w:tcW w:w="2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2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contingent earn-out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payments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w:t>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4"/>
        </w:rPr>
      </w:pPr>
      <w:r>
        <w:rPr>
          <w:rFonts w:ascii="Times New Roman;serif" w:hAnsi="Times New Roman;serif"/>
          <w:b w:val="false"/>
          <w:color w:val="000000"/>
          <w:sz w:val="24"/>
        </w:rPr>
        <w:t xml:space="preserve">__________________________ </w:t>
      </w:r>
    </w:p>
    <w:p>
      <w:pPr>
        <w:pStyle w:val="TextBody"/>
        <w:bidi w:val="0"/>
        <w:spacing w:lineRule="auto" w:line="288" w:before="0" w:after="6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During 2025, we refinanced the existing Term Loan A and the existing Revolving Credit Facility (see Note 12: Long-Term Obligations to our accompanying consolidated financial statements for additional information). The proceeds represent the incremental borrowings resulting from the refinancing.</w:t>
      </w:r>
    </w:p>
    <w:p>
      <w:pPr>
        <w:pStyle w:val="TextBody"/>
        <w:bidi w:val="0"/>
        <w:spacing w:lineRule="auto" w:line="288" w:before="0" w:after="60"/>
        <w:ind w:left="0" w:right="0" w:hanging="360"/>
        <w:jc w:val="left"/>
        <w:rPr/>
      </w:pPr>
      <w:r>
        <w:rPr>
          <w:rFonts w:ascii="Times New Roman;serif" w:hAnsi="Times New Roman;serif"/>
          <w:b w:val="false"/>
          <w:color w:val="000000"/>
          <w:sz w:val="13"/>
        </w:rPr>
        <w:t>(2)    </w:t>
      </w:r>
      <w:r>
        <w:rPr>
          <w:rFonts w:ascii="Times New Roman;serif" w:hAnsi="Times New Roman;serif"/>
          <w:b w:val="false"/>
          <w:color w:val="000000"/>
          <w:sz w:val="20"/>
        </w:rPr>
        <w:t>Relates to lender debt issuance costs in connection with entering into New Credit Facilities.</w:t>
      </w:r>
    </w:p>
    <w:p>
      <w:pPr>
        <w:pStyle w:val="TextBody"/>
        <w:bidi w:val="0"/>
        <w:spacing w:lineRule="auto" w:line="288" w:before="0" w:after="60"/>
        <w:ind w:left="0" w:right="0" w:hanging="360"/>
        <w:jc w:val="left"/>
        <w:rPr/>
      </w:pPr>
      <w:r>
        <w:rPr>
          <w:rFonts w:ascii="Times New Roman;serif" w:hAnsi="Times New Roman;serif"/>
          <w:b w:val="false"/>
          <w:color w:val="000000"/>
          <w:sz w:val="13"/>
        </w:rPr>
        <w:t>(3)    </w:t>
      </w:r>
      <w:r>
        <w:rPr>
          <w:rFonts w:ascii="Times New Roman;serif" w:hAnsi="Times New Roman;serif"/>
          <w:b w:val="false"/>
          <w:color w:val="000000"/>
          <w:sz w:val="20"/>
        </w:rPr>
        <w:t>Relates to scheduled principal payments and prepayments on the Senior Secured Credit Facilities. In March 2025, we prepaid $35.0 million on our Term Loan B. In May 2025, we used $200.0 million received from the sale of a 60% interest in our IV Solutions business to pay down a portion of our Term Loan A. In September 2025, we prepaid $25.0 million on Term Loan B. In December 2025, we prepaid $30.0 million on our Term Loan B.</w:t>
      </w:r>
    </w:p>
    <w:p>
      <w:pPr>
        <w:pStyle w:val="TextBody"/>
        <w:bidi w:val="0"/>
        <w:spacing w:lineRule="auto" w:line="288" w:before="0" w:after="60"/>
        <w:ind w:left="0" w:right="0" w:hanging="360"/>
        <w:jc w:val="left"/>
        <w:rPr/>
      </w:pPr>
      <w:r>
        <w:rPr>
          <w:rFonts w:ascii="Times New Roman;serif" w:hAnsi="Times New Roman;serif"/>
          <w:b w:val="false"/>
          <w:color w:val="000000"/>
          <w:sz w:val="13"/>
        </w:rPr>
        <w:t>(4)    </w:t>
      </w:r>
      <w:r>
        <w:rPr>
          <w:rFonts w:ascii="Times New Roman;serif" w:hAnsi="Times New Roman;serif"/>
          <w:b w:val="false"/>
          <w:color w:val="000000"/>
          <w:sz w:val="20"/>
        </w:rPr>
        <w:t>Relates to third-party debt issuance costs in connection with entering into the New Credit Facilities.</w:t>
      </w:r>
    </w:p>
    <w:p>
      <w:pPr>
        <w:pStyle w:val="TextBody"/>
        <w:bidi w:val="0"/>
        <w:spacing w:lineRule="auto" w:line="288" w:before="0" w:after="60"/>
        <w:ind w:left="0" w:right="0" w:hanging="36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Proceeds from the exercise of stock options will vary from period to period based on the volume of options exercised and the exercise price of the specific options exercised.</w:t>
      </w:r>
    </w:p>
    <w:p>
      <w:pPr>
        <w:pStyle w:val="TextBody"/>
        <w:bidi w:val="0"/>
        <w:spacing w:lineRule="auto" w:line="288" w:before="0" w:after="60"/>
        <w:ind w:left="0" w:right="0" w:hanging="36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During the first quarter of 2024, we paid $3.4 million in cash related to the settlement of a contingent earn-out to one of our international distributors. Of the $3.4 million, the amount recorded as the acquisition date fair value, which is considered financing cash flows, was $2.6 million (see Note 9: Fair Value Measurements).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(7)    </w:t>
      </w:r>
      <w:r>
        <w:rPr>
          <w:rFonts w:ascii="Times New Roman;serif" w:hAnsi="Times New Roman;serif"/>
          <w:b w:val="false"/>
          <w:color w:val="000000"/>
          <w:sz w:val="20"/>
        </w:rPr>
        <w:t>In 2025, our employees surrendered 61,693 shares of our common stock from vested restricted stock awards as consideration for approximately $8.8 million in minimum statutory withholding obligations paid on their behalf. In 2024, our employees surrendered 114,787 shares of our common stock from vested restricted stock awards as consideration for approximately $12.0 million in minimum statutory withholding obligations paid on their behalf. In 2023, our employees surrendered 59,377 shares of our common stock from vested restricted stock awards as consideration for approximately $9.4 million in minimum statutory withholding obligations paid on their behalf.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common stock purchase plan, which authorized the repurchase of up to $100.0 million of our common stock, was approved by our Board of Directors in August 2019. This plan has no expiration date. As of December 31, 2025, all of the $100.0 million available for purchase was remaining under the plan. We are limited on share purchases in accordance with the terms and conditions of our Credit Agreement (see Note 12: Long-Term Obligations in our accompanying consolidated financial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1: Basis of Presentation and Significant Accounting Policies to the Consolidated Financial Statements in Part II, Item 8 of this Annual Report on Form 10-K.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significant accounting policies are summarized in Note 1 to the Consolidated Financial Statements. In preparing our consolidated financial statements in accordance with GAAP and pursuant to the rules and regulations of the SEC, we make estimates, assumptions and judgments that affect the reported amounts of assets, liabilities, revenue and expenses, and related disclosures of contingent assets and liabilities. We base our estimates, assumptions and judgments on historical experience and other factors that we believe are reasonable. We evaluate our estimates, assumptions and judgments on a regular basis and apply our accounting policies on a consistent basis. We believe that the estimates, assumptions and judgments involved in the accounting for revenue recognition, and accounts receivable have the most potential impact on our consolidated financial statements. Historically, our estimates, assumptions and judgments relative to our critical accounting policies have not differed materially from actual results.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i/>
          <w:color w:val="000000"/>
          <w:sz w:val="20"/>
        </w:rPr>
        <w:t>Revenue recognition</w:t>
      </w:r>
      <w:r>
        <w:rPr>
          <w:color w:val="000000"/>
        </w:rPr>
        <w: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revenues when we transfer control of promised goods to our customers, which for the majority of our sales of products sold on a standalone basis to our distributors and end customers for direct sales, is deemed to be at point of shipment. Our software license renewals are considered to be transferred to a customer at a point in time at the start of each renewal period; therefore, revenue is recognized at that time.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Payment is typically due in full within 30 days of delivery or the start of the contract term. Revenue is recorded in an amount that reflects the consideration we expect to be entitled to in exchange for those goods or services. We include variable consideration in net sales only to the extent that a significant reversal in revenue is not probable when the uncertainty is resolved.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variable consideration includes distributor chargebacks, product returns and end customer rebates, with distributor chargebacks representing the majority and subject to the greatest judgment.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Chargebacks are the difference between the prices we charge our distribution customers at the time they purchase our products and the contracted prices we have with the end customer, most often in the U.S. and Canada. When a distributor sells our products to one of our contracted end customers, the distributor typically will claim a refund from us for the chargeback amount which we process as a credit to the distributor.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estimating the transaction price to present as net revenue for sales to distributors, we must estimate the expected chargeback amount that we will refund to the distributor after they sell our product to a contracted end customer. Determining the appropriate chargeback reserve requires judgment around the following assumptions: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The estimated chargeback amount (the difference between the price we invoice the distributor and the contractually agreed price with specified end customers);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 The estimated period of time between the sale to the distributor and the receipt of a chargeback claim.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estimating the expected chargeback amount, we utilize actual recent historical chargebacks paid to the specific distributor for similar products as determined at either a product or product-family level. While individual chargeback rates can vary significantly depending on the product and contracted prices with distributors and end customers, our chargeback reserve estimate is not overly sensitive to those individual price changes due to the long-term nature of our distributor and end customer contracts as well as consistency in purchasing patterns. Additionally, the use of the actual chargeback history to calculate an average chargeback rate has historically resulted in a reasonable estimation of overall current contract rates.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estimating the period of time between the sale to the distributor and the receipt of a chargeback claim, we utilize several sources of information including actual inventory quantities of our products on hand at distributors. This inventory on hand information is received from the distributors or, when specific quantities are not provided, estimated by using the targeted days of inventory on hand for distributors. Historical experience of actual chargebacks paid has indicated that use of this information has reasonable predictive value of outstanding chargebacks and accounts for the variability of purchasing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patterns and expected timing and volume of sales to end customers. The value of the chargeback reserve generally represents approximately two months of obligation due to the timing difference between the initial sale to a distributor and the processing of a chargeback claim after the product is sold to the end customer.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chargeback reserve estimates change from period-to-period primarily based on changes in revenue from/and the inventory levels of distributors. Our judgments regarding the information used to calculate the chargeback reserve are consistent from period to period; however, on a regular basis, we evaluate the adequacy of the chargeback reserve to reassess and ensure that the variable consideration is appropriately constrained, and the likelihood of future revenue reversal is not probable. We use metrics including chargeback provision as a percentage of gross revenue, movements in inventory on hand at distributors, trends in accrued versus paid chargebacks and impacts from price changes and similar metrics.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chargeback reserve reflects a reasonable estimate of the amount of consideration using the expected value method and is recorded as a reduction of accounts receivable, net on the consolidated balance sheets.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offer certain volume-based rebates to both our distribution and end-customers, which we record as variable consideration when calculating the transaction price. Rebates are offered on both a fixed and tiered/variable basis. In both cases, we use information available at the time, including current contractual requirements, our historical experience with each customer and forecasted customer purchasing patterns, to estimate the most likely rebate amount.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warrant products against defects and have a policy permitting the return of defective products, for which we accrue and expense at the time of sale using information available and our historical experience.     </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i/>
          <w:color w:val="000000"/>
          <w:sz w:val="20"/>
        </w:rPr>
        <w:t>Accounts receivable</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Accounts receivable are stated at net realizable value. Our accounts receivable are recorded net of reserves including distributor chargebacks, estimated rebates and allowance for doubtful accounts. See above for significant judgments related to distributor chargebacks and rebates. An allowance is provided for estimated collection losses based on an analysis of the age of the receivable, on specific past due accounts for which we consider collection to be doubtful and based on current receivables where known economic conditions specific to individual significant customers may indicate collection is doubtful. We rely on prior payment trends, financial status and other factors to estimate the cash which ultimately will be received. Such amounts cannot be known with certainty at the financial statement date. We regularly review individual past due balances for collectability. We also have credit exposure with international customers for whom normal payment terms are long in comparison to those of our other customers and with domestic distributors. If actual collection losses exceed expectations, we could be required to accrue additional bad debt expense, which could have an adverse effect on our operating results in the period in which the accrual occurs.</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Interest Rate Risk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variable-rate term loans and revolving credit facility are exposed to changes in interest rates.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loan A facility currently bears interest based on Term SOFR plus an applicable margin of 1.75% per year. The term loan B facility currently bears interest based on Adjusted Term SOFR subject to a 0.50% floor plus an applicable margin of 2.25%. We used a sensitivity analysis to measure our interest rate risk exposure. If the SOFR rate increases or decreases 1% from December 31, 2025, the additional annual interest expense or savings related to the existing term loans would be approximately $12.9 million before considering any offsetting impacts of our interest rate swaps.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mitigate and offset a portion of this interest rate risk exposure associated with these debt instruments we entered into interest rate swaps to achieve a targeted mix of fixed and variable-rate debt. The term loan A swap has an initial notional amount of $300.0 million, reducing to $150.0 million evenly on a quarterly basis through its final maturity on March 30, 2027 and we pay a fixed rate of 1.32% and receive the greater of 3-month USD SOFR or (0.15)%. The term loan B swap has an initial notional amount of $750.0 million, reducing to $46.9 million evenly on a quarterly basis through its final maturity on March 30, 2026 and we pay a fixed rate of 1.17% and receive the greater of 3-month USD SOFR or 0.35%. In June 2023, we entered into an additional swap with a notional amount of $300.0 million with a maturity date of June 30, 2028 and we pay a fixed rate of 3.8765% starting on June 30, 2023 and receive 3-month USD SOFR. (see Note 8: Derivatives and Hedging Activities to the Consolidated Financial Statements in Part II, Item 8 of this Annual Report on Form 10-K).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Foreign Exchange Risk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transact business globally in multiple currencies, some of which are considered volatile. Our international revenues and expenses and working capital positions denominated in these foreign currencies expose us to the risk of fluctuations in foreign currency exchange rates against the U.S. dollar. As the receiver of foreign currencies we are adversely affected by the strengthening of the U.S. dollar and other currencies relative to the operating unit functional currency. Our hedging policy attempts to manage these risks to an acceptable level. We manage our foreign currency exposures on a consolidated basis to take advantage of net exposures and natural offsets, which are then further reduced by the gains and losses of our hedging instruments. Gains and losses on the hedging instruments offset gains and losses on the hedged forecasted transactions and reduce the earnings volatility related to foreign exchange, however we do not hedge our entire foreign exchange exposure and are still subject to potentially significant earnings volatility due to foreign exchange risk.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foreign exchange forward contracts to hedge a portion of our forecasted foreign currency-denominated revenues and expenses (principally Mexican Pesos, Euros, Czech Koruna, Japanese Yen, Swedish Krona, Danish Krone, Chinese Renminbi, Canadian Dollar, U.S. Dollar, and Australian Dollar) that differ from the functional currency of the operating unit. These derivative contracts are designated and qualify as cash flow hedges (see Note 8: Derivatives and Hedging Activities to the consolidated financial statements in Part II, Item 8 of this Annual Report on Form 10-K). We performed a sensitivity analysis to estimate changes in the fair value of our foreign exchange derivatives due to potential changes in near-term foreign exchange rates. At December 31, 2025, the effect of a hypothetical 10% weakening in the actual foreign exchange rates used for the applicable currencies would result in an estimated increase in the fair value of these outstanding derivatives contracts by approximately $0.7 million. The sensitivity analysis recalculates the fair value of the exchange contracts outstanding at December 31, 2025 using the actual forward rates at December 31, 2025, which are then adjusted to be 10% weaker for each respective currency.</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tbl>
      <w:tblPr>
        <w:tblW w:w="10205" w:type="dxa"/>
        <w:jc w:val="center"/>
        <w:tblInd w:w="0" w:type="dxa"/>
        <w:tblLayout w:type="fixed"/>
        <w:tblCellMar>
          <w:top w:w="28" w:type="dxa"/>
          <w:left w:w="28" w:type="dxa"/>
          <w:bottom w:w="28" w:type="dxa"/>
          <w:right w:w="28" w:type="dxa"/>
        </w:tblCellMar>
      </w:tblPr>
      <w:tblGrid>
        <w:gridCol w:w="2757"/>
        <w:gridCol w:w="2296"/>
        <w:gridCol w:w="2296"/>
        <w:gridCol w:w="833"/>
        <w:gridCol w:w="833"/>
        <w:gridCol w:w="1190"/>
      </w:tblGrid>
      <w:tr>
        <w:trPr/>
        <w:tc>
          <w:tcPr>
            <w:tcW w:w="2757"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INDEX TO CONSOLIDATED FINANCIAL STATEMENTS AND SCHEDULE</w:t>
            </w:r>
          </w:p>
        </w:tc>
      </w:tr>
      <w:tr>
        <w:trPr/>
        <w:tc>
          <w:tcPr>
            <w:tcW w:w="7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7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58">
              <w:r>
                <w:rPr>
                  <w:rStyle w:val="InternetLink"/>
                  <w:rFonts w:ascii="Times New Roman;serif" w:hAnsi="Times New Roman;serif"/>
                  <w:b w:val="false"/>
                  <w:strike w:val="false"/>
                  <w:dstrike w:val="false"/>
                  <w:color w:val="000000"/>
                  <w:sz w:val="20"/>
                  <w:u w:val="none"/>
                  <w:effect w:val="none"/>
                </w:rPr>
                <w:t>Reports of Independent Registered Public Accounting Firm</w:t>
              </w:r>
            </w:hyperlink>
            <w:r>
              <w:rPr>
                <w:rFonts w:ascii="Times New Roman;serif" w:hAnsi="Times New Roman;serif"/>
                <w:b w:val="false"/>
                <w:color w:val="000000"/>
                <w:sz w:val="20"/>
              </w:rPr>
              <w:t xml:space="preserve"> </w:t>
            </w:r>
          </w:p>
        </w:tc>
        <w:tc>
          <w:tcPr>
            <w:tcW w:w="2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e1e544a67f48439c5ec9071b339bca_58">
              <w:r>
                <w:rPr>
                  <w:rStyle w:val="InternetLink"/>
                  <w:rFonts w:ascii="Times New Roman;serif" w:hAnsi="Times New Roman;serif"/>
                  <w:b w:val="false"/>
                  <w:strike w:val="false"/>
                  <w:dstrike w:val="false"/>
                  <w:color w:val="000000"/>
                  <w:sz w:val="20"/>
                  <w:u w:val="none"/>
                  <w:effect w:val="none"/>
                </w:rPr>
                <w:t>58</w:t>
              </w:r>
            </w:hyperlink>
          </w:p>
        </w:tc>
      </w:tr>
      <w:tr>
        <w:trPr/>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61">
              <w:r>
                <w:rPr>
                  <w:rStyle w:val="InternetLink"/>
                  <w:rFonts w:ascii="Times New Roman;serif" w:hAnsi="Times New Roman;serif"/>
                  <w:b w:val="false"/>
                  <w:strike w:val="false"/>
                  <w:dstrike w:val="false"/>
                  <w:color w:val="000000"/>
                  <w:sz w:val="20"/>
                  <w:u w:val="none"/>
                  <w:effect w:val="none"/>
                </w:rPr>
                <w:t xml:space="preserve">Consolidated Balance Sheets as of </w:t>
              </w:r>
            </w:hyperlink>
            <w:r>
              <w:rPr>
                <w:rFonts w:ascii="Times New Roman;serif" w:hAnsi="Times New Roman;serif"/>
                <w:b w:val="false"/>
                <w:color w:val="000000"/>
                <w:sz w:val="20"/>
              </w:rPr>
              <w:t>December 31, 2025</w:t>
            </w:r>
            <w:hyperlink w:anchor="i95e1e544a67f48439c5ec9071b339bca_61">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2024</w:t>
            </w:r>
          </w:p>
        </w:tc>
        <w:tc>
          <w:tcPr>
            <w:tcW w:w="2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e1e544a67f48439c5ec9071b339bca_61">
              <w:r>
                <w:rPr>
                  <w:rStyle w:val="InternetLink"/>
                  <w:rFonts w:ascii="Times New Roman;serif" w:hAnsi="Times New Roman;serif"/>
                  <w:b w:val="false"/>
                  <w:strike w:val="false"/>
                  <w:dstrike w:val="false"/>
                  <w:color w:val="000000"/>
                  <w:sz w:val="20"/>
                  <w:u w:val="none"/>
                  <w:effect w:val="none"/>
                </w:rPr>
                <w:t>61</w:t>
              </w:r>
            </w:hyperlink>
          </w:p>
        </w:tc>
      </w:tr>
      <w:tr>
        <w:trPr/>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64">
              <w:r>
                <w:rPr>
                  <w:rStyle w:val="InternetLink"/>
                  <w:rFonts w:ascii="Times New Roman;serif" w:hAnsi="Times New Roman;serif"/>
                  <w:b w:val="false"/>
                  <w:strike w:val="false"/>
                  <w:dstrike w:val="false"/>
                  <w:color w:val="000000"/>
                  <w:sz w:val="20"/>
                  <w:u w:val="none"/>
                  <w:effect w:val="none"/>
                </w:rPr>
                <w:t xml:space="preserve">Consolidated Statements of Operations for the Years Ended </w:t>
              </w:r>
            </w:hyperlink>
            <w:r>
              <w:rPr>
                <w:rFonts w:ascii="Times New Roman;serif" w:hAnsi="Times New Roman;serif"/>
                <w:b w:val="false"/>
                <w:color w:val="000000"/>
                <w:sz w:val="20"/>
              </w:rPr>
              <w:t>December 31, 2025</w:t>
            </w:r>
            <w:hyperlink w:anchor="i95e1e544a67f48439c5ec9071b339bca_64">
              <w:r>
                <w:rPr>
                  <w:rStyle w:val="InternetLink"/>
                  <w:rFonts w:ascii="Times New Roman;serif" w:hAnsi="Times New Roman;serif"/>
                  <w:b w:val="false"/>
                  <w:strike w:val="false"/>
                  <w:dstrike w:val="false"/>
                  <w:color w:val="000000"/>
                  <w:sz w:val="20"/>
                  <w:u w:val="none"/>
                  <w:effect w:val="none"/>
                </w:rPr>
                <w:t xml:space="preserve">, </w:t>
              </w:r>
            </w:hyperlink>
            <w:r>
              <w:rPr>
                <w:rFonts w:ascii="Times New Roman;serif" w:hAnsi="Times New Roman;serif"/>
                <w:b w:val="false"/>
                <w:color w:val="000000"/>
                <w:sz w:val="20"/>
              </w:rPr>
              <w:t>2024</w:t>
            </w:r>
            <w:hyperlink w:anchor="i95e1e544a67f48439c5ec9071b339bca_64">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2023</w:t>
            </w:r>
          </w:p>
        </w:tc>
        <w:tc>
          <w:tcPr>
            <w:tcW w:w="2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e1e544a67f48439c5ec9071b339bca_64">
              <w:r>
                <w:rPr>
                  <w:rStyle w:val="InternetLink"/>
                  <w:rFonts w:ascii="Times New Roman;serif" w:hAnsi="Times New Roman;serif"/>
                  <w:b w:val="false"/>
                  <w:strike w:val="false"/>
                  <w:dstrike w:val="false"/>
                  <w:color w:val="000000"/>
                  <w:sz w:val="20"/>
                  <w:u w:val="none"/>
                  <w:effect w:val="none"/>
                </w:rPr>
                <w:t>62</w:t>
              </w:r>
            </w:hyperlink>
          </w:p>
        </w:tc>
      </w:tr>
      <w:tr>
        <w:trPr/>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67">
              <w:r>
                <w:rPr>
                  <w:rStyle w:val="InternetLink"/>
                  <w:rFonts w:ascii="Times New Roman;serif" w:hAnsi="Times New Roman;serif"/>
                  <w:b w:val="false"/>
                  <w:strike w:val="false"/>
                  <w:dstrike w:val="false"/>
                  <w:color w:val="000000"/>
                  <w:sz w:val="20"/>
                  <w:u w:val="none"/>
                  <w:effect w:val="none"/>
                </w:rPr>
                <w:t xml:space="preserve">Consolidated Statements of Comprehensive Income (Loss) for the Years Ended </w:t>
              </w:r>
            </w:hyperlink>
            <w:r>
              <w:rPr>
                <w:rFonts w:ascii="Times New Roman;serif" w:hAnsi="Times New Roman;serif"/>
                <w:b w:val="false"/>
                <w:color w:val="000000"/>
                <w:sz w:val="20"/>
              </w:rPr>
              <w:t>December 31, 2025</w:t>
            </w:r>
            <w:hyperlink w:anchor="i95e1e544a67f48439c5ec9071b339bca_67">
              <w:r>
                <w:rPr>
                  <w:rStyle w:val="InternetLink"/>
                  <w:rFonts w:ascii="Times New Roman;serif" w:hAnsi="Times New Roman;serif"/>
                  <w:b w:val="false"/>
                  <w:strike w:val="false"/>
                  <w:dstrike w:val="false"/>
                  <w:color w:val="000000"/>
                  <w:sz w:val="20"/>
                  <w:u w:val="none"/>
                  <w:effect w:val="none"/>
                </w:rPr>
                <w:t xml:space="preserve">, </w:t>
              </w:r>
            </w:hyperlink>
            <w:r>
              <w:rPr>
                <w:rFonts w:ascii="Times New Roman;serif" w:hAnsi="Times New Roman;serif"/>
                <w:b w:val="false"/>
                <w:color w:val="000000"/>
                <w:sz w:val="20"/>
              </w:rPr>
              <w:t>2024</w:t>
            </w:r>
            <w:hyperlink w:anchor="i95e1e544a67f48439c5ec9071b339bca_67">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2023</w:t>
            </w:r>
          </w:p>
        </w:tc>
        <w:tc>
          <w:tcPr>
            <w:tcW w:w="2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e1e544a67f48439c5ec9071b339bca_67">
              <w:r>
                <w:rPr>
                  <w:rStyle w:val="InternetLink"/>
                  <w:rFonts w:ascii="Times New Roman;serif" w:hAnsi="Times New Roman;serif"/>
                  <w:b w:val="false"/>
                  <w:strike w:val="false"/>
                  <w:dstrike w:val="false"/>
                  <w:color w:val="000000"/>
                  <w:sz w:val="20"/>
                  <w:u w:val="none"/>
                  <w:effect w:val="none"/>
                </w:rPr>
                <w:t>63</w:t>
              </w:r>
            </w:hyperlink>
          </w:p>
        </w:tc>
      </w:tr>
      <w:tr>
        <w:trPr/>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70">
              <w:r>
                <w:rPr>
                  <w:rStyle w:val="InternetLink"/>
                  <w:rFonts w:ascii="Times New Roman;serif" w:hAnsi="Times New Roman;serif"/>
                  <w:b w:val="false"/>
                  <w:strike w:val="false"/>
                  <w:dstrike w:val="false"/>
                  <w:color w:val="000000"/>
                  <w:sz w:val="20"/>
                  <w:u w:val="none"/>
                  <w:effect w:val="none"/>
                </w:rPr>
                <w:t xml:space="preserve">Consolidated Statements of Stockholders’ Equity for the Years Ended </w:t>
              </w:r>
            </w:hyperlink>
            <w:r>
              <w:rPr>
                <w:rFonts w:ascii="Times New Roman;serif" w:hAnsi="Times New Roman;serif"/>
                <w:b w:val="false"/>
                <w:color w:val="000000"/>
                <w:sz w:val="20"/>
              </w:rPr>
              <w:t>December 31, 2025</w:t>
            </w:r>
            <w:hyperlink w:anchor="i95e1e544a67f48439c5ec9071b339bca_70">
              <w:r>
                <w:rPr>
                  <w:rStyle w:val="InternetLink"/>
                  <w:rFonts w:ascii="Times New Roman;serif" w:hAnsi="Times New Roman;serif"/>
                  <w:b w:val="false"/>
                  <w:strike w:val="false"/>
                  <w:dstrike w:val="false"/>
                  <w:color w:val="000000"/>
                  <w:sz w:val="20"/>
                  <w:u w:val="none"/>
                  <w:effect w:val="none"/>
                </w:rPr>
                <w:t xml:space="preserve">, </w:t>
              </w:r>
            </w:hyperlink>
            <w:r>
              <w:rPr>
                <w:rFonts w:ascii="Times New Roman;serif" w:hAnsi="Times New Roman;serif"/>
                <w:b w:val="false"/>
                <w:color w:val="000000"/>
                <w:sz w:val="20"/>
              </w:rPr>
              <w:t>2024</w:t>
            </w:r>
            <w:hyperlink w:anchor="i95e1e544a67f48439c5ec9071b339bca_70">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2023</w:t>
            </w:r>
          </w:p>
        </w:tc>
        <w:tc>
          <w:tcPr>
            <w:tcW w:w="2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e1e544a67f48439c5ec9071b339bca_70">
              <w:r>
                <w:rPr>
                  <w:rStyle w:val="InternetLink"/>
                  <w:rFonts w:ascii="Times New Roman;serif" w:hAnsi="Times New Roman;serif"/>
                  <w:b w:val="false"/>
                  <w:strike w:val="false"/>
                  <w:dstrike w:val="false"/>
                  <w:color w:val="000000"/>
                  <w:sz w:val="20"/>
                  <w:u w:val="none"/>
                  <w:effect w:val="none"/>
                </w:rPr>
                <w:t>64</w:t>
              </w:r>
            </w:hyperlink>
          </w:p>
        </w:tc>
      </w:tr>
      <w:tr>
        <w:trPr/>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73">
              <w:r>
                <w:rPr>
                  <w:rStyle w:val="InternetLink"/>
                  <w:rFonts w:ascii="Times New Roman;serif" w:hAnsi="Times New Roman;serif"/>
                  <w:b w:val="false"/>
                  <w:strike w:val="false"/>
                  <w:dstrike w:val="false"/>
                  <w:color w:val="000000"/>
                  <w:sz w:val="20"/>
                  <w:u w:val="none"/>
                  <w:effect w:val="none"/>
                </w:rPr>
                <w:t xml:space="preserve">Consolidated Statements of Cash Flows for the Years Ended </w:t>
              </w:r>
            </w:hyperlink>
            <w:r>
              <w:rPr>
                <w:rFonts w:ascii="Times New Roman;serif" w:hAnsi="Times New Roman;serif"/>
                <w:b w:val="false"/>
                <w:color w:val="000000"/>
                <w:sz w:val="20"/>
              </w:rPr>
              <w:t>December 31, 2025</w:t>
            </w:r>
            <w:hyperlink w:anchor="i95e1e544a67f48439c5ec9071b339bca_73">
              <w:r>
                <w:rPr>
                  <w:rStyle w:val="InternetLink"/>
                  <w:rFonts w:ascii="Times New Roman;serif" w:hAnsi="Times New Roman;serif"/>
                  <w:b w:val="false"/>
                  <w:strike w:val="false"/>
                  <w:dstrike w:val="false"/>
                  <w:color w:val="000000"/>
                  <w:sz w:val="20"/>
                  <w:u w:val="none"/>
                  <w:effect w:val="none"/>
                </w:rPr>
                <w:t xml:space="preserve">, </w:t>
              </w:r>
            </w:hyperlink>
            <w:r>
              <w:rPr>
                <w:rFonts w:ascii="Times New Roman;serif" w:hAnsi="Times New Roman;serif"/>
                <w:b w:val="false"/>
                <w:color w:val="000000"/>
                <w:sz w:val="20"/>
              </w:rPr>
              <w:t>2024</w:t>
            </w:r>
            <w:hyperlink w:anchor="i95e1e544a67f48439c5ec9071b339bca_73">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2023</w:t>
            </w:r>
          </w:p>
        </w:tc>
        <w:tc>
          <w:tcPr>
            <w:tcW w:w="2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e1e544a67f48439c5ec9071b339bca_73">
              <w:r>
                <w:rPr>
                  <w:rStyle w:val="InternetLink"/>
                  <w:rFonts w:ascii="Times New Roman;serif" w:hAnsi="Times New Roman;serif"/>
                  <w:b w:val="false"/>
                  <w:strike w:val="false"/>
                  <w:dstrike w:val="false"/>
                  <w:color w:val="000000"/>
                  <w:sz w:val="20"/>
                  <w:u w:val="none"/>
                  <w:effect w:val="none"/>
                </w:rPr>
                <w:t>65</w:t>
              </w:r>
            </w:hyperlink>
          </w:p>
        </w:tc>
      </w:tr>
      <w:tr>
        <w:trPr/>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76">
              <w:r>
                <w:rPr>
                  <w:rStyle w:val="InternetLink"/>
                  <w:rFonts w:ascii="Times New Roman;serif" w:hAnsi="Times New Roman;serif"/>
                  <w:b w:val="false"/>
                  <w:strike w:val="false"/>
                  <w:dstrike w:val="false"/>
                  <w:color w:val="000000"/>
                  <w:sz w:val="20"/>
                  <w:u w:val="none"/>
                  <w:effect w:val="none"/>
                </w:rPr>
                <w:t>Notes to Consolidated Financial Statements</w:t>
              </w:r>
            </w:hyperlink>
          </w:p>
        </w:tc>
        <w:tc>
          <w:tcPr>
            <w:tcW w:w="2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e1e544a67f48439c5ec9071b339bca_76">
              <w:r>
                <w:rPr>
                  <w:rStyle w:val="InternetLink"/>
                  <w:rFonts w:ascii="Times New Roman;serif" w:hAnsi="Times New Roman;serif"/>
                  <w:b w:val="false"/>
                  <w:strike w:val="false"/>
                  <w:dstrike w:val="false"/>
                  <w:color w:val="000000"/>
                  <w:sz w:val="20"/>
                  <w:u w:val="none"/>
                  <w:effect w:val="none"/>
                </w:rPr>
                <w:t>67</w:t>
              </w:r>
            </w:hyperlink>
          </w:p>
        </w:tc>
      </w:tr>
      <w:tr>
        <w:trPr/>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81">
              <w:r>
                <w:rPr>
                  <w:rStyle w:val="InternetLink"/>
                  <w:rFonts w:ascii="Times New Roman;serif" w:hAnsi="Times New Roman;serif"/>
                  <w:b w:val="false"/>
                  <w:strike w:val="false"/>
                  <w:dstrike w:val="false"/>
                  <w:color w:val="000000"/>
                  <w:sz w:val="20"/>
                  <w:u w:val="none"/>
                  <w:effect w:val="none"/>
                </w:rPr>
                <w:t>Schedule II-Valuation and Qualifying Accounts</w:t>
              </w:r>
            </w:hyperlink>
          </w:p>
        </w:tc>
        <w:tc>
          <w:tcPr>
            <w:tcW w:w="2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e1e544a67f48439c5ec9071b339bca_181">
              <w:r>
                <w:rPr>
                  <w:rStyle w:val="InternetLink"/>
                  <w:rFonts w:ascii="Times New Roman;serif" w:hAnsi="Times New Roman;serif"/>
                  <w:b w:val="false"/>
                  <w:strike w:val="false"/>
                  <w:dstrike w:val="false"/>
                  <w:color w:val="000000"/>
                  <w:sz w:val="20"/>
                  <w:u w:val="none"/>
                  <w:effect w:val="none"/>
                </w:rPr>
                <w:t>117</w:t>
              </w:r>
            </w:hyperlink>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the stockholders and the Board of Directors of ICU Medical, Inc.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ICU Medical, Inc. and subsidiaries (the "Company") as of December 31, 2025 and 2024, the related consolidated statements of operations, comprehensive income (loss), stockholders' equity, and cash flows, for each of the three years in the period ended December 31, 2025, and the related notes and the schedule listed in the Index at Item 15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19, 2026, expressed an unqualified opinion on the Company's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 Recognition – Chargeback Reserve — Refer to Notes 1 and 4 to the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revenue and the related accounts receivable for product sales, net of a reserve for estimated chargebacks. Chargebacks are the difference between prices the Company charges distribution customers and contracted prices the Company has with the end-customer which are processed as credits to the distribution customers.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Chargebacks are accounted for as variable consideration when determining the transaction price for purposes of recognizing revenue. Variable consideration is included in net sales only to the extent that a significant reversal in revenue is not probable when the uncertainty is resolved. The Company estimates and reserves for chargebacks as a reduction of revenue and the related accounts receivable at the time of sale to its distribution customers using information available at that time, including historical experience.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Given the subjectivity and complexity of evaluating management’s assumptions used in the determination of the chargeback reserve, including the estimated chargeback amount for sales to distribution customers and the time to settle chargeback obligations, auditing the chargeback reserve requires a high degree of auditor judgment and an increased extent of effort.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audit procedures related to the chargeback reserve included the following, among others: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We tested the effectiveness of certain controls related to management's assessment of assumptions related to estimating the provision for chargeback reserves, the provisioning, processing, and monitoring of chargeback transactions, and the reconciliation of chargeback reserves.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We tested chargeback estimates for purposes of determining whether revenues recognized at the time of sale were recorded in the proper period.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evaluated the methods and assumptions used by management to estimate the chargeback reserve by: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Analyzing trends in the chargeback provision as a percent of revenues and the chargeback reserve as a percent of revenues.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Testing the underlying data, including historical sales to distribution customers, chargeback settlements with distribution customers, and inventory days on hand reported from distributors, that are utilized as the basis for the chargeback reserve, to test whether the inputs to the estimate were reasonable.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Developing an expectation of the chargeback reserve based on monthly sales to distribution customers, historical experience, and the time to settle chargeback obligations, and comparing our expectation to the amount recorded by management.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Performing retrospective reviews comparing management's estimates of expected chargeback reserves to actual amounts incurred subsequent to the dates of estimation, to assess management's ability to reasonably estimate these obligations and to identify potential bias in management's assessment of the 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Costa Mesa, California</w:t>
      </w:r>
    </w:p>
    <w:tbl>
      <w:tblPr>
        <w:tblW w:w="4827" w:type="dxa"/>
        <w:jc w:val="center"/>
        <w:tblInd w:w="0" w:type="dxa"/>
        <w:tblLayout w:type="fixed"/>
        <w:tblCellMar>
          <w:top w:w="28" w:type="dxa"/>
          <w:left w:w="28" w:type="dxa"/>
          <w:bottom w:w="28" w:type="dxa"/>
          <w:right w:w="28" w:type="dxa"/>
        </w:tblCellMar>
      </w:tblPr>
      <w:tblGrid>
        <w:gridCol w:w="1611"/>
        <w:gridCol w:w="1419"/>
        <w:gridCol w:w="1425"/>
        <w:gridCol w:w="109"/>
        <w:gridCol w:w="109"/>
        <w:gridCol w:w="154"/>
      </w:tblGrid>
      <w:tr>
        <w:trPr/>
        <w:tc>
          <w:tcPr>
            <w:tcW w:w="161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2008.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ICU Medical, Inc.</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audited the internal control over financial reporting of ICU Medical, Inc. and subsidiaries (the “Company”) as of December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Internal Control — Integrated Framework (2013) issued by COSO.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as of and for the year ended December 31, 2025, of the Company and our report dated February 19, 2026, expressed an unqualified opinion on those financial statements.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Costa Mesa,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February 19,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ICU MEDICAL, INC.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par value data and treasury shares) </w:t>
      </w:r>
    </w:p>
    <w:tbl>
      <w:tblPr>
        <w:tblW w:w="10205" w:type="dxa"/>
        <w:jc w:val="center"/>
        <w:tblInd w:w="0" w:type="dxa"/>
        <w:tblLayout w:type="fixed"/>
        <w:tblCellMar>
          <w:top w:w="28" w:type="dxa"/>
          <w:left w:w="28" w:type="dxa"/>
          <w:bottom w:w="28" w:type="dxa"/>
          <w:right w:w="28" w:type="dxa"/>
        </w:tblCellMar>
      </w:tblPr>
      <w:tblGrid>
        <w:gridCol w:w="2982"/>
        <w:gridCol w:w="2118"/>
        <w:gridCol w:w="2139"/>
        <w:gridCol w:w="211"/>
        <w:gridCol w:w="976"/>
        <w:gridCol w:w="109"/>
        <w:gridCol w:w="109"/>
        <w:gridCol w:w="109"/>
        <w:gridCol w:w="109"/>
        <w:gridCol w:w="211"/>
        <w:gridCol w:w="976"/>
        <w:gridCol w:w="156"/>
      </w:tblGrid>
      <w:tr>
        <w:trPr/>
        <w:tc>
          <w:tcPr>
            <w:tcW w:w="2982"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$14,383 and $12,977 at December 31, 2025 and 2024,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1,441,983 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1,432,772 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AFFILIATES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4,203,931 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 for 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1,531,858 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preferred stock, $1.00 par value; Authorized—500 shares; Issued and outstanding— none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$0.10 par value; Authorized—80,000 shares; Issued—24,688 and 24,518 shares at December 31, 2025 and 2024, respectively, and outstanding—24,688 and 24,517 shares at December 31, 2025 and 2024,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1,412,118 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(172 and 571 shares,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1,965,235 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4,050,508 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4,203,931 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ICU MEDICAL, INC.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data)</w:t>
      </w:r>
    </w:p>
    <w:tbl>
      <w:tblPr>
        <w:tblW w:w="10205" w:type="dxa"/>
        <w:jc w:val="center"/>
        <w:tblInd w:w="0" w:type="dxa"/>
        <w:tblLayout w:type="fixed"/>
        <w:tblCellMar>
          <w:top w:w="28" w:type="dxa"/>
          <w:left w:w="28" w:type="dxa"/>
          <w:bottom w:w="28" w:type="dxa"/>
          <w:right w:w="28" w:type="dxa"/>
        </w:tblCellMar>
      </w:tblPr>
      <w:tblGrid>
        <w:gridCol w:w="2262"/>
        <w:gridCol w:w="1672"/>
        <w:gridCol w:w="1682"/>
        <w:gridCol w:w="211"/>
        <w:gridCol w:w="976"/>
        <w:gridCol w:w="109"/>
        <w:gridCol w:w="109"/>
        <w:gridCol w:w="109"/>
        <w:gridCol w:w="109"/>
        <w:gridCol w:w="211"/>
        <w:gridCol w:w="976"/>
        <w:gridCol w:w="109"/>
        <w:gridCol w:w="109"/>
        <w:gridCol w:w="109"/>
        <w:gridCol w:w="109"/>
        <w:gridCol w:w="211"/>
        <w:gridCol w:w="976"/>
        <w:gridCol w:w="156"/>
      </w:tblGrid>
      <w:tr>
        <w:trPr/>
        <w:tc>
          <w:tcPr>
            <w:tcW w:w="226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6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2,259,126 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1,519,253 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739,873 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strategic transaction and integration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earn-out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717,048 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 AND EQUITY IN LOSSES OF UNCONSOLIDATED AFFILIATES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(78,299)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CONSOLIDATED COMPANIES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OF UNCONSOLIDATED AFFILIATES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ICU MEDICAL, INC.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STATEMENTS OF COMPREHENSIVE INCOME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451"/>
        <w:gridCol w:w="1837"/>
        <w:gridCol w:w="1797"/>
        <w:gridCol w:w="211"/>
        <w:gridCol w:w="826"/>
        <w:gridCol w:w="109"/>
        <w:gridCol w:w="109"/>
        <w:gridCol w:w="109"/>
        <w:gridCol w:w="109"/>
        <w:gridCol w:w="211"/>
        <w:gridCol w:w="868"/>
        <w:gridCol w:w="109"/>
        <w:gridCol w:w="109"/>
        <w:gridCol w:w="109"/>
        <w:gridCol w:w="109"/>
        <w:gridCol w:w="211"/>
        <w:gridCol w:w="763"/>
        <w:gridCol w:w="158"/>
      </w:tblGrid>
      <w:tr>
        <w:trPr/>
        <w:tc>
          <w:tcPr>
            <w:tcW w:w="2451"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flow hedge adjustments, net of tax of $(727), $0 and $(5,951) for the years ended December 31, 2025, 2024 and 2023,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xml:space="preserve">Foreign currency translation adjustment, net of tax of $0 for all periods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Other adjustments, net of tax of $0 for all periods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ICU MEDICAL, INC. AND SUBSIDIARIES</w:t>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CONSOLIDATED STATEMENTS OF STOCKHOLDERS’ EQUITY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(Amounts in thousands)</w:t>
      </w:r>
    </w:p>
    <w:tbl>
      <w:tblPr>
        <w:tblW w:w="10823" w:type="dxa"/>
        <w:jc w:val="center"/>
        <w:tblInd w:w="0" w:type="dxa"/>
        <w:tblLayout w:type="fixed"/>
        <w:tblCellMar>
          <w:top w:w="28" w:type="dxa"/>
          <w:left w:w="28" w:type="dxa"/>
          <w:bottom w:w="28" w:type="dxa"/>
          <w:right w:w="28" w:type="dxa"/>
        </w:tblCellMar>
      </w:tblPr>
      <w:tblGrid>
        <w:gridCol w:w="697"/>
        <w:gridCol w:w="244"/>
        <w:gridCol w:w="245"/>
        <w:gridCol w:w="109"/>
        <w:gridCol w:w="109"/>
        <w:gridCol w:w="109"/>
        <w:gridCol w:w="330"/>
        <w:gridCol w:w="331"/>
        <w:gridCol w:w="211"/>
        <w:gridCol w:w="109"/>
        <w:gridCol w:w="109"/>
        <w:gridCol w:w="109"/>
        <w:gridCol w:w="196"/>
        <w:gridCol w:w="571"/>
        <w:gridCol w:w="109"/>
        <w:gridCol w:w="109"/>
        <w:gridCol w:w="109"/>
        <w:gridCol w:w="109"/>
        <w:gridCol w:w="196"/>
        <w:gridCol w:w="886"/>
        <w:gridCol w:w="109"/>
        <w:gridCol w:w="109"/>
        <w:gridCol w:w="109"/>
        <w:gridCol w:w="109"/>
        <w:gridCol w:w="214"/>
        <w:gridCol w:w="477"/>
        <w:gridCol w:w="120"/>
        <w:gridCol w:w="109"/>
        <w:gridCol w:w="109"/>
        <w:gridCol w:w="109"/>
        <w:gridCol w:w="196"/>
        <w:gridCol w:w="751"/>
        <w:gridCol w:w="109"/>
        <w:gridCol w:w="109"/>
        <w:gridCol w:w="109"/>
        <w:gridCol w:w="109"/>
        <w:gridCol w:w="264"/>
        <w:gridCol w:w="893"/>
        <w:gridCol w:w="149"/>
        <w:gridCol w:w="109"/>
        <w:gridCol w:w="109"/>
        <w:gridCol w:w="109"/>
        <w:gridCol w:w="196"/>
        <w:gridCol w:w="886"/>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23,995</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1,331,249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837,501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(80,978)</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2,089,928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 and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27,897 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24,144</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1,366,493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807,846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(53,081)</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2,123,410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 and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(86,320)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24,518</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1,412,118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690,158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(139,401)</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1,965,235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 and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104,771 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24,688</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2,469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1,465,118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690,890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(34,630)</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2,123,825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60" w:after="283"/>
        <w:jc w:val="center"/>
        <w:rPr>
          <w:color w:val="000000"/>
        </w:rPr>
      </w:pPr>
      <w:r>
        <w:rPr>
          <w:color w:val="000000"/>
        </w:rPr>
        <w:t> </w:t>
      </w: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ICU MEDICAL, INC. AND SUBSIDIARIES</w:t>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CONSOLIDATED STATEMENTS OF CASH FLOWS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(Amounts in thousands)</w:t>
      </w:r>
    </w:p>
    <w:tbl>
      <w:tblPr>
        <w:tblW w:w="10031" w:type="dxa"/>
        <w:jc w:val="center"/>
        <w:tblInd w:w="0" w:type="dxa"/>
        <w:tblLayout w:type="fixed"/>
        <w:tblCellMar>
          <w:top w:w="28" w:type="dxa"/>
          <w:left w:w="28" w:type="dxa"/>
          <w:bottom w:w="28" w:type="dxa"/>
          <w:right w:w="28" w:type="dxa"/>
        </w:tblCellMar>
      </w:tblPr>
      <w:tblGrid>
        <w:gridCol w:w="2222"/>
        <w:gridCol w:w="1951"/>
        <w:gridCol w:w="1961"/>
        <w:gridCol w:w="196"/>
        <w:gridCol w:w="736"/>
        <w:gridCol w:w="109"/>
        <w:gridCol w:w="109"/>
        <w:gridCol w:w="109"/>
        <w:gridCol w:w="109"/>
        <w:gridCol w:w="196"/>
        <w:gridCol w:w="811"/>
        <w:gridCol w:w="109"/>
        <w:gridCol w:w="109"/>
        <w:gridCol w:w="109"/>
        <w:gridCol w:w="109"/>
        <w:gridCol w:w="196"/>
        <w:gridCol w:w="736"/>
        <w:gridCol w:w="154"/>
      </w:tblGrid>
      <w:tr>
        <w:trPr/>
        <w:tc>
          <w:tcPr>
            <w:tcW w:w="2222"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or write-off of property, plant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 cost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contingent earn-out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Undistributed equity in loss of unconsolidated affiliates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sale of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 net of amounts acquired:</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including excess tax benefits and 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166,201 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 additions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investment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lender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repayments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third-party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contingent earn-out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payments related to net share settlement of equity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(311,525)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307,963 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308,566 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erif" w:hAnsi="Times New Roman;serif"/>
          <w:b w:val="false"/>
          <w:color w:val="000000"/>
          <w:sz w:val="18"/>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ICU MEDICAL, INC.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STATEMENTS OF CASH FLOWS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w:t>
      </w:r>
    </w:p>
    <w:tbl>
      <w:tblPr>
        <w:tblW w:w="9866" w:type="dxa"/>
        <w:jc w:val="center"/>
        <w:tblInd w:w="0" w:type="dxa"/>
        <w:tblLayout w:type="fixed"/>
        <w:tblCellMar>
          <w:top w:w="28" w:type="dxa"/>
          <w:left w:w="28" w:type="dxa"/>
          <w:bottom w:w="28" w:type="dxa"/>
          <w:right w:w="28" w:type="dxa"/>
        </w:tblCellMar>
      </w:tblPr>
      <w:tblGrid>
        <w:gridCol w:w="2224"/>
        <w:gridCol w:w="1951"/>
        <w:gridCol w:w="1959"/>
        <w:gridCol w:w="211"/>
        <w:gridCol w:w="811"/>
        <w:gridCol w:w="109"/>
        <w:gridCol w:w="109"/>
        <w:gridCol w:w="109"/>
        <w:gridCol w:w="109"/>
        <w:gridCol w:w="196"/>
        <w:gridCol w:w="646"/>
        <w:gridCol w:w="109"/>
        <w:gridCol w:w="109"/>
        <w:gridCol w:w="109"/>
        <w:gridCol w:w="109"/>
        <w:gridCol w:w="196"/>
        <w:gridCol w:w="646"/>
        <w:gridCol w:w="154"/>
      </w:tblGrid>
      <w:tr>
        <w:trPr/>
        <w:tc>
          <w:tcPr>
            <w:tcW w:w="2224"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year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NON-CASH INVESTING ACTIVITIES: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Purchases of property, plant, and equipment in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NON-CASH FINANCING ACTIVITIES: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long-term debt to refinance existing credit facility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 payoff of a portion of the existing credit facility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proceeds from issuance of long-term debt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 - noncash (see Note 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BASIS OF PRESENTATION AND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Nature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ICU Medical, Inc. ("ICU" or "we"), a Delaware corporation, develops, manufactures and sells innovative medical products used in infusion therapy, vascular access, and vital care applications. ICU's product portfolio includes ambulatory, syringe, and large volume IV pumps and safety software; dedicated and non-dedicated IV sets, needlefree IV connectors, and peripheral IV catheters; closed system transfer devices and pharmacy compounding systems; as well as a range of respiratory, anesthesia, patient monitoring, and temperature management products. We also offer IV Solutions products through a commercial relationship with the joint venture.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sell the majority of our products globally through our direct sales force and through independent distributors throughout the U.S. and internationally. We also sell certain products on an original equipment manufacturer basis to other medical device manufacturers.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Basis of Presentation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subsidiaries are wholly owned and are included in the consolidated financial statements. All intercompany balances and transactions have been eliminated. Results of operations of companies purchased are included from the dates of acquisition.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reflect all adjustments, which are normal and recurring in nature, necessary for fair financial statement presentation. These consolidated financial statements were prepared in accordance with accounting principles generally accepted in the U.S. ("GAAP").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242424"/>
          <w:sz w:val="20"/>
        </w:rPr>
        <w:t>Certain reclassifications have been made to the prior year financial statements and footnotes to conform to the presentation used in the current year. On the consolidated balance sheet, we combined prepaid income taxes with the "prepaid expenses and other current assets"</w:t>
      </w:r>
      <w:r>
        <w:rPr>
          <w:color w:val="000000"/>
        </w:rPr>
        <w:t xml:space="preserve"> </w:t>
      </w:r>
      <w:r>
        <w:rPr>
          <w:rFonts w:ascii="Times New Roman;serif" w:hAnsi="Times New Roman;serif"/>
          <w:b w:val="false"/>
          <w:color w:val="000000"/>
          <w:sz w:val="20"/>
        </w:rPr>
        <w:t>line item. On the consolidated statement of cash flows, we combined provision for doubtful accounts, provision for warranty, returns and field action, and usage of spare parts with the "other" line item. In Note 10: Prepaid Expenses and Other Current Assets we combined deferred tax charge, foreign exchange contracts, and VAT/GST receivable with the "other" line item. In Note 11: Accrued Liabilities we combined operating lease liability, restructuring accrual, accrued sales taxes and other taxes, accrued freight, accrued audit and professional services, distribution fees, warranties and returns, legal accrual, defined benefit plan, foreign exchange forward contracts, and accrued interest with the "other" line item. These reclassifications were made to conform to current year presentation and had no impact on the reported results of operations.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Segment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as a single operating and reportable segment. Our Chief Operating Decision Maker ("CODM"), the Chief Executive Officer, reviews financial information presented on a consolidated basis for purposes of allocating resources and assessing performance. See Note 5: Segment Data.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Use of Estimates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Preparing financial statements in conformity with GAAP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 Actual results could differ from those estimates.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Cash and Cash Equivalents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Cash equivalents are short-term, highly liquid investments that are readily convertible to known amounts of cash and have original maturities of three months or less from the date of purchase.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Accounts Receivable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Accounts receivable are stated at net realizable value. An allowance is provided for estimated collection losses based on an assessment of various factors.  We consider prior payment trends, the age of the accounts receivable balances, the financial status of our customers and other factors to estimate the cash which ultimately will be received.  Such amounts cannot be known with certainty at the financial statement date.  We regularly review individual past due balances for collectability.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Inventories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or net realizable value with cost determined using the first-in, first-out method.  Inventory costs include material, labor and overhead related to the manufacturing of our products.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consist of the following (in thousands):</w:t>
      </w:r>
    </w:p>
    <w:tbl>
      <w:tblPr>
        <w:tblW w:w="4089" w:type="dxa"/>
        <w:jc w:val="left"/>
        <w:tblInd w:w="0" w:type="dxa"/>
        <w:tblLayout w:type="fixed"/>
        <w:tblCellMar>
          <w:top w:w="28" w:type="dxa"/>
          <w:left w:w="28" w:type="dxa"/>
          <w:bottom w:w="28" w:type="dxa"/>
          <w:right w:w="28" w:type="dxa"/>
        </w:tblCellMar>
      </w:tblPr>
      <w:tblGrid>
        <w:gridCol w:w="516"/>
        <w:gridCol w:w="453"/>
        <w:gridCol w:w="456"/>
        <w:gridCol w:w="211"/>
        <w:gridCol w:w="826"/>
        <w:gridCol w:w="109"/>
        <w:gridCol w:w="109"/>
        <w:gridCol w:w="109"/>
        <w:gridCol w:w="109"/>
        <w:gridCol w:w="211"/>
        <w:gridCol w:w="82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Property, Plant and Equipment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consists of the following (in thousands): </w:t>
      </w:r>
    </w:p>
    <w:tbl>
      <w:tblPr>
        <w:tblW w:w="6293" w:type="dxa"/>
        <w:jc w:val="left"/>
        <w:tblInd w:w="0" w:type="dxa"/>
        <w:tblLayout w:type="fixed"/>
        <w:tblCellMar>
          <w:top w:w="28" w:type="dxa"/>
          <w:left w:w="28" w:type="dxa"/>
          <w:bottom w:w="28" w:type="dxa"/>
          <w:right w:w="28" w:type="dxa"/>
        </w:tblCellMar>
      </w:tblPr>
      <w:tblGrid>
        <w:gridCol w:w="1313"/>
        <w:gridCol w:w="1154"/>
        <w:gridCol w:w="1162"/>
        <w:gridCol w:w="211"/>
        <w:gridCol w:w="826"/>
        <w:gridCol w:w="109"/>
        <w:gridCol w:w="109"/>
        <w:gridCol w:w="109"/>
        <w:gridCol w:w="109"/>
        <w:gridCol w:w="211"/>
        <w:gridCol w:w="826"/>
        <w:gridCol w:w="154"/>
      </w:tblGrid>
      <w:tr>
        <w:trPr/>
        <w:tc>
          <w:tcPr>
            <w:tcW w:w="13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building and building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Molds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Instruments placed with customers</w:t>
            </w:r>
            <w:r>
              <w:rPr>
                <w:rFonts w:ascii="Times New Roman;serif" w:hAnsi="Times New Roman;serif"/>
                <w:b w:val="false"/>
                <w:color w:val="000000"/>
                <w:sz w:val="13"/>
              </w:rPr>
              <w:t>(1)</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cost</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1,097,730 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1,035,643 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Property, plant and equipment, net</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451,817 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Instruments placed with customers consist of drug-delivery and monitoring systems placed with customers under operating leases.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property, plant and equipment are stated at cost. We use the straight-line method for depreciating property, plant and equipment over their estimated useful lives.  Estimated useful lives 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tbl>
      <w:tblPr>
        <w:tblW w:w="4528" w:type="dxa"/>
        <w:jc w:val="left"/>
        <w:tblInd w:w="0" w:type="dxa"/>
        <w:tblLayout w:type="fixed"/>
        <w:tblCellMar>
          <w:top w:w="28" w:type="dxa"/>
          <w:left w:w="28" w:type="dxa"/>
          <w:bottom w:w="28" w:type="dxa"/>
          <w:right w:w="28" w:type="dxa"/>
        </w:tblCellMar>
      </w:tblPr>
      <w:tblGrid>
        <w:gridCol w:w="1208"/>
        <w:gridCol w:w="1062"/>
        <w:gridCol w:w="1074"/>
        <w:gridCol w:w="346"/>
        <w:gridCol w:w="346"/>
        <w:gridCol w:w="492"/>
      </w:tblGrid>
      <w:tr>
        <w:trPr/>
        <w:tc>
          <w:tcPr>
            <w:tcW w:w="120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15 - 30 years</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improvements</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15 - 30 years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 and molds</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2 - 15 years</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office equipment</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2 - 5 years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3 - 5 years</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 placed with customers</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3 - 10 years</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capitalize expenditures that materially increase the life of the related assets; maintenance and repairs are expensed as incurred. The costs and related accumulated depreciation applicable to property, plant and equipment sold or retired are removed from the accounts and any gain or loss is reflected in the statements of operations at the time of disposal. Depreciation expense was $69.3 million, $85.2 million and $96.7 million in 2025, 2024 and 2023, respectively, of which $62.2 million, $73.7 million, and $75.4 million, respectively, are included in cost of goods sold.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Goodwill</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test goodwill for impairment on an annual basis in the month of November, or more frequently if an event occurs or circumstances change that would indicate that impairment may exist. Generally, we first perform a qualitative assessment to determine whether it is more likely than not that the fair value of the reporting unit is less than its carrying amount. If, based on an assessment of relevant qualitative factors, we determine that this is not the case, then the quantitative impairment test is not required to be performed. Conversely, if we determine based on the qualitative assessment that it is more likely than not that the fair value of the reporting unit is less than its carrying amount, we will perform the quantitative impairment test. For the quantitative impairment test, we calculate the estimated fair value of the reporting unit. If the estimated fair value of the reporting unit is less than its carrying amount, the goodwill of the reporting unit is determined to be impaired. An impairment charge is recorded in an amount equal to the excess of the carrying amount over its estimated fair value, limited to the total amount of goodwill allocated to the reporting unit. In 2025, we performed a qualitative assessment and concluded that it was more likely than not that the fair value of our reporting unit exceeded its carrying amount, and therefore, no further impairment testing was required. We concluded that there was no impairment of goodwill during fiscal 2025, 2024, or 2023.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carrying amount of our goodwill for 2025, 2024 and 2023 (in thousands):</w:t>
      </w:r>
    </w:p>
    <w:tbl>
      <w:tblPr>
        <w:tblW w:w="4487" w:type="dxa"/>
        <w:jc w:val="left"/>
        <w:tblInd w:w="0" w:type="dxa"/>
        <w:tblLayout w:type="fixed"/>
        <w:tblCellMar>
          <w:top w:w="28" w:type="dxa"/>
          <w:left w:w="28" w:type="dxa"/>
          <w:bottom w:w="28" w:type="dxa"/>
          <w:right w:w="28" w:type="dxa"/>
        </w:tblCellMar>
      </w:tblPr>
      <w:tblGrid>
        <w:gridCol w:w="1021"/>
        <w:gridCol w:w="896"/>
        <w:gridCol w:w="902"/>
        <w:gridCol w:w="109"/>
        <w:gridCol w:w="109"/>
        <w:gridCol w:w="109"/>
        <w:gridCol w:w="211"/>
        <w:gridCol w:w="97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1,449,258 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1,472,446 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1,432,772 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1,499,754 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Intangible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carried at cost less accumulated amortization and amortized on a straight-lined basis, were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18"/>
        <w:gridCol w:w="898"/>
        <w:gridCol w:w="833"/>
        <w:gridCol w:w="109"/>
        <w:gridCol w:w="109"/>
        <w:gridCol w:w="109"/>
        <w:gridCol w:w="837"/>
        <w:gridCol w:w="837"/>
        <w:gridCol w:w="839"/>
        <w:gridCol w:w="109"/>
        <w:gridCol w:w="109"/>
        <w:gridCol w:w="109"/>
        <w:gridCol w:w="211"/>
        <w:gridCol w:w="976"/>
        <w:gridCol w:w="109"/>
        <w:gridCol w:w="109"/>
        <w:gridCol w:w="109"/>
        <w:gridCol w:w="109"/>
        <w:gridCol w:w="211"/>
        <w:gridCol w:w="826"/>
        <w:gridCol w:w="109"/>
        <w:gridCol w:w="109"/>
        <w:gridCol w:w="109"/>
        <w:gridCol w:w="109"/>
        <w:gridCol w:w="211"/>
        <w:gridCol w:w="826"/>
        <w:gridCol w:w="156"/>
      </w:tblGrid>
      <w:tr>
        <w:trPr/>
        <w:tc>
          <w:tcPr>
            <w:tcW w:w="101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Amortization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Non-contractual 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Developed technology</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amortized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627,400 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Internally developed software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1,288,262 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654,703 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633,559 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 xml:space="preserve">Developed technology primarily consists of acquired patented technologies and internally developed software. Upon completion of development, the assets are amortized over their estimated useful lives. </w:t>
      </w:r>
    </w:p>
    <w:p>
      <w:pPr>
        <w:pStyle w:val="TextBody"/>
        <w:bidi w:val="0"/>
        <w:spacing w:lineRule="auto" w:line="288" w:before="0" w:after="0"/>
        <w:ind w:left="0" w:right="0" w:hanging="360"/>
        <w:jc w:val="left"/>
        <w:rPr/>
      </w:pPr>
      <w:r>
        <w:rPr>
          <w:rFonts w:ascii="Times New Roman;serif" w:hAnsi="Times New Roman;serif"/>
          <w:b w:val="false"/>
          <w:color w:val="000000"/>
          <w:sz w:val="13"/>
        </w:rPr>
        <w:t>(2)    </w:t>
      </w:r>
      <w:r>
        <w:rPr>
          <w:rFonts w:ascii="Times New Roman;serif" w:hAnsi="Times New Roman;serif"/>
          <w:b w:val="false"/>
          <w:color w:val="000000"/>
          <w:sz w:val="20"/>
        </w:rPr>
        <w:t>Internally developed software will be reclassified to developed technology and amortized when the projects are complete and the assets are ready for their intended use.</w:t>
      </w:r>
      <w:r>
        <w:rPr>
          <w:color w:val="EE2724"/>
        </w:rPr>
        <w:t xml:space="preserve"> </w:t>
      </w:r>
      <w:r>
        <w:rPr>
          <w:rFonts w:ascii="Times New Roman;serif" w:hAnsi="Times New Roman;serif"/>
          <w:b w:val="false"/>
          <w:color w:val="000000"/>
          <w:sz w:val="20"/>
        </w:rPr>
        <w:t>During 2025, we reclassified $11.4 million to developed technology.</w:t>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1018"/>
        <w:gridCol w:w="898"/>
        <w:gridCol w:w="833"/>
        <w:gridCol w:w="109"/>
        <w:gridCol w:w="109"/>
        <w:gridCol w:w="109"/>
        <w:gridCol w:w="837"/>
        <w:gridCol w:w="837"/>
        <w:gridCol w:w="839"/>
        <w:gridCol w:w="109"/>
        <w:gridCol w:w="109"/>
        <w:gridCol w:w="109"/>
        <w:gridCol w:w="211"/>
        <w:gridCol w:w="976"/>
        <w:gridCol w:w="109"/>
        <w:gridCol w:w="109"/>
        <w:gridCol w:w="109"/>
        <w:gridCol w:w="109"/>
        <w:gridCol w:w="211"/>
        <w:gridCol w:w="826"/>
        <w:gridCol w:w="109"/>
        <w:gridCol w:w="109"/>
        <w:gridCol w:w="109"/>
        <w:gridCol w:w="109"/>
        <w:gridCol w:w="211"/>
        <w:gridCol w:w="826"/>
        <w:gridCol w:w="156"/>
      </w:tblGrid>
      <w:tr>
        <w:trPr/>
        <w:tc>
          <w:tcPr>
            <w:tcW w:w="101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Amortization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Non-contractual 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Developed technology</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728,412 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Internally developed software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1,257,714 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740,789 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 xml:space="preserve">Developed technology primarily consists of acquired patented technologies and internally developed software. Upon completion of development, the assets are amortized over their estimated useful lives. </w:t>
      </w:r>
    </w:p>
    <w:p>
      <w:pPr>
        <w:pStyle w:val="TextBody"/>
        <w:bidi w:val="0"/>
        <w:spacing w:lineRule="auto" w:line="288" w:before="0" w:after="0"/>
        <w:ind w:left="0" w:right="0" w:hanging="360"/>
        <w:jc w:val="left"/>
        <w:rPr/>
      </w:pPr>
      <w:r>
        <w:rPr>
          <w:rFonts w:ascii="Times New Roman;serif" w:hAnsi="Times New Roman;serif"/>
          <w:b w:val="false"/>
          <w:color w:val="000000"/>
          <w:sz w:val="13"/>
        </w:rPr>
        <w:t>(2)    </w:t>
      </w:r>
      <w:r>
        <w:rPr>
          <w:rFonts w:ascii="Times New Roman;serif" w:hAnsi="Times New Roman;serif"/>
          <w:b w:val="false"/>
          <w:color w:val="000000"/>
          <w:sz w:val="20"/>
        </w:rPr>
        <w:t>Internally developed software will be reclassified to developed technology and amortized when the projects are complete and the assets are ready for their intended use. During 2024, we reclassified $33.2 million to developed technology.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was $131.4 million, $134.3 million and $132.1 million in 2025, 2024 and 2023, respectively, of which $4.5 million, $1.7 million, and $— million, respectively, are included in cost of goods sold.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estimated annual amortization for our intangible assets for each of the next five years and thereafter is approximately (in thousands):</w:t>
      </w:r>
    </w:p>
    <w:tbl>
      <w:tblPr>
        <w:tblW w:w="2464" w:type="dxa"/>
        <w:jc w:val="center"/>
        <w:tblInd w:w="0" w:type="dxa"/>
        <w:tblLayout w:type="fixed"/>
        <w:tblCellMar>
          <w:top w:w="28" w:type="dxa"/>
          <w:left w:w="28" w:type="dxa"/>
          <w:bottom w:w="28" w:type="dxa"/>
          <w:right w:w="28" w:type="dxa"/>
        </w:tblCellMar>
      </w:tblPr>
      <w:tblGrid>
        <w:gridCol w:w="342"/>
        <w:gridCol w:w="300"/>
        <w:gridCol w:w="304"/>
        <w:gridCol w:w="109"/>
        <w:gridCol w:w="109"/>
        <w:gridCol w:w="109"/>
        <w:gridCol w:w="211"/>
        <w:gridCol w:w="82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627,400 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intangible assets that are not subject to amortization are reviewed annually for impairment or more often if there are indications of possible impairment. We perform our annual intangible assets impairment test in November of each year. We did not have any intangible asset impairments in 2025, 2024 or 2023.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Long-Lived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periodically evaluate the recoverability of long-lived assets whenever events and changes in circumstances indicate that the carrying amount of an asset may not be fully recoverable. When indicators of impairment are present, the carrying values of the assets are evaluated in relation to the operating performance and future undiscounted cash flows of the underlying business. The net book value of the underlying asset is adjusted to fair value if the sum of the expected discounted cash flows is less than book value. Fair values are based on estimates of market prices and assumptions concerning the amount and timing of estimated future cash flows and discount rates, reflecting varying degrees of perceived risk. We did not have any long-lived asset impairments in 2025, 2024 or 2023.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Assets Held for Sale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classify a long-lived asset or disposal groups as held for sale in the period in which all of the following criteria are met: (1) management, having the authority to approve the action, commits to a plan to sell the asset or disposal group; (2) the asset or disposal group is available for immediate sale in its present condition subject only to terms that are usual and customary for sales of such assets or disposal groups; (3) an active program to locate a buyer and other actions required to complete the plan to sell the asset or disposal group have been initiated; (4) the sale of the asset or disposal group is probable, and transfer of the asset or disposal group is expected to qualify for recognition as a completed sale within one year, except if events or circumstances beyond our control extend the period of time required to sell the asset or disposal group beyond one year; (5) the asset or disposal group is being actively marketed for sale at a price that is reasonable in relation to its current fair value; and (6) actions required to complete the plan indicate that it is unlikely that significant changes to the plan will be made or that the plan will be withdrawn. We initially measure a long-lived asset or disposal group that is classified as held for sale at the lower of its carrying value or fair value less any costs to sell and immediately recognize any estimated losses. Conversely, gains are not recognized on the sale of a long-lived asset or disposal group until the date of sale. Each reporting period that a long-lived asset or disposal group remains as held for sale, the carrying value of the long-lived asset or disposal group is adjusted for subsequent changes in fair value less cost to sell, losses are recognized for a subsequent write-down to fair value less cost to sell and gains are recognized for an increase in fair value less cost to sell although limited to the amount of any previous cumulative losses recognized. We cease depreciation and amortization of a long-lived asset, or assets within a disposal group, upon their designation as held for sale. See Note 3: Assets Held For Sale and Disposal of Business. </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Investments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Investments in Unconsolidated Affiliates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hold equity method investments in certain entities. We apply the equity method of accounting for investments in unconsolidated affiliates when we determine we have a significant influence, but not a controlling interest in the investee. We determine whether we have significant influence by considering key factors such as ownership interest, representation on the board of directors, participation in policy making decisions, business relationship and material intra-entity transactions, among other factors. Our equity method investments are reported at cost and adjusted each period for our share of the investee's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or (loss) and dividend paid, if any. We eliminate any intra-entity profits to the extent of our beneficial interest. For our other equity method investment, we report our proportionate share of the investee's income or (loss) resulting from this investment in other income, net in our consolidated statements of operations. We assess our equity method investments for impairment on an annual basis or whenever events or circumstances indicate that the carrying value of the investment may not be recoverable.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24, 2025, the Company completed the formation of ICU Medical Pearl LLC (n/k/a Otsuka ICU Medical LLC (“joint venture”)) and transferred the assets, liabilities and operations that comprise the IV Solutions business to the joint venture. Pursuant to the agreement, we sold 60% of our IV Solutions business to Otsuka Pharmaceutical Factory America, Inc. a Delaware corporation ("OPF") and the Company retained 40% ownership interest in the business. The initial investment, which includes a step up in basis on the retained 40% interest of $19.4 million, was recorded in the amount of $129.9 million. As provided under the joint venture's Operating Agreement, each of OPF and the ICU Medical Entities have been granted certain exclusive call and put options, respectively, with respect to the ICU Medical Entities' remaining ownership interest in the joint venture. Such options are exercisable at certain specified dates and for such amounts as are set forth in the Operating Agreement beginning five years after the transaction closing. If exercised, they could effectively eliminate the Company’s ownership interest. See Note 3: Assets Held for Sale and Disposal of Business for more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own approximately 20.0% non-marketable equity interest in a nonpublic company and entered into a three-year distribution agreement where we have the exclusive rights to market, sell and distribute the company's products in exchange for a cash payment of $3.3 million. In addition, we were granted an exclusive license for all of the seller's intellectual property. At the expiration of the distribution agreement we have the right but not the obligation to acquire the remaining interest in the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investment in unconsolidated affiliates consist of the following (in thousands):</w:t>
      </w:r>
    </w:p>
    <w:p>
      <w:pPr>
        <w:pStyle w:val="TextBody"/>
        <w:bidi w:val="0"/>
        <w:spacing w:before="0" w:after="0"/>
        <w:ind w:left="0" w:right="0" w:firstLine="720"/>
        <w:jc w:val="left"/>
        <w:rPr/>
      </w:pPr>
      <w:r>
        <w:rPr/>
      </w:r>
    </w:p>
    <w:tbl>
      <w:tblPr>
        <w:tblW w:w="5198" w:type="dxa"/>
        <w:jc w:val="left"/>
        <w:tblInd w:w="0" w:type="dxa"/>
        <w:tblLayout w:type="fixed"/>
        <w:tblCellMar>
          <w:top w:w="28" w:type="dxa"/>
          <w:left w:w="28" w:type="dxa"/>
          <w:bottom w:w="28" w:type="dxa"/>
          <w:right w:w="28" w:type="dxa"/>
        </w:tblCellMar>
      </w:tblPr>
      <w:tblGrid>
        <w:gridCol w:w="993"/>
        <w:gridCol w:w="872"/>
        <w:gridCol w:w="879"/>
        <w:gridCol w:w="211"/>
        <w:gridCol w:w="826"/>
        <w:gridCol w:w="109"/>
        <w:gridCol w:w="109"/>
        <w:gridCol w:w="109"/>
        <w:gridCol w:w="109"/>
        <w:gridCol w:w="211"/>
        <w:gridCol w:w="616"/>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Otsuka ICU Medical LLC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equity method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recorded share of the investee's loss was $1.3 million for the year ended December 31, 2025. Our recorded share of the investee's loss was not material for the years ended December 31, 2024 and 2023. We did not receive any dividend distributions from these investments during 2025, 2024 and 2023.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Income Taxes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Deferred taxes are determined based on the differences between the financial statements and the tax bases using rates as enacted in the laws. A valuation allowance is established if it is “more likely than not” that all or a portion of the deferred tax assets will not be realized.</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 interest and penalties related to unrecognized tax benefits in the tax provision (see Note 13: Income Taxes for accrued interest and penalties). We recognize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greater than 50% likely of being realized upon ultimate settlement.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Foreign Currency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Generally, the functional currency of our international subsidiaries is the local currency. Generally, we translate the financial statements of these subsidiaries to U.S. dollars at the exchange rate in effect at the balance sheet date and revenues and expenses are translated at the average monthly exchange rates during the year. Certain of our international subsidiaries consolidate first with another subsidiary that utilizes a functional currency other than U.S. dollars. In those cases, we follow a step by step translation process utilizing the same sequence as the consolidation process. Translation adjustments are recorded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a component of accumulated other comprehensive loss, a separate component of stockholders' equity on our consolidated balance sheets and the effect of exchange rate changes on cash and cash equivalents are reflected on our consolidated statements of cash flows. Gains and losses for transactions denominated in a currency other than the functional currency of the entity are included in our consolidated statements of operations in other expense, net (see Other expense, net table below).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Revenue Recognition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revenues when we transfer control of promised goods to our customers, which for the majority of our sales of products sold on a standalone basis to our distributors and end customers for direct sales, is deemed to be at point of shipment. Our software license renewals are considered to be transferred to a customer at a point in time at the start of each renewal period, therefore revenue is recognized at that time.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Payment is typically due in full within 30 days of delivery or the start of the contract term. Revenue is recorded in an amount that reflects the consideration we expect to be entitled to in exchange for those goods or services. We include variable consideration in net sales only to the extent that a significant reversal in revenue is not probable when the uncertainty is resolved.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variable consideration includes distributor chargebacks, product returns and end customer rebates, with distributor chargebacks representing the majority and subject to the greatest judgment.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Chargebacks are the difference between the prices we charge our distribution customers at the time they purchase our products and the contracted prices we have with the end customer, most often in the U.S. and Canada. When a distributor sells our products to one of our contracted end customers, the distributor typically will claim a refund from us for the chargeback amount which we process as a credit to the distributor.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estimating the transaction price to present as net revenue for sales to distributors, we must estimate the expected chargeback amount that we will refund to the distributor after they sell our product to a contracted end customer. Determining the appropriate chargeback reserve requires judgment around the following assumptions: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The estimated chargeback amount (the difference between the price we invoice the distributor and the contractually agreed price with specified end customers);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 The estimated period of time between the sale to the distributor and the receipt of a chargeback claim.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estimating the expected chargeback amount, we utilize actual recent historical chargebacks paid to the specific distributor for similar products as determined at either a product or product-family level. While individual chargeback rates can vary significantly depending on the product and contracted prices with distributors and end customers, our chargeback reserve estimate is not overly sensitive to those individual price changes due to the long-term nature of our distributor and end customer contracts as well as consistency in purchasing patterns. Additionally, the use of the actual chargeback history to calculate an average chargeback rate has historically resulted in a reasonable estimation of overall current contract rates.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estimating the period of time between the sale to the distributor and the receipt of a chargeback claim, we utilize several sources of information including actual inventory quantities of our products on hand at distributors. This inventory on hand information is received from the distributors or, when specific quantities are not provided, estimated by using the targeted days of inventory on hand for distributors. Historical experience of actual chargebacks paid has indicated that use of this information has reasonable predictive value of outstanding chargebacks and accounts for the variability of purchasing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patterns and expected timing and volume of sales to end customers. The value of the chargeback reserve generally represents approximately two months of obligation due to the timing difference between the initial sale to a distributor and the processing of a chargeback claim after the product is sold to the end customer.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chargeback reserve estimates change from period-to-period primarily based on changes in revenue from/and the inventory levels of distributors. Our judgments regarding the information used to calculate the chargeback reserve are consistent from period to period; however, on a regular basis, we evaluate the adequacy of the chargeback reserve to reassess and ensure that the variable consideration is appropriately constrained, and the likelihood of future revenue reversal is not probable.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use metrics including chargeback provision as a percentage of gross revenue, movements in inventory on hand at distributors, trends in accrued versus paid chargebacks and impacts from price changes and similar metrics.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chargeback reserve reflects a reasonable estimate of the amount of consideration using the expected value method and is recorded as a reduction of accounts receivable, net on the consolidated balance sheets.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offer certain volume-based rebates to both our distribution and end customers, which we record as variable consideration when calculating the transaction price. Rebates are offered on both a fixed and tiered/variable basis. In both cases, we use information available at the time, including current contractual requirements, our historical experience with each customer and forecasted customer purchasing patterns, to estimate the most likely rebate amount.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warrant products against defects and have a policy permitting the return of defective products, for which we accrue and expense at the time of sale using information available at that time and our historical experience.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Arrangements with Multiple Deliverables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certain circumstances, we enter into arrangements in which we provide multiple deliverables to our customers. These bundled arrangements typically consist of the sale of infusion systems equipment, along with annual software licenses and related software implementation services, software maintenance services and extended warranties. Our most significant judgments related to these arrangements are (i) identifying the various performance obligations and (ii) estimating the relative standalone selling price of each performance obligation, typically using a directly observable method or calculated on a cost plus margin basis method. Revenue related to the bundled equipment, software and software implementation services are typically combined into a single performance obligation and recognized upon implementation. As annual software licenses are renewed, we recognize revenue for the license at a point in time, at the start of each annual renewal period. The transaction price allocated to the extended service-type warranty is recognized as revenue over the period the warranty service is provided. Consumables and IV Solutions are separate performance obligations, recognized at a point in time.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Shipping Costs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Costs to ship finished goods to our customers are included in cost of goods sold on the consolidated statements of operations.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Post-retirement and Post-employment Benefits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sponsor a Section 401(k) retirement plan ("plan") for employees. Our contributions to our 401(k) plan were approximately $16.9 million, $19.1 million and $19.2 million in 2025, 2024 and 2023, respectively. We also have post-retirement and post-employment obligations related to employees located in certain international countries. These obligations are immaterial to our financial statements taken as a whole.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Research and Development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majority of our research and development costs are expensed as incurred. In certain circumstances when an asset will have an alternative future use we capitalize the costs related to those assets. Research and development costs include salaries and related benefits, consulting fees, production supplies, samples, travel costs, utilities and other miscellaneous administrative costs.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Interest expense, net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interest expense, net (in thousands): </w:t>
      </w:r>
    </w:p>
    <w:tbl>
      <w:tblPr>
        <w:tblW w:w="6027" w:type="dxa"/>
        <w:jc w:val="left"/>
        <w:tblInd w:w="0" w:type="dxa"/>
        <w:tblLayout w:type="fixed"/>
        <w:tblCellMar>
          <w:top w:w="28" w:type="dxa"/>
          <w:left w:w="28" w:type="dxa"/>
          <w:bottom w:w="28" w:type="dxa"/>
          <w:right w:w="28" w:type="dxa"/>
        </w:tblCellMar>
      </w:tblPr>
      <w:tblGrid>
        <w:gridCol w:w="641"/>
        <w:gridCol w:w="562"/>
        <w:gridCol w:w="567"/>
        <w:gridCol w:w="211"/>
        <w:gridCol w:w="796"/>
        <w:gridCol w:w="109"/>
        <w:gridCol w:w="109"/>
        <w:gridCol w:w="109"/>
        <w:gridCol w:w="109"/>
        <w:gridCol w:w="211"/>
        <w:gridCol w:w="901"/>
        <w:gridCol w:w="109"/>
        <w:gridCol w:w="109"/>
        <w:gridCol w:w="109"/>
        <w:gridCol w:w="109"/>
        <w:gridCol w:w="211"/>
        <w:gridCol w:w="901"/>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(95,219)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expense,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other expense, net (in thousands): </w:t>
      </w:r>
    </w:p>
    <w:tbl>
      <w:tblPr>
        <w:tblW w:w="7392" w:type="dxa"/>
        <w:jc w:val="left"/>
        <w:tblInd w:w="0" w:type="dxa"/>
        <w:tblLayout w:type="fixed"/>
        <w:tblCellMar>
          <w:top w:w="28" w:type="dxa"/>
          <w:left w:w="28" w:type="dxa"/>
          <w:bottom w:w="28" w:type="dxa"/>
          <w:right w:w="28" w:type="dxa"/>
        </w:tblCellMar>
      </w:tblPr>
      <w:tblGrid>
        <w:gridCol w:w="1314"/>
        <w:gridCol w:w="1156"/>
        <w:gridCol w:w="1160"/>
        <w:gridCol w:w="211"/>
        <w:gridCol w:w="616"/>
        <w:gridCol w:w="109"/>
        <w:gridCol w:w="109"/>
        <w:gridCol w:w="109"/>
        <w:gridCol w:w="109"/>
        <w:gridCol w:w="211"/>
        <w:gridCol w:w="796"/>
        <w:gridCol w:w="109"/>
        <w:gridCol w:w="109"/>
        <w:gridCol w:w="109"/>
        <w:gridCol w:w="109"/>
        <w:gridCol w:w="211"/>
        <w:gridCol w:w="691"/>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gains (losses),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disposition of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miscellaneous income (expense) ,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2024, other miscellaneous income (expense), net primarily includes $(2.6) million in fees related to our accounts receivable purchase program</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Net Income (Loss) Per Share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is computed by dividing net income (loss) by the weighted-average number of common shares outstanding for the period. Diluted earnings per share is computed by dividing net income (loss) by the weighted-average number of common shares outstanding plus any dilutive potential securities. Dilutive potential securities include outstanding common stock options and unvested restricted stock units, less the number of shares that could have been purchased with the proceeds from the exercise of the options, using the treasury stock method. Options that are anti-dilutive, where their exercise price exceeds the average market price of the common stock, are not included in the treasury stock method calculation. Restricted stock units that are anti-dilutive are not included in the treasury stock method. Due to the net loss for the years ended December 31, 2024 and 2023, both basic and diluted net loss per share are computed by dividing net loss by the weighted-average number of common shares outstanding for the period. With net losses the inclusion of any potential securities is antidilutive, accordingly, basic and diluted net loss per share are the same in periods with losses.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net earnings per common share (“EPS”) — basic and diluted (in thousands, except per share data): </w:t>
      </w:r>
    </w:p>
    <w:tbl>
      <w:tblPr>
        <w:tblW w:w="10205" w:type="dxa"/>
        <w:jc w:val="left"/>
        <w:tblInd w:w="0" w:type="dxa"/>
        <w:tblLayout w:type="fixed"/>
        <w:tblCellMar>
          <w:top w:w="28" w:type="dxa"/>
          <w:left w:w="28" w:type="dxa"/>
          <w:bottom w:w="28" w:type="dxa"/>
          <w:right w:w="28" w:type="dxa"/>
        </w:tblCellMar>
      </w:tblPr>
      <w:tblGrid>
        <w:gridCol w:w="2198"/>
        <w:gridCol w:w="1905"/>
        <w:gridCol w:w="1924"/>
        <w:gridCol w:w="109"/>
        <w:gridCol w:w="109"/>
        <w:gridCol w:w="109"/>
        <w:gridCol w:w="211"/>
        <w:gridCol w:w="511"/>
        <w:gridCol w:w="109"/>
        <w:gridCol w:w="109"/>
        <w:gridCol w:w="109"/>
        <w:gridCol w:w="109"/>
        <w:gridCol w:w="211"/>
        <w:gridCol w:w="892"/>
        <w:gridCol w:w="109"/>
        <w:gridCol w:w="109"/>
        <w:gridCol w:w="109"/>
        <w:gridCol w:w="109"/>
        <w:gridCol w:w="211"/>
        <w:gridCol w:w="787"/>
        <w:gridCol w:w="156"/>
      </w:tblGrid>
      <w:tr>
        <w:trPr/>
        <w:tc>
          <w:tcPr>
            <w:tcW w:w="2198"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0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24,091 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and common equivalent shares outstanding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anti-dilutive stock options and restricted stock awards (</w:t>
            </w:r>
            <w:r>
              <w:rPr>
                <w:rFonts w:ascii="Times New Roman;serif" w:hAnsi="Times New Roman;serif"/>
                <w:b w:val="false"/>
                <w:i/>
                <w:color w:val="000000"/>
                <w:sz w:val="20"/>
              </w:rPr>
              <w:t>shares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u w:val="single"/>
        </w:rPr>
        <w:t>New Accounting Pronouncements</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 Not Yet Adopted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2023, the FASB issued ASU 2023-06, Disclosure Improvements - Codification Amendments in Response to the SEC's Disclosure Update and Simplification Initiative. The amendments in this update modify the disclosure or presentation requirements of a variety of Topics in the Accounting Standards Codification ("ASC") in response to the SEC’s Release No. 33-10532, Disclosure Update and Simplification Initiative, and align the ASC’s requirements with the SEC’s regulations. For entities within the scope, the guidance will be applied prospectively with the effective date for each amendment to be the date on which the SEC's removal of that related disclosure from Regulation S-X or Regulation S-K becomes effective, with early adoption prohibited. If the SEC has not removed the related disclosure from its regulations by June 30, 2027, the amendments will be removed from the Codification and will not become effective. We are currently assessing what impact this guidance will have on the Company's consolidated financial statements and related disclosures.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Expenses. The guidance requires disclosure of disaggregated income statement expense information about specific categories (including purchases of inventory, employee compensation, depreciation, and intangible asset amortization) in the notes to financial statements. In January 2025, FASB released ASU 2025-01 to clarify the guidance will be effective for annual periods beginning after December 15, 2026. This update will be applicable to our Annual Report on Form 10-K for the fiscal year December 31, 2027, with early application permitted. We are currently assessing the effect of this update on the Company's consolidated financial statements and related disclosures.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2025, the FASB issued ASU 2025-09, Derivatives and Hedging. The guidance aims to more closely align hedge accounting with the economics of an entity's risk management activities and to better reflect those strategies in financial reporting by enabling entities to achieve and maintain hedge accounting for highly effective economic hedges of forecasted transactions. This update will be effective for fiscal years beginning after December 15, 2026, and interim periods periods within those annual reporting periods. Early adoption is permitted. We are currently assessing the effect of this update on the Company's consolidated financial statements and related disclosures.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Recently Adopted Accounting Pronouncements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 Improvements to Income Tax Disclosures. The amendments in this update expand disclosures in an entity’s income tax rate reconciliation table and cash taxes paid information. The update was effective for annual periods beginning with the Company's fiscal year 2025. The Company adopted the requirements of this ASU in Note 13: Income Taxes of this Annual Report.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other recent accounting pronouncements or changes in accounting pronouncements that are of significance or potential significance to us during the year.</w: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RESTRUCTURING, STRATEGIC TRANSACTION AND INTEGRATION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strategic transaction and integration expenses were $66.5 million, $59.8 million and $41.3 million in 2025, 2024 and 2023, respectively.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Restructuring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Restructuring charges net of any reversed accruals were $30.0 million, $19.6 million and $5.7 million in 2025, 2024 and 2023, respectively, which are included in the above restructuring, strategic transaction and integration expenses in our consolidated statement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2025, we incurred restructuring charges primarily related to facility closure costs and severance expenses. We adjusted certain severance restructuring accrued balances, shown in the table below under "Other adjustments", to reclass prior year accrued restructuring charges for estimated severance costs to other accounts.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2024, we incurred restructuring charges primarily related to severance expenses. We adjusted certain severance restructuring accrued balances, shown in the table below under "Other adjustments", as a result of merging Smiths Medical entities during 2024.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2023, we incurred restructuring charges primarily related to severance expenses. We adjusted certain facility and severance restructuring accrued balances to reverse certain accrued balances that will not be utilized.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activity in our restructuring-related accrual by major type of cost (in thousands): </w:t>
      </w:r>
    </w:p>
    <w:tbl>
      <w:tblPr>
        <w:tblW w:w="10051" w:type="dxa"/>
        <w:jc w:val="left"/>
        <w:tblInd w:w="0" w:type="dxa"/>
        <w:tblLayout w:type="fixed"/>
        <w:tblCellMar>
          <w:top w:w="28" w:type="dxa"/>
          <w:left w:w="28" w:type="dxa"/>
          <w:bottom w:w="28" w:type="dxa"/>
          <w:right w:w="28" w:type="dxa"/>
        </w:tblCellMar>
      </w:tblPr>
      <w:tblGrid>
        <w:gridCol w:w="1173"/>
        <w:gridCol w:w="1031"/>
        <w:gridCol w:w="1036"/>
        <w:gridCol w:w="109"/>
        <w:gridCol w:w="109"/>
        <w:gridCol w:w="109"/>
        <w:gridCol w:w="487"/>
        <w:gridCol w:w="1422"/>
        <w:gridCol w:w="251"/>
        <w:gridCol w:w="109"/>
        <w:gridCol w:w="109"/>
        <w:gridCol w:w="109"/>
        <w:gridCol w:w="109"/>
        <w:gridCol w:w="558"/>
        <w:gridCol w:w="1629"/>
        <w:gridCol w:w="288"/>
        <w:gridCol w:w="109"/>
        <w:gridCol w:w="109"/>
        <w:gridCol w:w="109"/>
        <w:gridCol w:w="211"/>
        <w:gridCol w:w="721"/>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Employee &amp; 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Facility &amp; Other Closure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Accrued balance,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(11,687)</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adjustments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Accrued balance,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9,538 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18,963 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(13,805)</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(13,734)</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adjustments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Accrued 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6,411 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5,737 </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_______________________________________________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Relates to adjustments to accrued restructuring charges as a result of merging Smiths Medical entities during 2024.</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Relates to prior year accrued restructuring charges for estimated severances costs that were reclassed to other accounts during the first quarter of 2025.</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Strategic Transaction and Integration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incurred $36.5 million, $40.2 million and $35.6 million in strategic transaction and integration expenses in 2025, 2024 and 2023, respectively, which are included in restructuring, strategic transaction and integration expenses in our consolidated statement of operations. The strategic transaction and integration expenses during 2025, 2024 and 2023 were primarily related to consulting expenses and employee costs incurred to integrate our Smiths Medical business acquired in 2022. During 2025, transaction costs also included expenses related to the sale of a 60% ownership in our IV Solutions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ASSETS HELD FOR SALE AND DISPOSAL OF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Assets Held For Sale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On November 12, 2024, we entered into a purchase agreement (the "Agreement") with Otsuka Pharmaceutical Factory America, Inc., a Delaware corporation ("OPF") to divest a controlling interest in our IV Solutions business. We concluded the initial criteria for classification as held for sale were met</w:t>
      </w:r>
      <w:r>
        <w:rPr>
          <w:rFonts w:ascii="Times New Roman;serif" w:hAnsi="Times New Roman;serif"/>
          <w:b w:val="false"/>
          <w:i/>
          <w:color w:val="000000"/>
          <w:sz w:val="2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accordingly we presented the IV Solution's net assets as held for sale in our consolidated balance sheet.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values of the assets and liabilities presented as held for sale in our consolidated balances sheet as of December 31, 2024 (in thousands):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tbl>
      <w:tblPr>
        <w:tblW w:w="7202" w:type="dxa"/>
        <w:jc w:val="left"/>
        <w:tblInd w:w="0" w:type="dxa"/>
        <w:tblLayout w:type="fixed"/>
        <w:tblCellMar>
          <w:top w:w="28" w:type="dxa"/>
          <w:left w:w="28" w:type="dxa"/>
          <w:bottom w:w="28" w:type="dxa"/>
          <w:right w:w="28" w:type="dxa"/>
        </w:tblCellMar>
      </w:tblPr>
      <w:tblGrid>
        <w:gridCol w:w="2051"/>
        <w:gridCol w:w="1808"/>
        <w:gridCol w:w="1825"/>
        <w:gridCol w:w="109"/>
        <w:gridCol w:w="109"/>
        <w:gridCol w:w="109"/>
        <w:gridCol w:w="211"/>
        <w:gridCol w:w="826"/>
        <w:gridCol w:w="154"/>
      </w:tblGrid>
      <w:tr>
        <w:trPr/>
        <w:tc>
          <w:tcPr>
            <w:tcW w:w="2051"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$465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251,471 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Disposal of IV Solutions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 2025, we sold to OPF a 60% ownership interest in the joint venture, an entity we formed in 2025 and to which we contributed the net assets of our IV Solutions business. Upon the sale and as a result of a loss of control, we derecognized the net assets that comprised our IV Solutions business and recorded our retained 40% ownership interest at its estimated fair value as an equity method investment in the joint venture (see Note 1: Basis of Presentation and Significant Accounting Policies). We have the ability to exercise significant influence over operating and financial policies of the joint venture, primarily through having two of the five seats on its Board of Directors.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Cash proceeds received from the sale, subject to conventional purchase price adjustments, were $211.2 million.</w:t>
      </w:r>
      <w:r>
        <w:rPr>
          <w:color w:val="000000"/>
        </w:rPr>
        <w:t xml:space="preserve"> </w:t>
      </w:r>
      <w:r>
        <w:rPr>
          <w:rFonts w:ascii="Times New Roman;serif" w:hAnsi="Times New Roman;serif"/>
          <w:b w:val="false"/>
          <w:color w:val="000000"/>
          <w:sz w:val="20"/>
        </w:rPr>
        <w:t>We also are entitled to contingent consideration if the joint venture exceeds planned revenues or gross margin for the year ended December 31, 2026.</w:t>
      </w:r>
      <w:r>
        <w:rPr>
          <w:color w:val="000000"/>
        </w:rPr>
        <w:t xml:space="preserve"> </w:t>
      </w:r>
      <w:r>
        <w:rPr>
          <w:rFonts w:ascii="Times New Roman;serif" w:hAnsi="Times New Roman;serif"/>
          <w:b w:val="false"/>
          <w:color w:val="000000"/>
          <w:sz w:val="20"/>
        </w:rPr>
        <w:t>Additionally, we have agreed to provide commercial, logistics, administrative, and other services, including continuing to provide certain manufacturing services for component parts for a period of up to five years from transaction close (see below table). Certain logistic and warehouse costs incurred on behalf of and reimbursed by the joint venture are pass-through expenses and net to zero within cost of goods sold in the consolidated statement of operations. Other services are provided in exchange for fixed fee arrangements or reimbursement of our costs, depending on the respective terms of service negotiated. Fees charged for the services are recorded as reductions to the costs incurred to provide such services in the consolidated statement of operations. Those services provided under fixed price arrangements were determined to be at less than fair value and, as such, we recognized an unfavorable contract liability of $20.2 million to account for the difference between the fair value of services to be provided and the estimated cost of providing such services over the five years from transaction close. The unfavorable contract liability is presented within other long-term liabilities in our consolidated balance sheet, with the current portion included in accrued liabilities. This liability is being released to our consolidated statement of operations as reduction to the costs incurred to provide the respective services within selling, general and administrative expenses.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2025, we recognized $9.2 million in fixed and variable service fees related to reimbursed expenses under the various transition service agreements and $2.9 million related to the release of the unfavorable contract liability. The fees, reimbursements and release of unfavorable contract liability serve to reduce the same line items as their respective incurred expenses within cost of goods sold or selling, general, and administrative expenses in our consolidated statement of operations.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for our retained 40% ownership interest was determined using a market approach based on the proceeds received from OPF for its 60% controlling ownership interest. Fair value for services was estimated using a market approach based on observable margins for comparable services and the difference between the fair value of services and the estimated cost to provide the services through the term of the services agreement was discounted using our effective borrowing rate.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combined effect of the transaction was a gain of $44.8 million, comprising the sum of a $45.6 million gain from the disposal of a 60% ownership interest in the joint venture, a $19.4 million gain from the difference between the fair value of our retained 40% ownership interest in the joint venture and our carrying value of that same proportionate ownership interest, and a $20.2 million unfavorable contract liability recorded upon disposition. The gain is presented as a separate line item in our consolidated statement of operations. No gain related to contingent consideration was recorded. We will record such gain, if any, if and when the measurement period has ended and we have concluded that a payment will be received.</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As part of the transaction, we provided OPF a call option to acquire our retained 40% ownership in the joint venture. Additionally, OPF provided us with a put option giving us the right to compel OPF to purchase our retained 40% ownership interest in the joint venture.</w:t>
      </w:r>
      <w:r>
        <w:rPr>
          <w:color w:val="000000"/>
        </w:rPr>
        <w:t xml:space="preserve"> </w:t>
      </w:r>
      <w:r>
        <w:rPr>
          <w:rFonts w:ascii="Times New Roman;serif" w:hAnsi="Times New Roman;serif"/>
          <w:b w:val="false"/>
          <w:color w:val="000000"/>
          <w:sz w:val="20"/>
        </w:rPr>
        <w:t>The call and put options are exercisable at certain specified dates and for specified amounts based on certain historical financial metrics as set forth in the joint venture's Operating Agreement beginning five years after the closing. The call and put options were not recorded in our consolidated financial statements since they do not meet the definition of a derivative specifically due to the absence of a net settlement feature.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Related Party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account for our retained 40% interest in the joint venture as an equity method investment (see Note 1: Basis of Presentation and Significant Accounting Policies), having the ability to exercise significant influence over operating and financial policies of the joint venture, primarily through having two of the five seats on its Board of Directors. Additionally, in connection with the closing of the transaction on May 1, 2025, we entered into certain agreements with OPF, which cover the governance of the joint venture and require us to provide certain commercial, logistics, manufacturing supply, administrative, and other services for a period of up to five years from transaction close.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consolidated financial statement data resulting from transactions with the joint venture (in thousands): </w:t>
      </w:r>
    </w:p>
    <w:tbl>
      <w:tblPr>
        <w:tblW w:w="9132" w:type="dxa"/>
        <w:jc w:val="left"/>
        <w:tblInd w:w="0" w:type="dxa"/>
        <w:tblLayout w:type="fixed"/>
        <w:tblCellMar>
          <w:top w:w="28" w:type="dxa"/>
          <w:left w:w="28" w:type="dxa"/>
          <w:bottom w:w="28" w:type="dxa"/>
          <w:right w:w="28" w:type="dxa"/>
        </w:tblCellMar>
      </w:tblPr>
      <w:tblGrid>
        <w:gridCol w:w="2222"/>
        <w:gridCol w:w="1953"/>
        <w:gridCol w:w="1959"/>
        <w:gridCol w:w="109"/>
        <w:gridCol w:w="109"/>
        <w:gridCol w:w="314"/>
        <w:gridCol w:w="314"/>
        <w:gridCol w:w="314"/>
        <w:gridCol w:w="316"/>
        <w:gridCol w:w="211"/>
        <w:gridCol w:w="721"/>
        <w:gridCol w:w="109"/>
        <w:gridCol w:w="109"/>
        <w:gridCol w:w="109"/>
        <w:gridCol w:w="109"/>
        <w:gridCol w:w="154"/>
      </w:tblGrid>
      <w:tr>
        <w:trPr/>
        <w:tc>
          <w:tcPr>
            <w:tcW w:w="2222"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c>
          <w:tcPr>
            <w:tcW w:w="1522" w:type="dxa"/>
            <w:gridSpan w:val="7"/>
            <w:tcBorders/>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Consolidated statement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services agreement revenue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services agreement cost of goods sold (costs of good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fees - Otsuka ICU Medical LLC (cost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fees - Otsuka ICU Medical LLC (selling, general &amp;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of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joint venture is a pass-through entity for income tax purposes and, as such, does not record income tax at the entity level. We record our equity in losses of unconsolidated affiliates before any related income tax recognized as a separate line item in our consolidated statements of operations. Income taxes on our share of the joint venture's earnings are included within (provision) benefit for income taxes in our consolidated statements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a $0.8 million related-party receivable from the joint venture was included within prepaid expenses and other current assets in our consolidated balance sheet.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units are Consumables, Infusion Systems and Vital Care. The vast majority of our sales of these products within these business units are made on a stand-alone basis to hospitals and distributors. Revenue is typically recognized upon transfer of control of the products, which we deem to be at point of shipment. For purposes of revenue recognition for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software licenses and renewals, we consider the control of these products to be transferred to a customer at a certain point in time; therefore, we recognize revenue at the start of the applicable license term.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Payment is typically due in full within 30 days of delivery or the start of the contract term. Revenue is recorded in an amount that reflects the consideration we expect to be entitled to in exchange for those goods or services. We include variable consideration in net sales only to the extent that a significant reversal in revenue is not probable when the uncertainty is resolved. Our variable consideration includes distributor chargebacks, product returns and end customer rebates with distributor chargebacks representing the majority and subject to the greatest judgment (see Note 1: Basis of Presentation and Significant Accounting Policies).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offer certain volume-based rebates to both our distribution and end customers, which is recorded as variable consideration when calculating the transaction price. Rebates are offered on both a fixed and tiered/variable basis. In both cases, we use information available at the time, including current contractual requirements, our historical experience with each customer and forecasted customer purchasing patterns, to estimate the most likely rebate amount. We also warrant products against defects and have a policy permitting the return of defective products.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 See Note 1: Basis of Presentation and Significant Accounting Policies for further discussion.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Arrangements with Multiple Performance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enter into arrangements which include multiple performance obligations, (see Note 1: Basis of Presentation and Summary of Significant Accounting Policies). The most significant judgments related to these arrangements include: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Identifying the various performance obligations of these arrangements.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Estimating the relative standalone selling price of each performance obligation, typically using a directly observable method or calculated on a cost plus margin basis method.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disaggregated</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our revenues disaggregated by product line (in thousands) and our disaggregated product line revenue as a percentage of total revenue:</w:t>
      </w:r>
    </w:p>
    <w:tbl>
      <w:tblPr>
        <w:tblW w:w="10205" w:type="dxa"/>
        <w:jc w:val="center"/>
        <w:tblInd w:w="0" w:type="dxa"/>
        <w:tblLayout w:type="fixed"/>
        <w:tblCellMar>
          <w:top w:w="28" w:type="dxa"/>
          <w:left w:w="28" w:type="dxa"/>
          <w:bottom w:w="28" w:type="dxa"/>
          <w:right w:w="28" w:type="dxa"/>
        </w:tblCellMar>
      </w:tblPr>
      <w:tblGrid>
        <w:gridCol w:w="504"/>
        <w:gridCol w:w="443"/>
        <w:gridCol w:w="449"/>
        <w:gridCol w:w="211"/>
        <w:gridCol w:w="976"/>
        <w:gridCol w:w="109"/>
        <w:gridCol w:w="109"/>
        <w:gridCol w:w="109"/>
        <w:gridCol w:w="109"/>
        <w:gridCol w:w="263"/>
        <w:gridCol w:w="241"/>
        <w:gridCol w:w="574"/>
        <w:gridCol w:w="109"/>
        <w:gridCol w:w="109"/>
        <w:gridCol w:w="109"/>
        <w:gridCol w:w="211"/>
        <w:gridCol w:w="976"/>
        <w:gridCol w:w="109"/>
        <w:gridCol w:w="109"/>
        <w:gridCol w:w="109"/>
        <w:gridCol w:w="109"/>
        <w:gridCol w:w="263"/>
        <w:gridCol w:w="241"/>
        <w:gridCol w:w="574"/>
        <w:gridCol w:w="109"/>
        <w:gridCol w:w="109"/>
        <w:gridCol w:w="109"/>
        <w:gridCol w:w="211"/>
        <w:gridCol w:w="976"/>
        <w:gridCol w:w="109"/>
        <w:gridCol w:w="109"/>
        <w:gridCol w:w="109"/>
        <w:gridCol w:w="109"/>
        <w:gridCol w:w="250"/>
        <w:gridCol w:w="237"/>
        <w:gridCol w:w="643"/>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Product line</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Infusion Systems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Vital Care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2,231,262 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2,382,046 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report revenue on a "where sold" basis, which reflects the revenue within the country or region in which the ultimate sale is made to our external customer.    </w:t>
      </w:r>
    </w:p>
    <w:p>
      <w:pPr>
        <w:pStyle w:val="TextBody"/>
        <w:bidi w:val="0"/>
        <w:spacing w:lineRule="auto" w:line="288" w:before="0" w:after="60"/>
        <w:jc w:val="left"/>
        <w:rPr>
          <w:color w:val="000000"/>
        </w:rPr>
      </w:pPr>
      <w:r>
        <w:rPr>
          <w:color w:val="000000"/>
        </w:rPr>
        <w:t>    </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our revenues disaggregated by geography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tbl>
      <w:tblPr>
        <w:tblW w:w="7556" w:type="dxa"/>
        <w:jc w:val="center"/>
        <w:tblInd w:w="0" w:type="dxa"/>
        <w:tblLayout w:type="fixed"/>
        <w:tblCellMar>
          <w:top w:w="28" w:type="dxa"/>
          <w:left w:w="28" w:type="dxa"/>
          <w:bottom w:w="28" w:type="dxa"/>
          <w:right w:w="28" w:type="dxa"/>
        </w:tblCellMar>
      </w:tblPr>
      <w:tblGrid>
        <w:gridCol w:w="1074"/>
        <w:gridCol w:w="945"/>
        <w:gridCol w:w="950"/>
        <w:gridCol w:w="211"/>
        <w:gridCol w:w="976"/>
        <w:gridCol w:w="109"/>
        <w:gridCol w:w="109"/>
        <w:gridCol w:w="109"/>
        <w:gridCol w:w="109"/>
        <w:gridCol w:w="211"/>
        <w:gridCol w:w="976"/>
        <w:gridCol w:w="109"/>
        <w:gridCol w:w="109"/>
        <w:gridCol w:w="109"/>
        <w:gridCol w:w="109"/>
        <w:gridCol w:w="211"/>
        <w:gridCol w:w="976"/>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Geography</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1,440,017 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the Middle East and Africa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2,382,046 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2,259,126 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Domestic sales accounted for 61%, 64% and 64% of total revenue in 2025, 2024 and 2023, respectively. International sales accounted for 39%, 36% and 36% of total revenue in 2025, 2024 and 2023,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contract balances (deferred revenue) are recorded in accrued liabilities and other long-term liabilities in our consolidated balance sheet (see Note 11: Accrued Liabilities). The following table presents the changes in our contract balances for the years ended December 31, 2024 and 2023, (in thousands):</w:t>
      </w:r>
    </w:p>
    <w:tbl>
      <w:tblPr>
        <w:tblW w:w="6119" w:type="dxa"/>
        <w:jc w:val="center"/>
        <w:tblInd w:w="0" w:type="dxa"/>
        <w:tblLayout w:type="fixed"/>
        <w:tblCellMar>
          <w:top w:w="28" w:type="dxa"/>
          <w:left w:w="28" w:type="dxa"/>
          <w:bottom w:w="28" w:type="dxa"/>
          <w:right w:w="28" w:type="dxa"/>
        </w:tblCellMar>
      </w:tblPr>
      <w:tblGrid>
        <w:gridCol w:w="1559"/>
        <w:gridCol w:w="1369"/>
        <w:gridCol w:w="1377"/>
        <w:gridCol w:w="352"/>
        <w:gridCol w:w="1205"/>
        <w:gridCol w:w="257"/>
      </w:tblGrid>
      <w:tr>
        <w:trPr/>
        <w:tc>
          <w:tcPr>
            <w:tcW w:w="155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Contract Liabilities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 January 1, 2024</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42,177 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revenue recognized</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(56,182)</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revenue deferred due to implementation</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55,932 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revenue recognized</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(28,292)</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revenue deferred due to implementation</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Government grant income recognized</w:t>
            </w:r>
            <w:r>
              <w:rPr>
                <w:rFonts w:ascii="Times New Roman;serif" w:hAnsi="Times New Roman;serif"/>
                <w:b w:val="false"/>
                <w:color w:val="000000"/>
                <w:sz w:val="13"/>
              </w:rPr>
              <w:t>(1)</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grant income deferred</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deferred revenue recognized</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deferred revenue</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Ending balance, December 31, 2024</w:t>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39,403 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revenue recognized</w:t>
            </w:r>
          </w:p>
        </w:tc>
        <w:tc>
          <w:tcPr>
            <w:tcW w:w="1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(65,792)</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revenue deferred due to implementation</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revenue recognized</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(35,715)</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revenue deferred due to implementation</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31,373 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Government grant income recognized</w:t>
            </w:r>
            <w:r>
              <w:rPr>
                <w:rFonts w:ascii="Times New Roman;serif" w:hAnsi="Times New Roman;serif"/>
                <w:b w:val="false"/>
                <w:color w:val="000000"/>
                <w:sz w:val="13"/>
              </w:rPr>
              <w:t>(1)</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grant income deferred</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deferred revenue recognized</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deferred revenue</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Ending balance, December 31, 2025</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41,233 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government grant income deferred is amortized over the life of the related depreciable asset as a reduction to depreciation expense.</w:t>
      </w:r>
    </w:p>
    <w:p>
      <w:pPr>
        <w:pStyle w:val="TextBody"/>
        <w:bidi w:val="0"/>
        <w:spacing w:lineRule="auto" w:line="288" w:before="0" w:after="6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2025, we recognized $35.5 million in revenue that was included in the opening contract balances as of December 31, 2024.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revenue from remaining performance obligations is as follows (in thousands):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tbl>
      <w:tblPr>
        <w:tblW w:w="5712" w:type="dxa"/>
        <w:jc w:val="left"/>
        <w:tblInd w:w="0" w:type="dxa"/>
        <w:tblLayout w:type="fixed"/>
        <w:tblCellMar>
          <w:top w:w="28" w:type="dxa"/>
          <w:left w:w="28" w:type="dxa"/>
          <w:bottom w:w="28" w:type="dxa"/>
          <w:right w:w="28" w:type="dxa"/>
        </w:tblCellMar>
      </w:tblPr>
      <w:tblGrid>
        <w:gridCol w:w="1126"/>
        <w:gridCol w:w="988"/>
        <w:gridCol w:w="991"/>
        <w:gridCol w:w="222"/>
        <w:gridCol w:w="759"/>
        <w:gridCol w:w="114"/>
        <w:gridCol w:w="109"/>
        <w:gridCol w:w="109"/>
        <w:gridCol w:w="109"/>
        <w:gridCol w:w="255"/>
        <w:gridCol w:w="744"/>
        <w:gridCol w:w="186"/>
      </w:tblGrid>
      <w:tr>
        <w:trPr/>
        <w:tc>
          <w:tcPr>
            <w:tcW w:w="112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Recognition Timing</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&lt;12 Months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&gt; 12 Months</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revenue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revenue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Government grant deferred income</w:t>
            </w:r>
            <w:r>
              <w:rPr>
                <w:rFonts w:ascii="Times New Roman;serif" w:hAnsi="Times New Roman;serif"/>
                <w:b w:val="false"/>
                <w:color w:val="000000"/>
                <w:sz w:val="13"/>
              </w:rPr>
              <w:t>(1)</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deferred revenue</w:t>
            </w:r>
            <w:r>
              <w:rPr>
                <w:rFonts w:ascii="Times New Roman;serif" w:hAnsi="Times New Roman;serif"/>
                <w:b w:val="false"/>
                <w:color w:val="000000"/>
                <w:sz w:val="13"/>
              </w:rPr>
              <w:t>(2)</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7,390 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____________________________</w:t>
      </w:r>
    </w:p>
    <w:p>
      <w:pPr>
        <w:pStyle w:val="TextBody"/>
        <w:bidi w:val="0"/>
        <w:spacing w:lineRule="auto" w:line="288" w:before="0" w:after="6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The government grant deferred income is amortized over the life of the related depreciable asset as a reduction to depreciation expense.</w:t>
      </w:r>
    </w:p>
    <w:p>
      <w:pPr>
        <w:pStyle w:val="TextBody"/>
        <w:bidi w:val="0"/>
        <w:spacing w:lineRule="auto" w:line="288" w:before="0" w:after="60"/>
        <w:ind w:left="0" w:right="0" w:hanging="360"/>
        <w:jc w:val="left"/>
        <w:rPr/>
      </w:pPr>
      <w:r>
        <w:rPr>
          <w:rFonts w:ascii="Times New Roman;serif" w:hAnsi="Times New Roman;serif"/>
          <w:b w:val="false"/>
          <w:color w:val="000000"/>
          <w:sz w:val="13"/>
        </w:rPr>
        <w:t>(2)    </w:t>
      </w:r>
      <w:r>
        <w:rPr>
          <w:rFonts w:ascii="Times New Roman;serif" w:hAnsi="Times New Roman;serif"/>
          <w:b w:val="false"/>
          <w:color w:val="000000"/>
          <w:sz w:val="20"/>
        </w:rPr>
        <w:t>Other deferred revenue includes pump development programs, purchased training and extended warranty.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Costs to Obtain a Contract with a Customer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cost to obtain a contract, we may pay incremental commissions to sales employees upon entering into a sales contract. Under ASC Topic 606, we have elected to expense these costs as incurred as the period of benefit is less than one year.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Practical expedients and exemptions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practical expedient applied to sales commissions, under ASC Topic 606, we elected to apply the practical expedient for shipping and handling costs incurred after the customer has obtained control of a good. We will continue to treat these costs as a fulfillment cost rather than as an additional promised service.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SEGMENT DATA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 single operating and reportable segment. The segment is organized by and derives revenues from the manufacture and sale of our medical products which are used in infusion therapy, vascular access, and vital care applications. Our product portfolio includes ambulatory, syringe, and large volume IV pumps and safety software; dedicated and non-dedicated IV sets, needlefree IV connectors, IV catheters, and sharps safety products; closed system transfer devices and pharmacy compounding systems; as well as a range of respiratory, anesthesia, patient monitoring, and temperature management products. We also offer IV Solutions products through a commercial relationship with the joint venture. Our product lines, as disclosed in Note 4: Revenue, were determined to be a single operating segment as discrete financial information by product-line is limited to revenue and standard cost. Other cost of sale expenses, which include above-site manufacturing costs, manufacturing variances and supply chain costs including freight and warehousing are not allocated to individual product lines. Similarly, quality, regulatory and other operating expenses are only provided to our chief operating decision maker ("CODM") at the consolidated level.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accounting policies of our single reportable segment are the same as those described in Note 1: Basis of Presentation and Significant Accounting Policies.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information on disaggregation of revenues by product-line and geography, see Note 4: Revenue.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chief executive officer is our CODM. Our CODM uses net profit (loss) to manage our business activities on a consolidated basis and to evaluate and assess the performance of the Company when determining how to allocate capital resources. Our segment performance is monitored and resource allocation is determined during the annual budget/forecast processes. The measure of segment assets is reported on the consolidated balance sheets as total assets. In 2025, 2024 and 2023, expenditures for additions to long-lived assets were $97.0 million, $90.2 million, and $93.7 million,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our segment revenue, segment profit or loss, and significant segment expenses (in thousands):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tbl>
      <w:tblPr>
        <w:tblW w:w="8588" w:type="dxa"/>
        <w:jc w:val="left"/>
        <w:tblInd w:w="0" w:type="dxa"/>
        <w:tblLayout w:type="fixed"/>
        <w:tblCellMar>
          <w:top w:w="28" w:type="dxa"/>
          <w:left w:w="28" w:type="dxa"/>
          <w:bottom w:w="28" w:type="dxa"/>
          <w:right w:w="28" w:type="dxa"/>
        </w:tblCellMar>
      </w:tblPr>
      <w:tblGrid>
        <w:gridCol w:w="1331"/>
        <w:gridCol w:w="1168"/>
        <w:gridCol w:w="1175"/>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Standard COGS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Quality remediation/recall</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COGS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Tariff expense</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integration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of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Represents the average annual budgeted cost of producing each good sold in the period.</w:t>
      </w:r>
    </w:p>
    <w:p>
      <w:pPr>
        <w:pStyle w:val="TextBody"/>
        <w:bidi w:val="0"/>
        <w:spacing w:lineRule="auto" w:line="26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Represents significant labor and material costs to replace or repair a product outside the scope of standard warranty and compliance costs related to quality systems and manufacturing operations. </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Includes costs related to capitalized manufacturing variances to standard COGS, supply chain and logistics costs including freight, inventory management and reserves, hardware service, quality and regulatory, and operations and supply chain management costs.</w:t>
      </w:r>
    </w:p>
    <w:p>
      <w:pPr>
        <w:pStyle w:val="TextBody"/>
        <w:bidi w:val="0"/>
        <w:spacing w:lineRule="auto" w:line="268" w:before="0" w:after="0"/>
        <w:jc w:val="left"/>
        <w:rPr/>
      </w:pPr>
      <w:r>
        <w:rPr>
          <w:rFonts w:ascii="Times New Roman;serif" w:hAnsi="Times New Roman;serif"/>
          <w:b w:val="false"/>
          <w:color w:val="000000"/>
          <w:sz w:val="13"/>
        </w:rPr>
        <w:t xml:space="preserve">(4) </w:t>
      </w:r>
      <w:r>
        <w:rPr>
          <w:rFonts w:ascii="Times New Roman;serif" w:hAnsi="Times New Roman;serif"/>
          <w:b w:val="false"/>
          <w:color w:val="000000"/>
          <w:sz w:val="20"/>
        </w:rPr>
        <w:t>For the year ended 2025, total tariff expense includes $3.1 million in tariffs typically grouped within standard COGS and $31.2 million typically grouped within other COGS. Prior year comparative data for tariff-related expenses is not presented as these costs were historically integrated within broad general ledger accounts and are not practicable to discretely calculate without unreasonable effort.</w:t>
      </w:r>
    </w:p>
    <w:p>
      <w:pPr>
        <w:pStyle w:val="TextBody"/>
        <w:bidi w:val="0"/>
        <w:spacing w:lineRule="auto" w:line="268" w:before="0" w:after="0"/>
        <w:jc w:val="left"/>
        <w:rPr/>
      </w:pPr>
      <w:r>
        <w:rPr>
          <w:rFonts w:ascii="Times New Roman;serif" w:hAnsi="Times New Roman;serif"/>
          <w:b w:val="false"/>
          <w:color w:val="000000"/>
          <w:sz w:val="13"/>
        </w:rPr>
        <w:t xml:space="preserve">(5) </w:t>
      </w:r>
      <w:r>
        <w:rPr>
          <w:rFonts w:ascii="Times New Roman;serif" w:hAnsi="Times New Roman;serif"/>
          <w:b w:val="false"/>
          <w:color w:val="000000"/>
          <w:sz w:val="20"/>
        </w:rPr>
        <w:t>Includes changes in fair value of contingent earn-out, interest income, gain/loss on disposition of assets, gain/loss on foreign exchange, other miscellaneous income/expense and gain on sale of business.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information on depreciation and amortization expense, see Note 1: Basis of Presentation and Significant Accounting Policies.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Significant Customers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sell products worldwide, on credit terms on an unsecured basis, as an OEM supplier, to independent medical supply distributors and directly to end customers. The manufacturers and distributors, in turn, sell our products to healthcare providers. In 2025, 2024 and 2023, we had net sales to a single distributor of 18%, 18% and 16%, respectively of consolidated worldwide net sales.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Geographic Information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our gross long-lived assets, consisting of property, plant and equipment, by country or region (in thousands):</w:t>
      </w:r>
    </w:p>
    <w:tbl>
      <w:tblPr>
        <w:tblW w:w="4791" w:type="dxa"/>
        <w:jc w:val="center"/>
        <w:tblInd w:w="0" w:type="dxa"/>
        <w:tblLayout w:type="fixed"/>
        <w:tblCellMar>
          <w:top w:w="28" w:type="dxa"/>
          <w:left w:w="28" w:type="dxa"/>
          <w:bottom w:w="28" w:type="dxa"/>
          <w:right w:w="28" w:type="dxa"/>
        </w:tblCellMar>
      </w:tblPr>
      <w:tblGrid>
        <w:gridCol w:w="543"/>
        <w:gridCol w:w="476"/>
        <w:gridCol w:w="481"/>
        <w:gridCol w:w="109"/>
        <w:gridCol w:w="109"/>
        <w:gridCol w:w="109"/>
        <w:gridCol w:w="211"/>
        <w:gridCol w:w="976"/>
        <w:gridCol w:w="109"/>
        <w:gridCol w:w="109"/>
        <w:gridCol w:w="109"/>
        <w:gridCol w:w="109"/>
        <w:gridCol w:w="211"/>
        <w:gridCol w:w="97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Costa 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LATAM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Czech Republic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Foreign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610,547 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Worldwide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1,035,643 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determine if an arrangement is a lease at inception. Our operating lease assets are separately stated in operating lease right-of-use ("ROU") assets and our financing lease assets are included in other assets on our consolidated balance sheets. Our lease liabilities are included in accrued liabilities and other long-term liabilities on our consolidated balance sheets. We have elected not to recognize an ROU asset and lease liability for leases with terms of twelve months or less.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Lease ROU assets and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Our lease ROU assets exclude lease incentives and initial direct costs incurred. Our lease terms include options to extend when it is reasonably certain that we will exercise that option. All of our leases have stated lease payments, which may include fixed rental increases.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leases are for corporate, research and development and sales and support offices, manufacturing and distribution facilities,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because we determined the exercise of options to extend is not reasonably certain.    </w:t>
      </w:r>
    </w:p>
    <w:p>
      <w:pPr>
        <w:pStyle w:val="TextBody"/>
        <w:bidi w:val="0"/>
        <w:spacing w:lineRule="auto" w:line="288" w:before="0" w:after="0"/>
        <w:jc w:val="left"/>
        <w:rPr>
          <w:color w:val="000000"/>
        </w:rPr>
      </w:pPr>
      <w:r>
        <w:rPr>
          <w:color w:val="000000"/>
        </w:rPr>
        <w:t>    </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our lease cost (in thousands):</w:t>
      </w:r>
    </w:p>
    <w:tbl>
      <w:tblPr>
        <w:tblW w:w="7571" w:type="dxa"/>
        <w:jc w:val="center"/>
        <w:tblInd w:w="0" w:type="dxa"/>
        <w:tblLayout w:type="fixed"/>
        <w:tblCellMar>
          <w:top w:w="28" w:type="dxa"/>
          <w:left w:w="28" w:type="dxa"/>
          <w:bottom w:w="28" w:type="dxa"/>
          <w:right w:w="28" w:type="dxa"/>
        </w:tblCellMar>
      </w:tblPr>
      <w:tblGrid>
        <w:gridCol w:w="1356"/>
        <w:gridCol w:w="1193"/>
        <w:gridCol w:w="1200"/>
        <w:gridCol w:w="211"/>
        <w:gridCol w:w="721"/>
        <w:gridCol w:w="109"/>
        <w:gridCol w:w="109"/>
        <w:gridCol w:w="109"/>
        <w:gridCol w:w="109"/>
        <w:gridCol w:w="211"/>
        <w:gridCol w:w="721"/>
        <w:gridCol w:w="109"/>
        <w:gridCol w:w="109"/>
        <w:gridCol w:w="109"/>
        <w:gridCol w:w="109"/>
        <w:gridCol w:w="211"/>
        <w:gridCol w:w="721"/>
        <w:gridCol w:w="154"/>
      </w:tblGrid>
      <w:tr>
        <w:trPr/>
        <w:tc>
          <w:tcPr>
            <w:tcW w:w="135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 —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 — reduction of ROU asset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lease cost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on our finance leases is included in interest expense, net in our consolidated statements of operations. The reduction of the operating and finance ROU assets is included as noncash lease expense in costs of goods sold and selling, general and administrative expenses in our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before="0" w:after="6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supplemental cash flow information related to our leases (in thousands):</w:t>
      </w:r>
    </w:p>
    <w:tbl>
      <w:tblPr>
        <w:tblW w:w="9686" w:type="dxa"/>
        <w:jc w:val="center"/>
        <w:tblInd w:w="0" w:type="dxa"/>
        <w:tblLayout w:type="fixed"/>
        <w:tblCellMar>
          <w:top w:w="28" w:type="dxa"/>
          <w:left w:w="28" w:type="dxa"/>
          <w:bottom w:w="28" w:type="dxa"/>
          <w:right w:w="28" w:type="dxa"/>
        </w:tblCellMar>
      </w:tblPr>
      <w:tblGrid>
        <w:gridCol w:w="2126"/>
        <w:gridCol w:w="1864"/>
        <w:gridCol w:w="1874"/>
        <w:gridCol w:w="211"/>
        <w:gridCol w:w="721"/>
        <w:gridCol w:w="109"/>
        <w:gridCol w:w="109"/>
        <w:gridCol w:w="109"/>
        <w:gridCol w:w="109"/>
        <w:gridCol w:w="211"/>
        <w:gridCol w:w="721"/>
        <w:gridCol w:w="109"/>
        <w:gridCol w:w="109"/>
        <w:gridCol w:w="109"/>
        <w:gridCol w:w="109"/>
        <w:gridCol w:w="211"/>
        <w:gridCol w:w="721"/>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supplemental balance sheet information related to our operating leases (in thousands, except lease term and discount rate):</w:t>
      </w:r>
    </w:p>
    <w:tbl>
      <w:tblPr>
        <w:tblW w:w="6133" w:type="dxa"/>
        <w:jc w:val="center"/>
        <w:tblInd w:w="0" w:type="dxa"/>
        <w:tblLayout w:type="fixed"/>
        <w:tblCellMar>
          <w:top w:w="28" w:type="dxa"/>
          <w:left w:w="28" w:type="dxa"/>
          <w:bottom w:w="28" w:type="dxa"/>
          <w:right w:w="28" w:type="dxa"/>
        </w:tblCellMar>
      </w:tblPr>
      <w:tblGrid>
        <w:gridCol w:w="1358"/>
        <w:gridCol w:w="1192"/>
        <w:gridCol w:w="1199"/>
        <w:gridCol w:w="266"/>
        <w:gridCol w:w="245"/>
        <w:gridCol w:w="483"/>
        <w:gridCol w:w="114"/>
        <w:gridCol w:w="114"/>
        <w:gridCol w:w="114"/>
        <w:gridCol w:w="272"/>
        <w:gridCol w:w="239"/>
        <w:gridCol w:w="537"/>
      </w:tblGrid>
      <w:tr>
        <w:trPr/>
        <w:tc>
          <w:tcPr>
            <w:tcW w:w="135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40,777</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56,472</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w:t>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years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years</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supplemental balance sheet information related to our finance leases (in thousands, except lease term and discount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tbl>
      <w:tblPr>
        <w:tblW w:w="6014" w:type="dxa"/>
        <w:jc w:val="center"/>
        <w:tblInd w:w="0" w:type="dxa"/>
        <w:tblLayout w:type="fixed"/>
        <w:tblCellMar>
          <w:top w:w="28" w:type="dxa"/>
          <w:left w:w="28" w:type="dxa"/>
          <w:bottom w:w="28" w:type="dxa"/>
          <w:right w:w="28" w:type="dxa"/>
        </w:tblCellMar>
      </w:tblPr>
      <w:tblGrid>
        <w:gridCol w:w="1357"/>
        <w:gridCol w:w="1192"/>
        <w:gridCol w:w="1200"/>
        <w:gridCol w:w="288"/>
        <w:gridCol w:w="223"/>
        <w:gridCol w:w="424"/>
        <w:gridCol w:w="114"/>
        <w:gridCol w:w="114"/>
        <w:gridCol w:w="114"/>
        <w:gridCol w:w="292"/>
        <w:gridCol w:w="219"/>
        <w:gridCol w:w="477"/>
      </w:tblGrid>
      <w:tr>
        <w:trPr/>
        <w:tc>
          <w:tcPr>
            <w:tcW w:w="135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years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years</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maturities of our operating and finance lease liabilities for each of the next five years are approximately (in thousands):</w:t>
      </w:r>
    </w:p>
    <w:tbl>
      <w:tblPr>
        <w:tblW w:w="5244" w:type="dxa"/>
        <w:jc w:val="center"/>
        <w:tblInd w:w="0" w:type="dxa"/>
        <w:tblLayout w:type="fixed"/>
        <w:tblCellMar>
          <w:top w:w="28" w:type="dxa"/>
          <w:left w:w="28" w:type="dxa"/>
          <w:bottom w:w="28" w:type="dxa"/>
          <w:right w:w="28" w:type="dxa"/>
        </w:tblCellMar>
      </w:tblPr>
      <w:tblGrid>
        <w:gridCol w:w="683"/>
        <w:gridCol w:w="599"/>
        <w:gridCol w:w="607"/>
        <w:gridCol w:w="322"/>
        <w:gridCol w:w="1101"/>
        <w:gridCol w:w="166"/>
        <w:gridCol w:w="109"/>
        <w:gridCol w:w="109"/>
        <w:gridCol w:w="109"/>
        <w:gridCol w:w="309"/>
        <w:gridCol w:w="904"/>
        <w:gridCol w:w="226"/>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67,699 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SHARE-BASED AWARDS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2011 Stock Incentive Plan (the "2011 Plan")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stock incentive plan is intended to attract, retain and provide incentives for our employees and directors. Shares to be issued under this plan will be issued either from authorized but unissued or reacquired shares.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2025, our stockholders approved an amendment to the 2011 plan that increased the shares available for issuance under the 2011 plan by 2.2 million shares, bringing the total common shares reserved for issuance under the 2011 plan as of December 31, 2025 to 8.5 million shares.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grant restricted stock units ("RSUs") and performance restricted stock units ("PRSUs") to eligible employees and directors under the 2011 Plan. We have not granted stock options under the 2011 Plan since 2022. Shares subject to awards other than options and stock appreciation rights are charged against the 2011 Plan's share reserve as 2.09 shares for 1 share issued.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 Expense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incur stock compensation expense for RSUs and PRSUs and in years prior to 2024 also for stock options. As of 2023, our outstanding stock options were all fully vested. We receive a tax benefit on stock compensation expense and direct tax benefits from the exercise of stock options and vesting of restricted stock units.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compensation costs and related tax benefits (in thousands):</w:t>
      </w:r>
    </w:p>
    <w:tbl>
      <w:tblPr>
        <w:tblW w:w="8183" w:type="dxa"/>
        <w:jc w:val="left"/>
        <w:tblInd w:w="0" w:type="dxa"/>
        <w:tblLayout w:type="fixed"/>
        <w:tblCellMar>
          <w:top w:w="28" w:type="dxa"/>
          <w:left w:w="28" w:type="dxa"/>
          <w:bottom w:w="28" w:type="dxa"/>
          <w:right w:w="28" w:type="dxa"/>
        </w:tblCellMar>
      </w:tblPr>
      <w:tblGrid>
        <w:gridCol w:w="1462"/>
        <w:gridCol w:w="1283"/>
        <w:gridCol w:w="128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4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from stock-based compensation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$48.5 million of unamortized stock compensation cost which we will recognize as an expense over a weighted-average period of approximately 0.9 years.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Time-based Stock Options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not granted time-based stock options since 2022. Our outstanding options expire no more than ten years from date of grant.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our stock options outstanding as of and for the year ended December 31, 2025 is as follows:</w:t>
      </w:r>
    </w:p>
    <w:tbl>
      <w:tblPr>
        <w:tblW w:w="10205" w:type="dxa"/>
        <w:jc w:val="left"/>
        <w:tblInd w:w="0" w:type="dxa"/>
        <w:tblLayout w:type="fixed"/>
        <w:tblCellMar>
          <w:top w:w="28" w:type="dxa"/>
          <w:left w:w="28" w:type="dxa"/>
          <w:bottom w:w="28" w:type="dxa"/>
          <w:right w:w="28" w:type="dxa"/>
        </w:tblCellMar>
      </w:tblPr>
      <w:tblGrid>
        <w:gridCol w:w="688"/>
        <w:gridCol w:w="605"/>
        <w:gridCol w:w="606"/>
        <w:gridCol w:w="109"/>
        <w:gridCol w:w="109"/>
        <w:gridCol w:w="109"/>
        <w:gridCol w:w="413"/>
        <w:gridCol w:w="413"/>
        <w:gridCol w:w="211"/>
        <w:gridCol w:w="109"/>
        <w:gridCol w:w="109"/>
        <w:gridCol w:w="109"/>
        <w:gridCol w:w="459"/>
        <w:gridCol w:w="1572"/>
        <w:gridCol w:w="238"/>
        <w:gridCol w:w="109"/>
        <w:gridCol w:w="109"/>
        <w:gridCol w:w="109"/>
        <w:gridCol w:w="762"/>
        <w:gridCol w:w="762"/>
        <w:gridCol w:w="763"/>
        <w:gridCol w:w="109"/>
        <w:gridCol w:w="109"/>
        <w:gridCol w:w="109"/>
        <w:gridCol w:w="355"/>
        <w:gridCol w:w="785"/>
        <w:gridCol w:w="265"/>
      </w:tblGrid>
      <w:tr>
        <w:trPr/>
        <w:tc>
          <w:tcPr>
            <w:tcW w:w="68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Intrinsic Value</w:t>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108,140 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136.12 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(63,197)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191.68 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44,943 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191.68 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intrinsic values for options exercisable, outstanding and vested or expected to vest at December 31, 2025 are based on our closing stock price of $142.67 at December 31, 2025 and are before applicable taxes.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stock option activity (in thousands):</w:t>
      </w:r>
    </w:p>
    <w:tbl>
      <w:tblPr>
        <w:tblW w:w="7673" w:type="dxa"/>
        <w:jc w:val="left"/>
        <w:tblInd w:w="0" w:type="dxa"/>
        <w:tblLayout w:type="fixed"/>
        <w:tblCellMar>
          <w:top w:w="28" w:type="dxa"/>
          <w:left w:w="28" w:type="dxa"/>
          <w:bottom w:w="28" w:type="dxa"/>
          <w:right w:w="28" w:type="dxa"/>
        </w:tblCellMar>
      </w:tblPr>
      <w:tblGrid>
        <w:gridCol w:w="1353"/>
        <w:gridCol w:w="1189"/>
        <w:gridCol w:w="1192"/>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Intrinsic value of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from stock option exercises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Stock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2025, we granted PRSUs to our executive officers. For the executive officers other than the CEO, COO, CFO, President and the CVP, GC, the PRSUs will vest as to one-third of the total number of PRSUs underlying the award on the first, second and third anniversaries of the applicable grant date, subject to a determination by the CEO and Compensation Committee that the officers have met their individual performance goals for the applicable year and continued service through such vesting date. For the CEO, COO, CFO, President and the CVP, GC, the PRSUs will cliff-vest on March 7, 2028, subject to continued service through such vesting date and the achievement of minimum three-year cumulative adjusted revenue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minimum three-year cumulative adjusted EBITDA, commencing on January 1, 2025 and ending on December 31, 2027, which when reviewed against a predetermined vesting matrix could result in the vesting of 0% to 250% of the awarded PRSUs.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2024, we granted PRSUs to our executive officers and certain other non-executive employees. The PRSUs will cliff-vest on March 8, 2026, subject to continued service through such vesting date and the achievement of minimum two-year cumulative adjusted EBITDA, commencing on January 1, 2024 and ending on December 31, 2025, which when reviewed against a predetermined vesting matrix could result in the vesting of 0% to 250% of the awarded PRSUs. We also granted certain other one-off PRSU awards to non-executive employees with various performance requirements, whereby the PRSUs will be earned if the minimum requirements are met. The performance period related to the annual 2024 PRSUs ended on December 31, 2025 and in February 2026 the Compensation Committee determined that 250% of the PRSUs awarded were earned based on the cumulative adjusted EBITDA achieved.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2023, we granted PRSUs to our executive officers. For the executive officers other than the CEO, COO, CFO and the CVP, GC, the PRSUs will vest as to one-third of the total number of PRSUs underlying the award on the first, second and third anniversaries of the applicable grant date, subject to a determination by the CEO and Compensation Committee that the officers have met their individual performance goals for the applicable year and continued service through such vesting date. In February 2024, 2025 and 2026, the Compensation Committee made the determination that the executive officers other than the CEO, CFO, COO and CVP, GC met their individual performance goals for 2023, 2024 and 2025 with respect to the PRSUs subject to annual vesting, as outlined above, and therefore one-third of their 2023 PRSUs vested at 100% during 2024 and 2025 and one-third will vest during 2026 subject to continued service through March 15, 2026. For the CEO, COO, CFO, and CVP, GC, the PRSUs will cliff-vest on March 15, 2026, subject to continued service through such vesting date and the achievement of minimum three-year adjusted revenue and adjusted EBITDA compound annual growth rates, commencing on January 1, 2023 and ending on December 31, 2025, which when reviewed against a predetermined vesting matrix could result in the vesting of 0% to 250% of the awarded PRSUs. The performance period related to the annual 2023 PRSUs awarded to the CEO, COO, CFO and CVP, GC ended on December 31, 2025 and in February 2026 the Compensation Committee determined that 117% of the PRSUs awarded were earned based on the three-year adjusted revenue and adjusted EBITDA achieved.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2022, we granted our annual PRSUs to our executive officers and certain other non-executive employees. These PRSUs cliff-vested on March 7, 2024, subject to continued service through such vesting date and the achievement of net synergy savings targets related to the Smiths Medical acquisition achieved during the performance period commencing on January 1, 2022 and ending on December 31, 2023, which when reviewed against predetermined targets could have resulted in the vesting of 0% to 200% of the awarded PRSUs. We also granted certain other one-off PRSU awards to non-executive employees with various performance requirements, whereby the PRSUs will be earned if the minimum requirements are met within a specified time period. The performance period related to the annual 2022 PRSUs ended on December 31, 2023 and in February 2024 the Compensation Committee determined that 200% of the PRSUs awarded were earned based on the actual net synergy savings related to the Smiths Medical acquisition achieved during the performance period, and therefore the 2022 PRSUs vested in during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2021, we granted PRSUs to our executive officers. For the executive officers other than the CEO, COO and the CFO, the PRSUs vested as to one-third of the total number of PRSUs underlying the award on the first, second and third anniversaries of the applicable grant date, subject to a determination by the CEO and Compensation Committee that the officers had met their individual performance goals for the applicable years and continued service through such vesting date. In February 2022, 2023 and 2024, the Compensation Committee made the determination that the executive officers other than the CEO, CFO and COO met their individual performance goals for 2021, 2022 and 2023, respectively, and therefore one-third of their 2021 PRSUs vested during each of 2022, 2023 and 2024. For the CEO, COO and the CFO, the PRSUs cliff-vested on March 8, 2024, subject to continued service through such vesting date and the achievement of minimum three-year cumulative adjusted revenue dollar target growth rate and adjusted EPS dollar target growth rate targets, commencing on January 1, 2021 and ending on December 31, 2023, which when reviewed against a predetermined vesting matrix could have resulted in the vesting of 0% to 250% of the awarded PRSUs. The performance period related to the 2021 CEO, COO and CFO PRSUs ended on December 31, 2023 and in February 2024 the Compensation Committee determined that 110% of the awarded PRSUs were earned based on the actual cumulative adjusted revenue dollar target growth rate and adjusted EPS dollar target growth rate achieved during the performance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2020, we granted PRSUs to our executive officers. For the executive officers other than the CEO, COO and the CFO, the PRSUs vested as to one-third of the total number of PRSUs underlying the award on the first, second and third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anniversaries of the applicable grant date, subject to a determination by the CEO and Compensation Committee that the officers had met their individual performance goals for the applicable years and continued service through such vesting date. In February 2021, 2022, and 2023, the Compensation Committee made the determination that the executive officers other than the CEO, CFO and COO met their individual performance goals for 2020, 2021 and 2022, respectively, and therefore one-third of their 2020 PRSUs awarded vested during 2021, 2022 and 2023. For the CEO, COO and the CFO, the PRSUs cliff-vested on March 6, 2023, subject to continued service through such vesting date and the achievement of minimum three-year cumulative adjusted revenue dollar target growth rate and adjusted EPS dollar target growth rate targets, which when reviewed against a predetermined vesting matrix such PRSUs originally had the potential to vest from 0% to 250% of the awarded PRSUs. During February 2021, the Compensation Committee, modified the potential vesting percentages related to the 2020 PRSU awards for the CEO, COO and CFO, as the original potential percentages were established immediately before the onset of the COVID-19 pandemic. The Compensation Committee determined to adjust the CEO, COO and CFO's potential to earn from between 0% and 250% of the awarded PRSUs, to an increased potential to earn between 50% and 300% of the award granted, subject to the same minimum threshold revenue and EPS targets set forth above to be achieved by the Company. The additional compensation expense as a result of modifying the 2020 PRSUs granted to our CEO, COO and CFO totaled $2.1 million recognized over the remaining amortization period from the date of modification. The performance period related to the 2020 CEO, COO and CFO PRSUs ended on December 31, 2022 and in February 2023 the Compensation Committee determined that 188% of the awarded PRSUs were earned based on the actual cumulative adjusted revenue dollar growth rate and adjusted EPS dollar target growth rate achieved during the performance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stock units are granted annually to our non-employee directors and vest on the first anniversary of the grant date, or the date of our annual meeting, whichever occurs first.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2025, 2024 and 2023, we granted RSUs to certain employees that typically vest ratably on the anniversary of the grant over three years. We recognize forfeitures as they occur.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grant-date fair market value of our PRSUs and RSUs is determined by our stock price on the grant date.</w:t>
      </w:r>
    </w:p>
    <w:p>
      <w:pPr>
        <w:pStyle w:val="TextBody"/>
        <w:bidi w:val="0"/>
        <w:spacing w:before="0" w:after="60"/>
        <w:ind w:left="0" w:right="0" w:firstLine="72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our restricted stock award activity (dollars in thousands):</w:t>
      </w:r>
    </w:p>
    <w:tbl>
      <w:tblPr>
        <w:tblW w:w="6699" w:type="dxa"/>
        <w:jc w:val="center"/>
        <w:tblInd w:w="0" w:type="dxa"/>
        <w:tblLayout w:type="fixed"/>
        <w:tblCellMar>
          <w:top w:w="28" w:type="dxa"/>
          <w:left w:w="28" w:type="dxa"/>
          <w:bottom w:w="28" w:type="dxa"/>
          <w:right w:w="28" w:type="dxa"/>
        </w:tblCellMar>
      </w:tblPr>
      <w:tblGrid>
        <w:gridCol w:w="919"/>
        <w:gridCol w:w="807"/>
        <w:gridCol w:w="824"/>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1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Shares earned</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Grant-date fair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Grant-date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Intrinsic value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Grant-date fair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Grant-date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Intrinsic value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    </w:t>
      </w:r>
      <w:r>
        <w:rPr>
          <w:rFonts w:ascii="Times New Roman;serif" w:hAnsi="Times New Roman;serif"/>
          <w:b w:val="false"/>
          <w:color w:val="000000"/>
          <w:sz w:val="18"/>
        </w:rPr>
        <w:t xml:space="preserve">PRSU shares earned in 2025, where both performance and service conditions have been met, were related to performance awards granted to executives in 2023 and PRSUs granted to certain other employees in 2024. PRSU shares earned in 2024, where both performance and service conditions have been met, were related to performance awards granted to executives and certain other employees in 2021, 2022 and 2023. PRSU shares earned in 2023, where both performance and service conditions have been met, were related to performance awards granted to executives and certain other employees in 2020, 2021 and 2022. </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provides a summary of our PRSU and RSU activity as of and for the year ended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08"/>
        <w:gridCol w:w="605"/>
        <w:gridCol w:w="609"/>
        <w:gridCol w:w="109"/>
        <w:gridCol w:w="109"/>
        <w:gridCol w:w="109"/>
        <w:gridCol w:w="469"/>
        <w:gridCol w:w="405"/>
        <w:gridCol w:w="328"/>
        <w:gridCol w:w="109"/>
        <w:gridCol w:w="109"/>
        <w:gridCol w:w="109"/>
        <w:gridCol w:w="324"/>
        <w:gridCol w:w="1109"/>
        <w:gridCol w:w="167"/>
        <w:gridCol w:w="109"/>
        <w:gridCol w:w="109"/>
        <w:gridCol w:w="109"/>
        <w:gridCol w:w="735"/>
        <w:gridCol w:w="735"/>
        <w:gridCol w:w="736"/>
        <w:gridCol w:w="109"/>
        <w:gridCol w:w="109"/>
        <w:gridCol w:w="109"/>
        <w:gridCol w:w="361"/>
        <w:gridCol w:w="1235"/>
        <w:gridCol w:w="271"/>
      </w:tblGrid>
      <w:tr>
        <w:trPr/>
        <w:tc>
          <w:tcPr>
            <w:tcW w:w="80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Grant-Date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Intrinsic Value (in thousands)</w:t>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551,011 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266,503 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(169,541)</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(12,597)</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635,376 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Expected to vest at December 31, 2025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935,993 </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10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As of December 31, 2025, the additional goal shares expected to vest include the following: 2023 PRSUs 6,431 shares; 2024 PRSUs 221,016 shares; and 2025 PRSUs 73,170 shares.</w:t>
      </w:r>
    </w:p>
    <w:p>
      <w:pPr>
        <w:pStyle w:val="TextBody"/>
        <w:bidi w:val="0"/>
        <w:spacing w:before="10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DERIVATIVES AND HEDGING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Hedge Accounting and Hedging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purposes of our cash flow hedging programs are to manage the foreign currency exchange rate risk on forecasted revenues and expenses denominated in currencies other than the functional currency of the operating unit, and to manage floating interest rate risk associated with future interest payments on variable-rate term loans issued in 2022 and refinanced in 2025. We do not issue derivatives for trading or speculative purposes.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receive hedge accounting treatment, all hedging relationships are formally documented at the inception of the hedge, and the hedges must be highly effective in offsetting changes to future cash flows on hedged transactions. The derivative instruments we utilize, including various foreign exchange contracts and interest rate swaps, are designated and qualify as cash flow hedges. Our derivative instruments are recorded at fair value on the consolidated balance sheets and are classified based on the instrument's maturity date. We record changes in the fair value of the effective portion of the gain or loss on the derivative instrument as a component of other comprehensive (loss) income and we reclassify that gain or loss into earnings in the same line item associated with the forecasted transaction and in the same period during which the hedged transaction affects earnings.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Foreign Currency Exchange Rate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Foreign Exchange Forward Contracts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enter into foreign exchange forward contracts to hedge a portion of our forecasted foreign currency-denominated revenues and expenses to minimize the effect of foreign exchange rate movements on the related cash flows. These contracts are agreements to buy or sell a quantity of a currency at a predetermined future date and at a predetermined exchange rate. Our current foreign exchange forward contracts hedge exposures principally denominated in Mexican Pesos ("MXN"), Euros, Japanese Yen ("JPY"), Chinese Renminbi ("CNH"), Canadian Dollar ("CAD"), U.S. Dollar ("USD") and Australian Dollar ("AUD") and have varying maturities with an average term of approximately nine months. The total notional amount of these outstanding derivative contracts as of December 31, 2025 was $24.3 million, which included the notional equivalent of $3.3 million in MXN, $7.5 million in JPY, $3.5 million in Euros, $6.5 million in AUD, $3.1 million in USD and $0.4 million in other foreign currencies, with terms currently through December 2025.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Floating Interest Rate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2022, we entered into interest rate swaps to reduce the interest rate volatility on our variable-rate term loan A and variable-rate term loan B (see Note 12: Long-Term Obligations). We exchange, at specified intervals, the difference between fixed and floating interest amounts calculated by reference to an agreed-upon notional amount. Effective March 30, 2022, the term loan A swap, as amended, has an initial notional amount of $300.0 million, reducing to $150.0 million evenly on a quarterly basis through its final maturity on March 30, 2027. We pay a fixed rate of 1.32% and will receive the greater of 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month USD SOFR or (0.15)%. The total notional amount of this outstanding derivative as of December 31, 2025 was approximately $181.6 million. Effective March 30, 2022, the term loan B swap, as amended, has an initial notional amount of $750.0 million, reducing to $46.9 million evenly on a quarterly basis through its final maturity on March 30, 2026. We pay a fixed rate of 1.17% and receive the greater of 3-month USD SOFR or 0.35%. The total notional amount of this outstanding derivative as of December 31, 2025 was approximately $46.9 million. In June 2023, we entered into an additional interest rate swap that hedges both term loan A and term loan B interest payments. The total notional amount of the swap is $300.0 million. The hedge matures on June 30, 2028. We pay a fixed rate of 3.88% and receive 3-months USD SOFR. These forward-starting swaps effectively convert the relevant portion of the floating-rate term loans to fixed rates.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fair values of our derivative instruments included within the consolidated balance sheets (in thousands): </w:t>
      </w:r>
    </w:p>
    <w:tbl>
      <w:tblPr>
        <w:tblW w:w="10205" w:type="dxa"/>
        <w:jc w:val="center"/>
        <w:tblInd w:w="0" w:type="dxa"/>
        <w:tblLayout w:type="fixed"/>
        <w:tblCellMar>
          <w:top w:w="28" w:type="dxa"/>
          <w:left w:w="28" w:type="dxa"/>
          <w:bottom w:w="28" w:type="dxa"/>
          <w:right w:w="28" w:type="dxa"/>
        </w:tblCellMar>
      </w:tblPr>
      <w:tblGrid>
        <w:gridCol w:w="915"/>
        <w:gridCol w:w="804"/>
        <w:gridCol w:w="809"/>
        <w:gridCol w:w="109"/>
        <w:gridCol w:w="109"/>
        <w:gridCol w:w="109"/>
        <w:gridCol w:w="552"/>
        <w:gridCol w:w="1564"/>
        <w:gridCol w:w="305"/>
        <w:gridCol w:w="200"/>
        <w:gridCol w:w="200"/>
        <w:gridCol w:w="200"/>
        <w:gridCol w:w="575"/>
        <w:gridCol w:w="1771"/>
        <w:gridCol w:w="284"/>
        <w:gridCol w:w="109"/>
        <w:gridCol w:w="109"/>
        <w:gridCol w:w="109"/>
        <w:gridCol w:w="266"/>
        <w:gridCol w:w="884"/>
        <w:gridCol w:w="222"/>
      </w:tblGrid>
      <w:tr>
        <w:trPr/>
        <w:tc>
          <w:tcPr>
            <w:tcW w:w="91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Derivatives Designated as Cash Flow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Balance Sheet 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Exchange Forward Contracts</w:t>
            </w:r>
          </w:p>
        </w:tc>
        <w:tc>
          <w:tcPr>
            <w:tcW w:w="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Derivatives</w:t>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15"/>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4,409 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5,572 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3,196 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4,704 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Derivatives Designated as Cash Flow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Exchange Forward Contracts</w:t>
            </w:r>
          </w:p>
        </w:tc>
        <w:tc>
          <w:tcPr>
            <w:tcW w:w="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Forward-Starting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Derivatives</w:t>
            </w:r>
          </w:p>
        </w:tc>
      </w:tr>
      <w:tr>
        <w:trPr/>
        <w:tc>
          <w:tcPr>
            <w:tcW w:w="25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6,716 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11,038 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17,754 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5,724 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6,716 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16,762 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23,478 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7,391 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7,391 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60"/>
        <w:jc w:val="left"/>
        <w:rPr>
          <w:color w:val="000000"/>
        </w:rPr>
      </w:pPr>
      <w:r>
        <w:rPr>
          <w:color w:val="000000"/>
        </w:rPr>
        <w:t>    </w:t>
      </w:r>
      <w:r>
        <w:rPr>
          <w:rFonts w:ascii="Times New Roman;serif" w:hAnsi="Times New Roman;serif"/>
          <w:b w:val="false"/>
          <w:color w:val="000000"/>
          <w:sz w:val="20"/>
        </w:rPr>
        <w:t>The following table presents the effects of our derivative instruments designated as cash flow hedges on the Consolidated Statements of Operations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04"/>
        <w:gridCol w:w="795"/>
        <w:gridCol w:w="797"/>
        <w:gridCol w:w="925"/>
        <w:gridCol w:w="925"/>
        <w:gridCol w:w="927"/>
        <w:gridCol w:w="138"/>
        <w:gridCol w:w="138"/>
        <w:gridCol w:w="138"/>
        <w:gridCol w:w="248"/>
        <w:gridCol w:w="821"/>
        <w:gridCol w:w="138"/>
        <w:gridCol w:w="138"/>
        <w:gridCol w:w="138"/>
        <w:gridCol w:w="138"/>
        <w:gridCol w:w="248"/>
        <w:gridCol w:w="821"/>
        <w:gridCol w:w="138"/>
        <w:gridCol w:w="138"/>
        <w:gridCol w:w="138"/>
        <w:gridCol w:w="138"/>
        <w:gridCol w:w="248"/>
        <w:gridCol w:w="821"/>
        <w:gridCol w:w="207"/>
      </w:tblGrid>
      <w:tr>
        <w:trPr/>
        <w:tc>
          <w:tcPr>
            <w:tcW w:w="90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Reclassified From Accumulated Other Comprehensive (Loss) Income into Income</w:t>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of Gain in the Consolidated Statements of Operations</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Derivatives designated as cash flow hedging instruments:</w:t>
            </w:r>
          </w:p>
        </w:tc>
        <w:tc>
          <w:tcPr>
            <w:tcW w:w="27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forward contracts</w:t>
            </w:r>
          </w:p>
        </w:tc>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forward contracts</w:t>
            </w:r>
          </w:p>
        </w:tc>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forward contracts</w:t>
            </w:r>
          </w:p>
        </w:tc>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Other expense, net</w:t>
            </w:r>
            <w:r>
              <w:rPr>
                <w:rFonts w:ascii="Times New Roman;serif" w:hAnsi="Times New Roman;serif"/>
                <w:b w:val="false"/>
                <w:color w:val="000000"/>
                <w:sz w:val="12"/>
              </w:rPr>
              <w:t>(1)</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forward contracts</w:t>
            </w:r>
          </w:p>
        </w:tc>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Interest expense</w:t>
            </w:r>
            <w:r>
              <w:rPr>
                <w:rFonts w:ascii="Times New Roman;serif" w:hAnsi="Times New Roman;serif"/>
                <w:b w:val="false"/>
                <w:color w:val="000000"/>
                <w:sz w:val="12"/>
              </w:rPr>
              <w:t>(2)</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32,444 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derivatives designated as cash flow hedging instruments</w:t>
            </w:r>
          </w:p>
        </w:tc>
        <w:tc>
          <w:tcPr>
            <w:tcW w:w="2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30,204 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40,834 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Represents location of gain reclassified from accumulated other comprehensive (loss) income into other expense, net as a result of ineffectiveness.</w:t>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Represents location of gain reclassified from accumulated other comprehensive (loss) income into interest expense as a result of a forecasted transaction being no longer probable of occurring.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the following (losses) gains on our derivative instruments designated as cash flow hedges in other comprehensive loss before reclassifications to income (in thousands):</w:t>
      </w:r>
    </w:p>
    <w:tbl>
      <w:tblPr>
        <w:tblW w:w="10058" w:type="dxa"/>
        <w:jc w:val="center"/>
        <w:tblInd w:w="0" w:type="dxa"/>
        <w:tblLayout w:type="fixed"/>
        <w:tblCellMar>
          <w:top w:w="28" w:type="dxa"/>
          <w:left w:w="28" w:type="dxa"/>
          <w:bottom w:w="28" w:type="dxa"/>
          <w:right w:w="28" w:type="dxa"/>
        </w:tblCellMar>
      </w:tblPr>
      <w:tblGrid>
        <w:gridCol w:w="1630"/>
        <w:gridCol w:w="1433"/>
        <w:gridCol w:w="1437"/>
        <w:gridCol w:w="109"/>
        <w:gridCol w:w="109"/>
        <w:gridCol w:w="109"/>
        <w:gridCol w:w="290"/>
        <w:gridCol w:w="934"/>
        <w:gridCol w:w="161"/>
        <w:gridCol w:w="161"/>
        <w:gridCol w:w="161"/>
        <w:gridCol w:w="161"/>
        <w:gridCol w:w="290"/>
        <w:gridCol w:w="956"/>
        <w:gridCol w:w="161"/>
        <w:gridCol w:w="161"/>
        <w:gridCol w:w="161"/>
        <w:gridCol w:w="161"/>
        <w:gridCol w:w="290"/>
        <w:gridCol w:w="956"/>
        <w:gridCol w:w="227"/>
      </w:tblGrid>
      <w:tr>
        <w:trPr/>
        <w:tc>
          <w:tcPr>
            <w:tcW w:w="16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Amount of Gain (Loss) Recognized in Other Comprehensive Loss </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Derivatives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derivatives designated as cash flow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14,042 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15,988 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we expect an estimated $0.6 million in deferred gains on the outstanding foreign exchange forward contract and an estimated $2.3 million in deferred gains on the forward-starting interest rate swaps will be reclassified from accumulated other comprehensive loss to net income during the next 12 months concurrent with the underlying hedged transactions also being reported in net (loss) income.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FAIR VALUE MEASUREMENTS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1: quoted prices in active markets for identical assets or liabilities;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3: unobservable inputs that are supported by little or no market activity and that are significant to the fair values of the assets or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Contingent earn-out liabilities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2021, we entered into an agreement with one of our international distributors whereby that distributor would not compete with us in a specific territory for a three-year period that ended September 2024. The terms of the agreement included a contingent earn-out payment. The contingent earn-out payment could not exceed $6.0 million and was to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The estimated fair value of the contingent earn-out was calculated using a probability-weighted cash flow model based on historical revenue streams and the likelihood that the revenue targets will be met. As of December 31, 2023, the earn-out measurement period ended. The fair value of the contingent earn-out was determined to be $3.4 million and was paid out in the first quarter of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2021, we acquired a small foreign infusion systems supplier. Total consideration for the acquisition includes a potential earn-out payment of up to $2.5 million, consisting of (i) a cash payment of $1.0 million contingent on the achievement of certain revenue targets for the annual period ending December 31, 2022 and, separately, (ii) a cash payment of $1.5 million contingent on obtaining certain product-related regulatory certifications by May 26, 2024. As of December 31, 2022, the measurement period related to the contingent earn-out based on certain revenue targets ended and based on the actual revenue achieved during the measurement period, the fair value of the contingent earn-out was determined to be zero as the minimum threshold for earning the earn-out was not met. As of December 31, 2024, the earn-out measurement period related to certain product-related regulatory certifications had ended and the product-related regulatory certification had not been achieved, accordingly, the estimated fair value for the contingent consideration was reduced to zero.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2022, we acquired Smiths Medical with a combination of cash consideration and share consideration issued at closing. Total consideration for the acquisition included a potential earn-out payment of $100.0 million in cash contingent on our common stock achieving a certain volume-weighted average price (the "Price Targets") from the closing date to either the third or fourth anniversary of closing and provided Smiths beneficially owns at least 50.0% of the shares of common stock issued at closing at the time the Price Target is achieved. The initial estimated fair value of the earn-out was determined to be $53.5 million using a Monte Carlo simulation model. The model utilized several assumptions including volatility and the risk-free interest rate. The assumed volatility is based on the average of the historical volatility of our common stock price and the implied volatility of certain at-the-money traded options. The risk-free interest rate is equal to the yield on U.S. Treasury securities at constant maturity for the period commensurate with the term of the earn-out. At each reporting date subsequent to the acquisition, we remeasured the earn-out liability and recognized any changes in its fair value in our consolidated statements of operations. If the probability of achieving the Price Targets during their respective measurement periods was significantly greater than initially anticipated, the realization of an additional liability and related expense would have had a significant impact on our consolidated financial statements in the period recognized. During 2024, Smiths sold all of their remaining shares of common stock of ICU Medical, Inc. The sale of these shares rendered Smiths unable to achieve the contingent consideration based on certain price targets during the third and fourth anniversary of closing as Smiths no longer met the required minimum beneficial ownership percentage. Accordingly, the valuation of the contingent earn-out liability as of December 31, 2024 was zero.</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contingent earn-out liabilities are separately stated on our consolidated balance sheets.</w:t>
      </w:r>
    </w:p>
    <w:p>
      <w:pPr>
        <w:pStyle w:val="TextBody"/>
        <w:bidi w:val="0"/>
        <w:spacing w:before="0" w:after="6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our Level 3 earn-out liabilities measured at estimated fair value based on an initial valuation and updated quarterly for the years ended December 31, 2024 and 2023 (in thousands):</w:t>
      </w:r>
    </w:p>
    <w:tbl>
      <w:tblPr>
        <w:tblW w:w="9416" w:type="dxa"/>
        <w:jc w:val="center"/>
        <w:tblInd w:w="0" w:type="dxa"/>
        <w:tblLayout w:type="fixed"/>
        <w:tblCellMar>
          <w:top w:w="28" w:type="dxa"/>
          <w:left w:w="28" w:type="dxa"/>
          <w:bottom w:w="28" w:type="dxa"/>
          <w:right w:w="28" w:type="dxa"/>
        </w:tblCellMar>
      </w:tblPr>
      <w:tblGrid>
        <w:gridCol w:w="2733"/>
        <w:gridCol w:w="2398"/>
        <w:gridCol w:w="2413"/>
        <w:gridCol w:w="109"/>
        <w:gridCol w:w="109"/>
        <w:gridCol w:w="109"/>
        <w:gridCol w:w="304"/>
        <w:gridCol w:w="1002"/>
        <w:gridCol w:w="239"/>
      </w:tblGrid>
      <w:tr>
        <w:trPr/>
        <w:tc>
          <w:tcPr>
            <w:tcW w:w="2733"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Earn-out Liability</w:t>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Contingent earn-out liability,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25,572 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Change in fair value of contingent earn-out (included in income from operations as a separate line item)</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(16,247)</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Transfer of Mediverse earn-out liability into Level 2</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Contingent earn-out liability,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5,491 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Change in fair value of contingent earn-out (included in income from operations as a separate line item)</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(5,399)</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Contingent earn-out liability,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6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Primarily relates to the change in fair value of our Smiths Medical earn-out.</w:t>
      </w:r>
    </w:p>
    <w:p>
      <w:pPr>
        <w:pStyle w:val="TextBody"/>
        <w:bidi w:val="0"/>
        <w:spacing w:lineRule="auto" w:line="288" w:before="0" w:after="0"/>
        <w:ind w:left="0" w:right="0" w:hanging="360"/>
        <w:jc w:val="left"/>
        <w:rPr/>
      </w:pPr>
      <w:r>
        <w:rPr>
          <w:rFonts w:ascii="Times New Roman;serif" w:hAnsi="Times New Roman;serif"/>
          <w:b w:val="false"/>
          <w:color w:val="000000"/>
          <w:sz w:val="13"/>
        </w:rPr>
        <w:t>(2)    </w:t>
      </w:r>
      <w:r>
        <w:rPr>
          <w:rFonts w:ascii="Times New Roman;serif" w:hAnsi="Times New Roman;serif"/>
          <w:b w:val="false"/>
          <w:color w:val="000000"/>
          <w:sz w:val="20"/>
        </w:rPr>
        <w:t>Primarily relates to the reclassification to accrued liabilities of a holdback liability not subject to unobservable inputs when determining the fair market value.</w:t>
      </w:r>
    </w:p>
    <w:p>
      <w:pPr>
        <w:pStyle w:val="TextBody"/>
        <w:bidi w:val="0"/>
        <w:spacing w:lineRule="auto" w:line="288" w:before="0" w:after="0"/>
        <w:ind w:left="0" w:right="0" w:hanging="360"/>
        <w:jc w:val="left"/>
        <w:rPr/>
      </w:pPr>
      <w:r>
        <w:rPr>
          <w:rFonts w:ascii="Times New Roman;serif" w:hAnsi="Times New Roman;serif"/>
          <w:b w:val="false"/>
          <w:color w:val="000000"/>
          <w:sz w:val="13"/>
        </w:rPr>
        <w:t>(3)    </w:t>
      </w:r>
      <w:r>
        <w:rPr>
          <w:rFonts w:ascii="Times New Roman;serif" w:hAnsi="Times New Roman;serif"/>
          <w:b w:val="false"/>
          <w:color w:val="000000"/>
          <w:sz w:val="20"/>
        </w:rPr>
        <w:t>The Mediverse earn-out was transferred out of Level 3 and into Level 2 in the fourth quarter of 2023 when the amount of the actual payment was known, and subsequently settled during first quarter of 2024.</w:t>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color w:val="000000"/>
        </w:rPr>
        <w:t>    </w:t>
      </w:r>
      <w:r>
        <w:rPr>
          <w:rFonts w:ascii="Times New Roman;serif" w:hAnsi="Times New Roman;serif"/>
          <w:b w:val="false"/>
          <w:color w:val="000000"/>
          <w:sz w:val="20"/>
        </w:rPr>
        <w:t>Relates to the change in fair value of our Smiths Medical earn-out and the earn-out with one of our small foreign infusion systems suppliers, both of which were written down to zero as of December 31, 2024.</w:t>
      </w:r>
    </w:p>
    <w:p>
      <w:pPr>
        <w:pStyle w:val="TextBody"/>
        <w:bidi w:val="0"/>
        <w:spacing w:lineRule="auto" w:line="288" w:before="0" w:after="0"/>
        <w:jc w:val="left"/>
        <w:rPr>
          <w:color w:val="000000"/>
        </w:rPr>
      </w:pPr>
      <w:r>
        <w:rPr>
          <w:color w:val="000000"/>
        </w:rPr>
        <w:t>    </w:t>
      </w:r>
    </w:p>
    <w:p>
      <w:pPr>
        <w:pStyle w:val="TextBody"/>
        <w:bidi w:val="0"/>
        <w:spacing w:lineRule="auto" w:line="288" w:before="100" w:after="283"/>
        <w:jc w:val="left"/>
        <w:rPr/>
      </w:pPr>
      <w:r>
        <w:rPr>
          <w:rFonts w:ascii="Times New Roman;serif" w:hAnsi="Times New Roman;serif"/>
          <w:b w:val="false"/>
          <w:i/>
          <w:color w:val="000000"/>
          <w:sz w:val="20"/>
        </w:rPr>
        <w:t>Investments, Foreign Currency Contracts and Interest Rate Contracts</w:t>
      </w:r>
      <w:r>
        <w:rPr>
          <w:color w:val="000000"/>
        </w:rPr>
        <w: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investments historically consist of corporate, government bonds and U.S. treasury securities. The fair value of our corporate and government bonds are estimated using observable market-based inputs such as quoted prices, interest rates and yield curves or Level 2 inputs. The fair value of our U.S. treasury securities are based on quoted market prices in active markets and are included in the Level 1 fair value hierarchy.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our Level 2 forward currency contracts is estimated using observable market inputs such as known notional value amounts, spot and forward exchange rates. These inputs relate to liquid, heavily traded currencies with active markets which are available for the full term of the derivative.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our Level 2 interest rate swaps is estimated using a pricing model that reflects the terms of the contracts, including the period to maturity, and relies on observable market inputs such as known notional value amounts and USD interest rate curves.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than the Mediverse earn-out liability described above, there were no transfers between levels in 2024 or 2023.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assets and liabilities measured at fair value on a recurring basis consisted of the following (Level 1, 2 and 3 inputs as defined above)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tbl>
      <w:tblPr>
        <w:tblW w:w="9322" w:type="dxa"/>
        <w:jc w:val="center"/>
        <w:tblInd w:w="0" w:type="dxa"/>
        <w:tblLayout w:type="fixed"/>
        <w:tblCellMar>
          <w:top w:w="28" w:type="dxa"/>
          <w:left w:w="28" w:type="dxa"/>
          <w:bottom w:w="28" w:type="dxa"/>
          <w:right w:w="28" w:type="dxa"/>
        </w:tblCellMar>
      </w:tblPr>
      <w:tblGrid>
        <w:gridCol w:w="1245"/>
        <w:gridCol w:w="1099"/>
        <w:gridCol w:w="1106"/>
        <w:gridCol w:w="270"/>
        <w:gridCol w:w="790"/>
        <w:gridCol w:w="141"/>
        <w:gridCol w:w="109"/>
        <w:gridCol w:w="109"/>
        <w:gridCol w:w="109"/>
        <w:gridCol w:w="344"/>
        <w:gridCol w:w="662"/>
        <w:gridCol w:w="179"/>
        <w:gridCol w:w="109"/>
        <w:gridCol w:w="109"/>
        <w:gridCol w:w="109"/>
        <w:gridCol w:w="276"/>
        <w:gridCol w:w="809"/>
        <w:gridCol w:w="145"/>
        <w:gridCol w:w="109"/>
        <w:gridCol w:w="109"/>
        <w:gridCol w:w="109"/>
        <w:gridCol w:w="348"/>
        <w:gridCol w:w="671"/>
        <w:gridCol w:w="256"/>
      </w:tblGrid>
      <w:tr>
        <w:trPr/>
        <w:tc>
          <w:tcPr>
            <w:tcW w:w="124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measurements as of December 31, 2025</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Quoted prices</w:t>
              <w:br/>
              <w:t>in active</w:t>
              <w:br/>
              <w:t>markets for</w:t>
              <w:br/>
              <w:t>identical</w:t>
              <w:br/>
              <w:t>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w:t>
              <w:br/>
              <w:t>other</w:t>
              <w:br/>
              <w:t>observable</w:t>
              <w:br/>
              <w:t>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w:t>
              <w:br/>
              <w:t>unobservable</w:t>
              <w:br/>
              <w:t>inputs (level 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9322" w:type="dxa"/>
        <w:jc w:val="center"/>
        <w:tblInd w:w="0" w:type="dxa"/>
        <w:tblLayout w:type="fixed"/>
        <w:tblCellMar>
          <w:top w:w="28" w:type="dxa"/>
          <w:left w:w="28" w:type="dxa"/>
          <w:bottom w:w="28" w:type="dxa"/>
          <w:right w:w="28" w:type="dxa"/>
        </w:tblCellMar>
      </w:tblPr>
      <w:tblGrid>
        <w:gridCol w:w="1245"/>
        <w:gridCol w:w="1099"/>
        <w:gridCol w:w="1106"/>
        <w:gridCol w:w="243"/>
        <w:gridCol w:w="831"/>
        <w:gridCol w:w="127"/>
        <w:gridCol w:w="109"/>
        <w:gridCol w:w="109"/>
        <w:gridCol w:w="109"/>
        <w:gridCol w:w="344"/>
        <w:gridCol w:w="662"/>
        <w:gridCol w:w="179"/>
        <w:gridCol w:w="109"/>
        <w:gridCol w:w="109"/>
        <w:gridCol w:w="109"/>
        <w:gridCol w:w="249"/>
        <w:gridCol w:w="852"/>
        <w:gridCol w:w="129"/>
        <w:gridCol w:w="109"/>
        <w:gridCol w:w="109"/>
        <w:gridCol w:w="109"/>
        <w:gridCol w:w="348"/>
        <w:gridCol w:w="671"/>
        <w:gridCol w:w="256"/>
      </w:tblGrid>
      <w:tr>
        <w:trPr/>
        <w:tc>
          <w:tcPr>
            <w:tcW w:w="124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measurements as of December 31, 2024</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Quoted prices</w:t>
              <w:br/>
              <w:t>in active</w:t>
              <w:br/>
              <w:t>markets for</w:t>
              <w:br/>
              <w:t>identical</w:t>
              <w:br/>
              <w:t>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w:t>
              <w:br/>
              <w:t>other</w:t>
              <w:br/>
              <w:t>observable</w:t>
              <w:br/>
              <w:t>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w:t>
              <w:br/>
              <w:t>unobservable</w:t>
              <w:br/>
              <w:t>inputs (level 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10. PREPAID EXPENSES AND OTHER CURRENT ASSETS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 the following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tbl>
      <w:tblPr>
        <w:tblW w:w="5769" w:type="dxa"/>
        <w:jc w:val="left"/>
        <w:tblInd w:w="0" w:type="dxa"/>
        <w:tblLayout w:type="fixed"/>
        <w:tblCellMar>
          <w:top w:w="28" w:type="dxa"/>
          <w:left w:w="28" w:type="dxa"/>
          <w:bottom w:w="28" w:type="dxa"/>
          <w:right w:w="28" w:type="dxa"/>
        </w:tblCellMar>
      </w:tblPr>
      <w:tblGrid>
        <w:gridCol w:w="1200"/>
        <w:gridCol w:w="1056"/>
        <w:gridCol w:w="1059"/>
        <w:gridCol w:w="211"/>
        <w:gridCol w:w="721"/>
        <w:gridCol w:w="109"/>
        <w:gridCol w:w="109"/>
        <w:gridCol w:w="109"/>
        <w:gridCol w:w="109"/>
        <w:gridCol w:w="211"/>
        <w:gridCol w:w="721"/>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 and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 and property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*See Note 8: Derivatives and Hedging Activities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NOTE 11. ACCRUED LIABILITIES</w:t>
      </w:r>
    </w:p>
    <w:p>
      <w:pPr>
        <w:pStyle w:val="TextBody"/>
        <w:bidi w:val="0"/>
        <w:spacing w:before="60" w:after="283"/>
        <w:ind w:left="0" w:right="0" w:firstLine="720"/>
        <w:jc w:val="left"/>
        <w:rPr/>
      </w:pPr>
      <w:r>
        <w:rPr/>
      </w:r>
    </w:p>
    <w:p>
      <w:pPr>
        <w:pStyle w:val="TextBody"/>
        <w:bidi w:val="0"/>
        <w:spacing w:lineRule="auto" w:line="288" w:before="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liabilities consist of the following (in thousands):</w:t>
      </w:r>
    </w:p>
    <w:tbl>
      <w:tblPr>
        <w:tblW w:w="6485" w:type="dxa"/>
        <w:jc w:val="left"/>
        <w:tblInd w:w="0" w:type="dxa"/>
        <w:tblLayout w:type="fixed"/>
        <w:tblCellMar>
          <w:top w:w="28" w:type="dxa"/>
          <w:left w:w="28" w:type="dxa"/>
          <w:bottom w:w="28" w:type="dxa"/>
          <w:right w:w="28" w:type="dxa"/>
        </w:tblCellMar>
      </w:tblPr>
      <w:tblGrid>
        <w:gridCol w:w="1263"/>
        <w:gridCol w:w="1113"/>
        <w:gridCol w:w="1118"/>
        <w:gridCol w:w="109"/>
        <w:gridCol w:w="109"/>
        <w:gridCol w:w="109"/>
        <w:gridCol w:w="211"/>
        <w:gridCol w:w="826"/>
        <w:gridCol w:w="109"/>
        <w:gridCol w:w="109"/>
        <w:gridCol w:w="109"/>
        <w:gridCol w:w="109"/>
        <w:gridCol w:w="211"/>
        <w:gridCol w:w="826"/>
        <w:gridCol w:w="154"/>
      </w:tblGrid>
      <w:tr>
        <w:trPr/>
        <w:tc>
          <w:tcPr>
            <w:tcW w:w="126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Italy medical device payback provision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Field service corrective action</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100" w:after="60"/>
        <w:ind w:left="0" w:right="0" w:hanging="360"/>
        <w:jc w:val="left"/>
        <w:rPr/>
      </w:pPr>
      <w:r>
        <w:rPr>
          <w:rFonts w:ascii="Times New Roman;serif" w:hAnsi="Times New Roman;serif"/>
          <w:b w:val="false"/>
          <w:color w:val="000000"/>
          <w:sz w:val="12"/>
        </w:rPr>
        <w:t>(1)     </w:t>
      </w:r>
      <w:r>
        <w:rPr>
          <w:rFonts w:ascii="Times New Roman;serif" w:hAnsi="Times New Roman;serif"/>
          <w:b w:val="false"/>
          <w:color w:val="000000"/>
          <w:sz w:val="18"/>
        </w:rPr>
        <w:t>Related to potential payments associated with the Italy Medical Device Payback ("IMDP") as a result of 2015 legislation enacted requiring medical device companies to make payments to the Italian government based on regional expenditure ceilings (see Note 15: Commitments and Contingencies for further details).</w:t>
      </w:r>
    </w:p>
    <w:p>
      <w:pPr>
        <w:pStyle w:val="TextBody"/>
        <w:bidi w:val="0"/>
        <w:spacing w:lineRule="auto" w:line="288" w:before="100" w:after="283"/>
        <w:ind w:left="0" w:right="0" w:hanging="360"/>
        <w:jc w:val="left"/>
        <w:rPr/>
      </w:pPr>
      <w:r>
        <w:rPr>
          <w:rFonts w:ascii="Times New Roman;serif" w:hAnsi="Times New Roman;serif"/>
          <w:b w:val="false"/>
          <w:color w:val="000000"/>
          <w:sz w:val="12"/>
        </w:rPr>
        <w:t>(2)     </w:t>
      </w:r>
      <w:r>
        <w:rPr>
          <w:rFonts w:ascii="Times New Roman;serif" w:hAnsi="Times New Roman;serif"/>
          <w:b w:val="false"/>
          <w:color w:val="000000"/>
          <w:sz w:val="18"/>
        </w:rPr>
        <w:t>Primarily includes field corrective actions associated with certain products in connection with a 2021 Warning Letter (as defined below) received by Smiths Medical from the FDA following an inspection of Smiths Medical's Oakdale, Minnesota Facility (see Note 15: Commitments and Contingencies for further details).</w:t>
      </w:r>
    </w:p>
    <w:p>
      <w:pPr>
        <w:pStyle w:val="TextBody"/>
        <w:bidi w:val="0"/>
        <w:spacing w:before="0" w:after="0"/>
        <w:ind w:left="0" w:right="0" w:hanging="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LONG-TERM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Amended Credit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31, 2025 (the "Closing Date"), ICU Medical, Inc., as Borrower, entered into Amendment No. 2 to the Existing Credit Agreement (the "Amendment") with Wells Fargo Bank and certain other financial institutions (the “Lenders”) to refinance the existing Term Loan A and the existing Revolving Credit Facility under the Credit Agreement dated as of January 6, 2022 (as amended by Amendment No. 1, dated as of October 5, 2022, the "Existing Credit Agreement," and as further amended by the Amendment, the "Amended Credit Agreement").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Amendment includes new credit facilities (the "New Credit Facilities") that consists of a $750.0 million senior secured Term Loan A and a new $500.0 million revolving credit facility. The proceeds from the New Term Loan A were primarily used by the borrower to (i) directly repay the $559.7 million outstanding principal amount of the existing Term Loan A in full (the "Refinancing") under the Existing Credit Agreement, and (ii) directly repay $190.0 million of the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of the Term Loan B under the Existing Credit Agreement. These direct payoffs have been excluded from the proceeds from and payments on long-term debt within the consolidated cash flows.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refinancing was evaluated on a lender-by-lender basis to determine the appropriate accounting treatment. For those lenders who did not participate in the New Credit Facilities, we accounted for that portion of the refinancing as an extinguishment of debt. For those lenders who participated in both the Existing Credit Facilities and the New Credit Facilities ("Continuing Lenders"), we determined that the terms were not substantially different, accordingly, this portion of the refinancing was accounted for as a debt modification, whereby existing unamortized debt discount and issuance costs remained on the balance sheet and new debt discount/issuance costs were capitalized. The following table summarizes the accounting treatment applied to the various costs, distinguishing between fees paid to lenders and those paid to third parties based on modification or extinguishment status:</w:t>
      </w:r>
    </w:p>
    <w:p>
      <w:pPr>
        <w:pStyle w:val="TextBody"/>
        <w:bidi w:val="0"/>
        <w:spacing w:before="0" w:after="0"/>
        <w:ind w:left="0" w:right="0" w:firstLine="720"/>
        <w:jc w:val="left"/>
        <w:rPr/>
      </w:pPr>
      <w:r>
        <w:rPr/>
      </w:r>
    </w:p>
    <w:tbl>
      <w:tblPr>
        <w:tblW w:w="8708" w:type="dxa"/>
        <w:jc w:val="left"/>
        <w:tblInd w:w="0" w:type="dxa"/>
        <w:tblLayout w:type="fixed"/>
        <w:tblCellMar>
          <w:top w:w="28" w:type="dxa"/>
          <w:left w:w="28" w:type="dxa"/>
          <w:bottom w:w="28" w:type="dxa"/>
          <w:right w:w="28" w:type="dxa"/>
        </w:tblCellMar>
      </w:tblPr>
      <w:tblGrid>
        <w:gridCol w:w="1108"/>
        <w:gridCol w:w="975"/>
        <w:gridCol w:w="991"/>
        <w:gridCol w:w="482"/>
        <w:gridCol w:w="1411"/>
        <w:gridCol w:w="251"/>
        <w:gridCol w:w="109"/>
        <w:gridCol w:w="109"/>
        <w:gridCol w:w="109"/>
        <w:gridCol w:w="220"/>
        <w:gridCol w:w="642"/>
        <w:gridCol w:w="114"/>
        <w:gridCol w:w="109"/>
        <w:gridCol w:w="109"/>
        <w:gridCol w:w="109"/>
        <w:gridCol w:w="399"/>
        <w:gridCol w:w="1167"/>
        <w:gridCol w:w="294"/>
      </w:tblGrid>
      <w:tr>
        <w:trPr/>
        <w:tc>
          <w:tcPr>
            <w:tcW w:w="110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Extinguishment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Capitalize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Remains capitalized</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Loan</w:t>
            </w:r>
          </w:p>
        </w:tc>
        <w:tc>
          <w:tcPr>
            <w:tcW w:w="21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Original unamortized debt discount</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Original unamortized debt costs</w:t>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lender fees</w:t>
            </w:r>
          </w:p>
        </w:tc>
        <w:tc>
          <w:tcPr>
            <w:tcW w:w="2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debt issuance costs - third party</w:t>
            </w:r>
          </w:p>
        </w:tc>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Revolver</w:t>
            </w:r>
          </w:p>
        </w:tc>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Original unamortized debt discount</w:t>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Original unamortized debt costs</w:t>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lender fees</w:t>
            </w:r>
          </w:p>
        </w:tc>
        <w:tc>
          <w:tcPr>
            <w:tcW w:w="2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debt issuance costs - third party</w:t>
            </w:r>
          </w:p>
        </w:tc>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9,399 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 unamortized balances are reflected as a direct deduction from the face amount of the corresponding term loans on the consolidated balance sheets. These costs are being amortized to interest expense over the respective terms of the loans using the effective interest method. The Revolving Credit Facility unamortized balances are included in prepaid expenses and other current assets on our consolidated balance sheets. These costs are being amortized to interest expense over the term of the Revolving Credit Facility using the straight-line method.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penalties paid as a result of the early termination.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Maturity Dates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final maturity date of the New Credit Facilities is October 31, 2030, subject to a springing maturity provision under which the New Credit Facilities will mature 91 days after the scheduled maturity of the New Credit Facilities at that time. Pursuant to the terms and conditions of the Credit Agreement, the maturity dates of the Term Loans and the Revolving Credit Facility may be extended upon our request, subject to the consent of the Lenders.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Interest Rate Terms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interest rates and fees under the New Credit Facilities are primarily the same as those under the existing credit facility under the Existing Credit Agreement, except that the New Credit Facilities do not include a credit spread adjustment and include an additional pricing tier applicable when the Company's leverage ratio is below 1.75x.</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general, the Term Loans and borrowings under the Revolving Credit Facility denominated in U.S. dollars bear interest, at our option, on either: (1) the Base Rate, as defined below, plus the applicable margin, as indicated below ("Base Rate Loans") or (2) the Adjusted Term Secured Overnight Financing Rate ("Adjusted Term SOFR"), as defined below, plus the applicable margin, as indicated below ("Term SOFR Loans").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Base Rate is defined as the highest of (a) the Prime Rate, (b) the Federal Funds Rate plus 0.50% and (c) Adjusted Term SOFR (as defined below) for a one-month period plus, in each case, 1.00%.</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Term SOFR is the rate per annum equal to (a) the Term SOFR plus (b) the Term SOFR Adjustment. Term SOFR is the forward-looking term rate based on SOFR and is calculated separately for Term SOFR Loans and Base Rate Loans, as specified in the Credit Agreement. The Term SOFR Adjustment is a percentage per annum of 0.10% for Base Rate Loans and between 0.10% to 0.25% for Term SOFR Loans based on the applicable interest period.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Revolving Credit Facility Commitment Fees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proceeds from any future borrowings under the Revolving Credit Facility may be used for working capital and other general corporate purposes. The Revolving Credit Facility has a per annum commitment fee determined by reference to the leverage ratio in effect from time to time as set forth in the table below.</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Applicable Interest Margins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Loan A and borrowings under the Revolving Credit Facility have an initial applicable margin of 0.75% per annum for Base Rate Loans and 1.75% per annum for Term SOFR Loans.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applicable Interest Margins and the Commitment Fee with respect to the New Revolving Credit Facility and the New Term Loan A Facility is determined by reference to the leverage ratio in effect from time to time as set forth in the table below:</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052"/>
        <w:gridCol w:w="924"/>
        <w:gridCol w:w="930"/>
        <w:gridCol w:w="1142"/>
        <w:gridCol w:w="1142"/>
        <w:gridCol w:w="1145"/>
        <w:gridCol w:w="740"/>
        <w:gridCol w:w="740"/>
        <w:gridCol w:w="742"/>
        <w:gridCol w:w="481"/>
        <w:gridCol w:w="481"/>
        <w:gridCol w:w="686"/>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Leverage Ratio</w:t>
            </w:r>
          </w:p>
        </w:tc>
        <w:tc>
          <w:tcPr>
            <w:tcW w:w="3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Applicable Margin for Eurocurrency Rate Loans and RFR Loans</w:t>
            </w:r>
          </w:p>
        </w:tc>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Applicable Margin for Base Rate Loans</w:t>
            </w:r>
          </w:p>
        </w:tc>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Commitment Fee Rate</w:t>
            </w:r>
          </w:p>
        </w:tc>
      </w:tr>
      <w:tr>
        <w:trPr/>
        <w:tc>
          <w:tcPr>
            <w:tcW w:w="2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4.00 to 1.0</w:t>
            </w:r>
          </w:p>
        </w:tc>
        <w:tc>
          <w:tcPr>
            <w:tcW w:w="3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w:t>
            </w:r>
          </w:p>
        </w:tc>
        <w:tc>
          <w:tcPr>
            <w:tcW w:w="2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16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0.35%</w:t>
            </w:r>
          </w:p>
        </w:tc>
      </w:tr>
      <w:tr>
        <w:trPr/>
        <w:tc>
          <w:tcPr>
            <w:tcW w:w="2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4.00 to 1.0 but greater than 3.00 to 1.0</w:t>
            </w:r>
          </w:p>
        </w:tc>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0.30%</w:t>
            </w:r>
          </w:p>
        </w:tc>
      </w:tr>
      <w:tr>
        <w:trPr/>
        <w:tc>
          <w:tcPr>
            <w:tcW w:w="2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3.00 to 1.0 but greater than 2.50 to 1.0</w:t>
            </w:r>
          </w:p>
        </w:tc>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0.75%</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w:t>
            </w:r>
          </w:p>
        </w:tc>
      </w:tr>
      <w:tr>
        <w:trPr/>
        <w:tc>
          <w:tcPr>
            <w:tcW w:w="2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2.50 to 1.0 but greater than 2.00 to 1.0</w:t>
            </w:r>
          </w:p>
        </w:tc>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0.20%</w:t>
            </w:r>
          </w:p>
        </w:tc>
      </w:tr>
      <w:tr>
        <w:trPr/>
        <w:tc>
          <w:tcPr>
            <w:tcW w:w="2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2.00 to 1.0 but greater than 1.75 to 1.0</w:t>
            </w:r>
          </w:p>
        </w:tc>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0.15%</w:t>
            </w:r>
          </w:p>
        </w:tc>
      </w:tr>
      <w:tr>
        <w:trPr/>
        <w:tc>
          <w:tcPr>
            <w:tcW w:w="2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1.75 to 1.0</w:t>
            </w:r>
          </w:p>
        </w:tc>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0.10%</w:t>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applicable margin for the Term Loan B is determined by reference to the leverage ratio in effect from time to time as set forth in the following table: </w:t>
      </w:r>
    </w:p>
    <w:tbl>
      <w:tblPr>
        <w:tblW w:w="9194" w:type="dxa"/>
        <w:jc w:val="left"/>
        <w:tblInd w:w="0" w:type="dxa"/>
        <w:tblLayout w:type="fixed"/>
        <w:tblCellMar>
          <w:top w:w="28" w:type="dxa"/>
          <w:left w:w="28" w:type="dxa"/>
          <w:bottom w:w="28" w:type="dxa"/>
          <w:right w:w="28" w:type="dxa"/>
        </w:tblCellMar>
      </w:tblPr>
      <w:tblGrid>
        <w:gridCol w:w="733"/>
        <w:gridCol w:w="644"/>
        <w:gridCol w:w="648"/>
        <w:gridCol w:w="1219"/>
        <w:gridCol w:w="1219"/>
        <w:gridCol w:w="1222"/>
        <w:gridCol w:w="1027"/>
        <w:gridCol w:w="1027"/>
        <w:gridCol w:w="1455"/>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Leverage Ratio</w:t>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Applicable Margin for Term SOFR Loans</w:t>
            </w:r>
          </w:p>
        </w:tc>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Applicable Margin for Base Rate Loans</w:t>
            </w:r>
          </w:p>
        </w:tc>
      </w:tr>
      <w:tr>
        <w:trPr/>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2.75 to 1.0</w:t>
            </w:r>
          </w:p>
        </w:tc>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c>
          <w:tcPr>
            <w:tcW w:w="3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2.75 to 1.0</w:t>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w:t>
            </w:r>
          </w:p>
        </w:tc>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Principal Payments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Principal payments on the Term Loans are due on the last day of each calendar quarter.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 A amortizes in nineteen consecutive quarterly installments, each equal to 0.625% of the original principal amount in each of the first two years, 1.25% in each of the third and fourth years and 1.875% in the fifth year, with a final payment of the remaining outstanding principal balance due on the maturity date.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Loan B matures in twenty-seven consecutive quarterly installments, each equal to 0.25% of the original principal amount, with a final payment of the remaining outstanding principal balance due on the maturity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borrow, prepay and re-borrow amounts under the Revolving Credit Facility, in accordance with the terms and conditions of the Credit Agreement, with all outstanding amounts due at maturity.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and 2024, total principal payments on the Term Loans were $302.8 million and $51.0 million, respectively. During the first, third and fourth quarter of 2025, we made a prepayment of $35.0 million, $25.0 million and $30.0 million, respectively, on Term Loan B. During the second quarter of 2025, we made a prepayment of $200 million on Term Loan A, which was paid with the proceeds from the sale of our IV Solutions business, see Note 3: Assets Held For Sale and Disposal of Business.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Interest Payments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payments on Base Rate Loans are payable quarterly in arrears on the last business day of each calendar quarter and the applicable maturity date. Interest periods on Term SOFR Loans are determined, at our option, as either one, three or six months and will be payable on the last day of each interest period and the applicable maturity date. In the case of any interest periods of more than three months' duration, the interest payment are payable on each day prior to the last day of such interest period that occurs at three-month intervals.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commitment fee on the Revolving Credit Facility is payable quarterly in arrears on the third business day following the last day of each calendar quarter and at the maturity date. The commitment fee is included in interest expense in our consolidated statements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Guarantors and Collateral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obligations under the Credit Agreement are unconditionally guaranteed, on a joint and several basis, by ICU Medical, Inc. and certain of our existing subsidiaries.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Debt Covenants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contains affirmative and negative covenants, including certain financial covenants. The negative covenants include restrictions regarding the incurrence of liens and indebtedness, certain merger and acquisition transactions, asset sales and other dispositions, other investments, dividends, share purchases and payments affecting subsidiaries, changes in nature of business, fiscal year or organizational documents, prepayments and redemptions of subordinated and other junior debt, transactions with affiliates, and other matters.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New Credit Facilities are subject to certain financial covenants, which include (i) a new Maximum Secured Net Leverage Ratio of 4.50 to 1.00, tested at the end of each quarter, with a step-down to 4.00 to 1.00 starting with the quarter ending June 30, 2027; provided that in the event the Borrower or its restricted subsidiaries consummate a material acquisition, the Borrower may elect (on no more than one occasion) to cause the Secured Net Leverage Ratio financial covenant level set forth above to be increased by 0.50x for each of the four fiscal quarters ending immediately after the consummation of such material acquisition, and (ii) a Minimum Interest Coverage Ratio of 3.00 to 1.00, which remains unchanged from the Existing Credit Agreement.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were in compliance with all financial covenants as of December 31,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customary events of default, including, among others: non-payments of principal and interest; breach of representations and warranties; covenant defaults; cross-defaults and cross-acceleration to certain other material indebtedness; the existence of bankruptcy or insolvency proceedings; certain events under ERISA; material judgments; and a change of control. If an event of default occurs and is not cured within any applicable grace period or is not waived, the administrative agent and the Lenders are entitled to take various actions, including, without limitation, the acceleration of all amounts due and the termination of commitments under the New Credit Facilities.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Prior Credit Facilities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Before the Refinancing, our Existing Credit Facility included (i) a five-year Tranche A term loan of $850.0 million (the "Term Loan A"), (ii) a seven-year Tranche B term loan of $850.0 million (the "Term Loan B") and (iii) a five-year revolving credit facility of $500.0 million (the "Revolving Credit Facility"), with separate sub-limits of $50.0 million for letters of credit and swingline loans. Whereas the Term Loan A and the Revolving Credit Facility were refinanced by the Amendment, the Term Loan B continues to be governed by the original terms of the Existing Credit Agreement. The maturity date for the Term Loan B is January 6, 2029. Pursuant to the terms and conditions of the Existing Credit Agreement, the maturity date of the Term Loan B may be extended upon our request, subject to the consent of the Lenders.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carrying values of our long-term debt consist of the following (in thousands):</w:t>
      </w:r>
    </w:p>
    <w:tbl>
      <w:tblPr>
        <w:tblW w:w="10205" w:type="dxa"/>
        <w:jc w:val="left"/>
        <w:tblInd w:w="0" w:type="dxa"/>
        <w:tblLayout w:type="fixed"/>
        <w:tblCellMar>
          <w:top w:w="28" w:type="dxa"/>
          <w:left w:w="28" w:type="dxa"/>
          <w:bottom w:w="28" w:type="dxa"/>
          <w:right w:w="28" w:type="dxa"/>
        </w:tblCellMar>
      </w:tblPr>
      <w:tblGrid>
        <w:gridCol w:w="1050"/>
        <w:gridCol w:w="871"/>
        <w:gridCol w:w="874"/>
        <w:gridCol w:w="453"/>
        <w:gridCol w:w="410"/>
        <w:gridCol w:w="1029"/>
        <w:gridCol w:w="109"/>
        <w:gridCol w:w="109"/>
        <w:gridCol w:w="109"/>
        <w:gridCol w:w="211"/>
        <w:gridCol w:w="976"/>
        <w:gridCol w:w="109"/>
        <w:gridCol w:w="109"/>
        <w:gridCol w:w="109"/>
        <w:gridCol w:w="109"/>
        <w:gridCol w:w="211"/>
        <w:gridCol w:w="976"/>
        <w:gridCol w:w="109"/>
        <w:gridCol w:w="109"/>
        <w:gridCol w:w="109"/>
        <w:gridCol w:w="109"/>
        <w:gridCol w:w="431"/>
        <w:gridCol w:w="385"/>
        <w:gridCol w:w="1129"/>
      </w:tblGrid>
      <w:tr>
        <w:trPr/>
        <w:tc>
          <w:tcPr>
            <w:tcW w:w="105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2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 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 Effective Interest Rate</w:t>
            </w:r>
          </w:p>
        </w:tc>
      </w:tr>
      <w:tr>
        <w:trPr/>
        <w:tc>
          <w:tcPr>
            <w:tcW w:w="2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Senior Secured Credit Facilities:</w:t>
            </w:r>
          </w:p>
        </w:tc>
        <w:tc>
          <w:tcPr>
            <w:tcW w:w="1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Credit Facilities:</w:t>
            </w:r>
          </w:p>
        </w:tc>
        <w:tc>
          <w:tcPr>
            <w:tcW w:w="1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Term Loan A — principal</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Revolving Credit Facility — principal</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Credit Facilities:</w:t>
            </w:r>
          </w:p>
        </w:tc>
        <w:tc>
          <w:tcPr>
            <w:tcW w:w="1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Term Loan A — principal</w:t>
            </w:r>
          </w:p>
        </w:tc>
        <w:tc>
          <w:tcPr>
            <w:tcW w:w="1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Term Loan B — principal</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Revolving Credit Facility — principal</w:t>
            </w:r>
          </w:p>
        </w:tc>
        <w:tc>
          <w:tcPr>
            <w:tcW w:w="1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unamortized debt issuance costs</w:t>
            </w:r>
            <w:r>
              <w:rPr>
                <w:rFonts w:ascii="Times New Roman;serif" w:hAnsi="Times New Roman;serif"/>
                <w:b w:val="false"/>
                <w:color w:val="000000"/>
                <w:sz w:val="13"/>
              </w:rPr>
              <w:t>(1)</w:t>
            </w:r>
          </w:p>
        </w:tc>
        <w:tc>
          <w:tcPr>
            <w:tcW w:w="1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carrying value of long-term debt</w:t>
            </w:r>
          </w:p>
        </w:tc>
        <w:tc>
          <w:tcPr>
            <w:tcW w:w="1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1,265,917 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1,531,858 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    </w:t>
      </w:r>
      <w:r>
        <w:rPr>
          <w:rFonts w:ascii="Times New Roman;serif" w:hAnsi="Times New Roman;serif"/>
          <w:b w:val="false"/>
          <w:color w:val="000000"/>
          <w:sz w:val="18"/>
        </w:rPr>
        <w:t xml:space="preserve">In </w:t>
      </w:r>
      <w:r>
        <w:rPr>
          <w:rFonts w:ascii="Times New Roman;serif" w:hAnsi="Times New Roman;serif"/>
          <w:b w:val="false"/>
          <w:color w:val="000000"/>
          <w:sz w:val="20"/>
        </w:rPr>
        <w:t>2025</w:t>
      </w:r>
      <w:r>
        <w:rPr>
          <w:rFonts w:ascii="Times New Roman;serif" w:hAnsi="Times New Roman;serif"/>
          <w:b w:val="false"/>
          <w:color w:val="000000"/>
          <w:sz w:val="18"/>
        </w:rPr>
        <w:t>, c</w:t>
      </w:r>
      <w:r>
        <w:rPr>
          <w:rFonts w:ascii="Times New Roman;serif" w:hAnsi="Times New Roman;serif"/>
          <w:b w:val="false"/>
          <w:color w:val="000000"/>
          <w:sz w:val="20"/>
        </w:rPr>
        <w:t>omprised of $5.3 million and $4.5 million relating to the Term Loan A and the Term Loan B, respectively. In 2024, comprised of $6.1 million and $8.0 million relating to the Term Loan A and the Term Loan B,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aggregate amount of principal repayments of our long-term debt (including any current portion) for each of the next five years is approximately (in thousands):</w:t>
      </w:r>
    </w:p>
    <w:p>
      <w:pPr>
        <w:pStyle w:val="TextBody"/>
        <w:bidi w:val="0"/>
        <w:spacing w:before="0" w:after="0"/>
        <w:jc w:val="left"/>
        <w:rPr/>
      </w:pPr>
      <w:r>
        <w:rPr/>
      </w:r>
    </w:p>
    <w:tbl>
      <w:tblPr>
        <w:tblW w:w="2614" w:type="dxa"/>
        <w:jc w:val="left"/>
        <w:tblInd w:w="0" w:type="dxa"/>
        <w:tblLayout w:type="fixed"/>
        <w:tblCellMar>
          <w:top w:w="28" w:type="dxa"/>
          <w:left w:w="28" w:type="dxa"/>
          <w:bottom w:w="28" w:type="dxa"/>
          <w:right w:w="28" w:type="dxa"/>
        </w:tblCellMar>
      </w:tblPr>
      <w:tblGrid>
        <w:gridCol w:w="342"/>
        <w:gridCol w:w="300"/>
        <w:gridCol w:w="304"/>
        <w:gridCol w:w="109"/>
        <w:gridCol w:w="109"/>
        <w:gridCol w:w="109"/>
        <w:gridCol w:w="211"/>
        <w:gridCol w:w="97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1,294,500 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total interest expense related to our long-term debt (in thousands):</w:t>
      </w:r>
    </w:p>
    <w:p>
      <w:pPr>
        <w:pStyle w:val="TextBody"/>
        <w:bidi w:val="0"/>
        <w:spacing w:before="0" w:after="0"/>
        <w:jc w:val="left"/>
        <w:rPr/>
      </w:pPr>
      <w:r>
        <w:rPr/>
      </w:r>
    </w:p>
    <w:tbl>
      <w:tblPr>
        <w:tblW w:w="7991" w:type="dxa"/>
        <w:jc w:val="left"/>
        <w:tblInd w:w="0" w:type="dxa"/>
        <w:tblLayout w:type="fixed"/>
        <w:tblCellMar>
          <w:top w:w="28" w:type="dxa"/>
          <w:left w:w="28" w:type="dxa"/>
          <w:bottom w:w="28" w:type="dxa"/>
          <w:right w:w="28" w:type="dxa"/>
        </w:tblCellMar>
      </w:tblPr>
      <w:tblGrid>
        <w:gridCol w:w="1394"/>
        <w:gridCol w:w="1227"/>
        <w:gridCol w:w="1233"/>
        <w:gridCol w:w="211"/>
        <w:gridCol w:w="826"/>
        <w:gridCol w:w="109"/>
        <w:gridCol w:w="109"/>
        <w:gridCol w:w="109"/>
        <w:gridCol w:w="109"/>
        <w:gridCol w:w="211"/>
        <w:gridCol w:w="826"/>
        <w:gridCol w:w="109"/>
        <w:gridCol w:w="109"/>
        <w:gridCol w:w="109"/>
        <w:gridCol w:w="109"/>
        <w:gridCol w:w="211"/>
        <w:gridCol w:w="826"/>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 fee — 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debt-related interest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hedge against the contractual interest expense on our long-term debt (see Note 8: Derivatives and Hedging Activities).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INCOME TAXES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taxes consisted of the following (in thousands): </w:t>
      </w:r>
    </w:p>
    <w:tbl>
      <w:tblPr>
        <w:tblW w:w="5783" w:type="dxa"/>
        <w:jc w:val="left"/>
        <w:tblInd w:w="0" w:type="dxa"/>
        <w:tblLayout w:type="fixed"/>
        <w:tblCellMar>
          <w:top w:w="28" w:type="dxa"/>
          <w:left w:w="28" w:type="dxa"/>
          <w:bottom w:w="28" w:type="dxa"/>
          <w:right w:w="28" w:type="dxa"/>
        </w:tblCellMar>
      </w:tblPr>
      <w:tblGrid>
        <w:gridCol w:w="435"/>
        <w:gridCol w:w="381"/>
        <w:gridCol w:w="383"/>
        <w:gridCol w:w="109"/>
        <w:gridCol w:w="109"/>
        <w:gridCol w:w="109"/>
        <w:gridCol w:w="211"/>
        <w:gridCol w:w="796"/>
        <w:gridCol w:w="109"/>
        <w:gridCol w:w="109"/>
        <w:gridCol w:w="109"/>
        <w:gridCol w:w="109"/>
        <w:gridCol w:w="211"/>
        <w:gridCol w:w="901"/>
        <w:gridCol w:w="109"/>
        <w:gridCol w:w="109"/>
        <w:gridCol w:w="109"/>
        <w:gridCol w:w="109"/>
        <w:gridCol w:w="211"/>
        <w:gridCol w:w="90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(78,299)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provision (benefit) for income taxes consisted of the following (in thousands):</w:t>
      </w:r>
    </w:p>
    <w:tbl>
      <w:tblPr>
        <w:tblW w:w="5169" w:type="dxa"/>
        <w:jc w:val="left"/>
        <w:tblInd w:w="0" w:type="dxa"/>
        <w:tblLayout w:type="fixed"/>
        <w:tblCellMar>
          <w:top w:w="28" w:type="dxa"/>
          <w:left w:w="28" w:type="dxa"/>
          <w:bottom w:w="28" w:type="dxa"/>
          <w:right w:w="28" w:type="dxa"/>
        </w:tblCellMar>
      </w:tblPr>
      <w:tblGrid>
        <w:gridCol w:w="325"/>
        <w:gridCol w:w="271"/>
        <w:gridCol w:w="274"/>
        <w:gridCol w:w="109"/>
        <w:gridCol w:w="109"/>
        <w:gridCol w:w="109"/>
        <w:gridCol w:w="211"/>
        <w:gridCol w:w="796"/>
        <w:gridCol w:w="109"/>
        <w:gridCol w:w="109"/>
        <w:gridCol w:w="109"/>
        <w:gridCol w:w="109"/>
        <w:gridCol w:w="211"/>
        <w:gridCol w:w="721"/>
        <w:gridCol w:w="109"/>
        <w:gridCol w:w="109"/>
        <w:gridCol w:w="109"/>
        <w:gridCol w:w="109"/>
        <w:gridCol w:w="211"/>
        <w:gridCol w:w="796"/>
        <w:gridCol w:w="154"/>
      </w:tblGrid>
      <w:tr>
        <w:trPr/>
        <w:tc>
          <w:tcPr>
            <w:tcW w:w="3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accrued for tax contingencies for potential tax assessments, and in 2025 we recognized a $1.0 million net decrease, most of which related to federal, state, and foreign tax reserves net of the release of various federal and foreign tax reserves.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During 2025, on a prospective basis, we adopted ASU No. 2023-09, </w:t>
      </w:r>
      <w:r>
        <w:rPr>
          <w:rFonts w:ascii="Times New Roman;serif" w:hAnsi="Times New Roman;serif"/>
          <w:b w:val="false"/>
          <w:i/>
          <w:color w:val="000000"/>
          <w:sz w:val="20"/>
        </w:rPr>
        <w:t>Income Taxes (Topic 740): Improvements to Income Taxes Disclosures</w:t>
      </w:r>
      <w:r>
        <w:rPr>
          <w:rFonts w:ascii="Times New Roman;serif" w:hAnsi="Times New Roman;serif"/>
          <w:b w:val="false"/>
          <w:color w:val="000000"/>
          <w:sz w:val="20"/>
        </w:rPr>
        <w:t>. The following table is a reconciliation of the provision for income taxes at the U.S. federal statutory rate of 21% to our effective tax rate for the year ended December 31, 2025 in accordance with the guidance in ASU No. 2023-09: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tbl>
      <w:tblPr>
        <w:tblW w:w="8466" w:type="dxa"/>
        <w:jc w:val="left"/>
        <w:tblInd w:w="0" w:type="dxa"/>
        <w:tblLayout w:type="fixed"/>
        <w:tblCellMar>
          <w:top w:w="28" w:type="dxa"/>
          <w:left w:w="28" w:type="dxa"/>
          <w:bottom w:w="28" w:type="dxa"/>
          <w:right w:w="28" w:type="dxa"/>
        </w:tblCellMar>
      </w:tblPr>
      <w:tblGrid>
        <w:gridCol w:w="1992"/>
        <w:gridCol w:w="1755"/>
        <w:gridCol w:w="1758"/>
        <w:gridCol w:w="109"/>
        <w:gridCol w:w="109"/>
        <w:gridCol w:w="109"/>
        <w:gridCol w:w="253"/>
        <w:gridCol w:w="740"/>
        <w:gridCol w:w="131"/>
        <w:gridCol w:w="131"/>
        <w:gridCol w:w="131"/>
        <w:gridCol w:w="131"/>
        <w:gridCol w:w="343"/>
        <w:gridCol w:w="347"/>
        <w:gridCol w:w="427"/>
      </w:tblGrid>
      <w:tr>
        <w:trPr/>
        <w:tc>
          <w:tcPr>
            <w:tcW w:w="1992"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 net of federal income 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Costa 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differences between Costa Rica and United Sates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162(m)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44"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state and local income taxes in Minnesota made up the majority (greater than 50 percent) of the tax effect in this category. </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is a reconciliation of the provision for income taxes at the U.S. federal statutory rate of 21% to our effective tax rate for the years ended December 31, 2024 and 2023 in accordance with the guidance prior to the adoption of ASU No. 2023-09: </w:t>
      </w:r>
    </w:p>
    <w:tbl>
      <w:tblPr>
        <w:tblW w:w="9773" w:type="dxa"/>
        <w:jc w:val="left"/>
        <w:tblInd w:w="0" w:type="dxa"/>
        <w:tblLayout w:type="fixed"/>
        <w:tblCellMar>
          <w:top w:w="28" w:type="dxa"/>
          <w:left w:w="28" w:type="dxa"/>
          <w:bottom w:w="28" w:type="dxa"/>
          <w:right w:w="28" w:type="dxa"/>
        </w:tblCellMar>
      </w:tblPr>
      <w:tblGrid>
        <w:gridCol w:w="1530"/>
        <w:gridCol w:w="1348"/>
        <w:gridCol w:w="1351"/>
        <w:gridCol w:w="109"/>
        <w:gridCol w:w="109"/>
        <w:gridCol w:w="109"/>
        <w:gridCol w:w="211"/>
        <w:gridCol w:w="796"/>
        <w:gridCol w:w="109"/>
        <w:gridCol w:w="109"/>
        <w:gridCol w:w="109"/>
        <w:gridCol w:w="109"/>
        <w:gridCol w:w="343"/>
        <w:gridCol w:w="347"/>
        <w:gridCol w:w="376"/>
        <w:gridCol w:w="109"/>
        <w:gridCol w:w="109"/>
        <w:gridCol w:w="109"/>
        <w:gridCol w:w="211"/>
        <w:gridCol w:w="796"/>
        <w:gridCol w:w="109"/>
        <w:gridCol w:w="109"/>
        <w:gridCol w:w="109"/>
        <w:gridCol w:w="109"/>
        <w:gridCol w:w="255"/>
        <w:gridCol w:w="256"/>
        <w:gridCol w:w="427"/>
      </w:tblGrid>
      <w:tr>
        <w:trPr/>
        <w:tc>
          <w:tcPr>
            <w:tcW w:w="153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federal income 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intangible low-taxed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income tax differential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Foreign-derived intangible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162(m)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reserve releases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provision (benefit)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Tax credits in 2024 and 2023 consist principally of research and developmental tax credits.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our deferred income tax assets (liabilities) are as follows (in thousands):</w:t>
      </w:r>
    </w:p>
    <w:tbl>
      <w:tblPr>
        <w:tblW w:w="6876" w:type="dxa"/>
        <w:jc w:val="center"/>
        <w:tblInd w:w="0" w:type="dxa"/>
        <w:tblLayout w:type="fixed"/>
        <w:tblCellMar>
          <w:top w:w="28" w:type="dxa"/>
          <w:left w:w="28" w:type="dxa"/>
          <w:bottom w:w="28" w:type="dxa"/>
          <w:right w:w="28" w:type="dxa"/>
        </w:tblCellMar>
      </w:tblPr>
      <w:tblGrid>
        <w:gridCol w:w="1410"/>
        <w:gridCol w:w="1234"/>
        <w:gridCol w:w="1241"/>
        <w:gridCol w:w="109"/>
        <w:gridCol w:w="109"/>
        <w:gridCol w:w="109"/>
        <w:gridCol w:w="211"/>
        <w:gridCol w:w="826"/>
        <w:gridCol w:w="109"/>
        <w:gridCol w:w="109"/>
        <w:gridCol w:w="109"/>
        <w:gridCol w:w="109"/>
        <w:gridCol w:w="211"/>
        <w:gridCol w:w="826"/>
        <w:gridCol w:w="154"/>
      </w:tblGrid>
      <w:tr>
        <w:trPr/>
        <w:tc>
          <w:tcPr>
            <w:tcW w:w="1410"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future tax deductions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163(j) - interest expense limitation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Chargebacks, discounts, customer concessions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630"/>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regularly assesses the realizability of deferred tax assets and records a valuation allowance to reduce the deferred tax assets to the amount that is more likely than not to be realized. In assessing the realizability of our deferred tax assets,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the Company recorded a change to the valuation allowance against certain U.S. federal and state deferred tax assets, resulting in a $8.7 million tax expense and $2.8 million foreign currency translation and derivative instrument adjustments, for the tax years ending December 31, 2025. The significant piece of objectively verifiable negative evidence evaluated was the recent U.S. cumulative losses. Our ability to use our deferred tax assets depends on the amount of taxable income in future periods.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Tax Holidays and Carryforwards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income tax net operating loss ("NOL") carryforwards related to our foreign operations of approximately $106.8 million which will expire at various dates from 2026 to indefinite carryforward periods. We have recorded a net deferred tax asset of $7.3 million, $27.7 million gross deferred tax asset net of tax reserves of $20.4 million, related to our foreign NOL carryforwards. The deferred tax assets recognized for these foreign NOLs are presented net of tax reserves. We believe that it is more likely than not that the benefit from certain foreign NOL carryforwards will not be realized. In recognition of this risk, we have provided a valuation allowance of $6.3 million on the $7.3 million net deferred tax assets related to these foreign NOL carryforwards.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Other carryforwards include state research and development (“R&amp;D”) tax credit carryforwards. We have recorded a net deferred tax asset of $21.5 million, $31.5 million gross deferred tax asset net of tax reserves of $10.0 million. We believe that it is more likely than not that the benefit from certain state R&amp;D tax credit carryforwards will not be realized. A valuation allowance of $18.1 million has been provided on the $21.5 million of state R&amp;D credit carryforwards.</w:t>
      </w:r>
      <w:r>
        <w:rPr>
          <w:color w:val="000000"/>
        </w:rPr>
        <w:t xml:space="preserve"> </w:t>
      </w:r>
      <w:r>
        <w:rPr>
          <w:rFonts w:ascii="Times New Roman;serif" w:hAnsi="Times New Roman;serif"/>
          <w:b w:val="false"/>
          <w:color w:val="000000"/>
          <w:sz w:val="20"/>
        </w:rPr>
        <w:t>The majority of the state R&amp;D credit carryforwards have an indefinite carryforward period.</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substantial portion of our manufacturing operations in Costa Rica operate under various tax holiday and tax incentive programs due to expire in whole or in part in 2029. Certain of the holidays may be extended if specific conditions are met. The net impact of these tax holiday and tax incentives was an increase to our net earnings by $12.5 million or $0.51 per diluted share in 2025 and by $11.1 million or $0.45 per diluted share in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and derivative instrument adjustments, and related tax effects, are an element of “other comprehensive income” and are not included in net income.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have estimated $349 million of undistributed foreign earnings and profits. Such earnings were previously subject to U.S. tax as a result of the Tax Act and much of any future remittances would generally be subject to no U.S. tax as a result of dividends received deductions and/or foreign tax credit relief. We intend to invest substantially all of our foreign subsidiary earnings, as well as our capital in our foreign subsidiaries, indefinitely outside of the U.S. in those jurisdictions in which we incur significant additional costs upon repatriation of such amounts.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taxation in the U.S. and various states and foreign jurisdictions. Our U.S. federal income tax returns for tax years 2022 and forward are subject to examination by the Internal Revenue Service. Our principal state income tax returns for tax years 2012 and forward are subject to examination by the state tax authorities. The total gross amount of unrecognized tax benefits as of December 31, 2025 was $71.8 million which, if recognized, would impact the effective tax rate. We believe that adequate provision has been made for any adjustments that may result from tax examinations. However, the outcome of tax examinations cannot be predicted with certainty. We recognize accrued interest and penalties related to unrecognized tax benefits as a component of income tax expense. We recognized $0.6 million of interest expense and $0.1 million of penalties in income tax benefit during 2025 and released $0.8 million of interest expense and $0.6 million of penalties in 2025. In total, we have accrued for interest and penalties of $2.4 million and $1.0 million, respectively as of December 31, 2025, and $2.6 million and $1.6 million, respectively, as of December 31, 2024.</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cumulative gross unrecognized tax benefits (in thousands): </w:t>
      </w:r>
    </w:p>
    <w:tbl>
      <w:tblPr>
        <w:tblW w:w="8378" w:type="dxa"/>
        <w:jc w:val="left"/>
        <w:tblInd w:w="0" w:type="dxa"/>
        <w:tblLayout w:type="fixed"/>
        <w:tblCellMar>
          <w:top w:w="28" w:type="dxa"/>
          <w:left w:w="28" w:type="dxa"/>
          <w:bottom w:w="28" w:type="dxa"/>
          <w:right w:w="28" w:type="dxa"/>
        </w:tblCellMar>
      </w:tblPr>
      <w:tblGrid>
        <w:gridCol w:w="1533"/>
        <w:gridCol w:w="1345"/>
        <w:gridCol w:w="1351"/>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to prior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due to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to current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to prior year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related to lapse of statute of limitations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related to settlements with tax authorities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related to exchange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2022, the European Union (EU) agreed to implement Pillar Two, the OECD’s global minimum tax rate of 15% for multinationals that meet a global revenue threshold. All of the EU countries and some of the non-EU countries in which we operate have enacted or have announced plans to enact legislation to adopt Pillar Two. The Pillar Two legislation has been effective since our fiscal year beginning January 1, 2024. For fiscal year 2025, we considered the impact of Pillar Two in our tax provision and effective tax rate. However, the Pillar Two rules continue to evolve and their application may alter our tax obligations in certain countries where we operate for fiscal periods beyond 2025 as we continue to assess the impact of tax legislation in these jurisdictions.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U.S. enacted H.R. 1 "A bill to provide for reconciliation pursuant to Title II of H. Con. Res. 14", commonly referred to as the One Big Beautiful Bill Act (“OBBBA”).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will assess its future impact on our consolidated financial statements as additional guidance becomes available as uncertainty remains regarding the timing and interpretation by tax authorities in affected jurisdictions. To the extent known, the impact is included in our tax provision and effective tax rate for the year ended December 31,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Taxes Paid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adopted ASU 2023-09 on a prospective basis for the year ended December 31, 2025 and have included the following table as a result of our adoption, which presents income taxes paid (net of refunds received) for the year ended December 31, 2025:</w:t>
      </w:r>
    </w:p>
    <w:p>
      <w:pPr>
        <w:pStyle w:val="TextBody"/>
        <w:bidi w:val="0"/>
        <w:spacing w:before="0" w:after="0"/>
        <w:jc w:val="left"/>
        <w:rPr/>
      </w:pPr>
      <w:r>
        <w:rPr/>
      </w:r>
    </w:p>
    <w:tbl>
      <w:tblPr>
        <w:tblW w:w="4570" w:type="dxa"/>
        <w:jc w:val="left"/>
        <w:tblInd w:w="0" w:type="dxa"/>
        <w:tblLayout w:type="fixed"/>
        <w:tblCellMar>
          <w:top w:w="28" w:type="dxa"/>
          <w:left w:w="28" w:type="dxa"/>
          <w:bottom w:w="28" w:type="dxa"/>
          <w:right w:w="28" w:type="dxa"/>
        </w:tblCellMar>
      </w:tblPr>
      <w:tblGrid>
        <w:gridCol w:w="513"/>
        <w:gridCol w:w="451"/>
        <w:gridCol w:w="460"/>
        <w:gridCol w:w="109"/>
        <w:gridCol w:w="109"/>
        <w:gridCol w:w="109"/>
        <w:gridCol w:w="605"/>
        <w:gridCol w:w="1769"/>
        <w:gridCol w:w="445"/>
      </w:tblGrid>
      <w:tr>
        <w:trPr/>
        <w:tc>
          <w:tcPr>
            <w:tcW w:w="51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8,949 </w:t>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28,876 </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Below is a summary of income taxes paid for the years ended December 31, 2024 and December 31, 2023:</w:t>
      </w:r>
    </w:p>
    <w:p>
      <w:pPr>
        <w:pStyle w:val="TextBody"/>
        <w:bidi w:val="0"/>
        <w:spacing w:before="0" w:after="0"/>
        <w:jc w:val="left"/>
        <w:rPr/>
      </w:pPr>
      <w:r>
        <w:rPr/>
      </w:r>
    </w:p>
    <w:tbl>
      <w:tblPr>
        <w:tblW w:w="5316" w:type="dxa"/>
        <w:jc w:val="left"/>
        <w:tblInd w:w="0" w:type="dxa"/>
        <w:tblLayout w:type="fixed"/>
        <w:tblCellMar>
          <w:top w:w="28" w:type="dxa"/>
          <w:left w:w="28" w:type="dxa"/>
          <w:bottom w:w="28" w:type="dxa"/>
          <w:right w:w="28" w:type="dxa"/>
        </w:tblCellMar>
      </w:tblPr>
      <w:tblGrid>
        <w:gridCol w:w="470"/>
        <w:gridCol w:w="413"/>
        <w:gridCol w:w="413"/>
        <w:gridCol w:w="413"/>
        <w:gridCol w:w="413"/>
        <w:gridCol w:w="413"/>
        <w:gridCol w:w="109"/>
        <w:gridCol w:w="109"/>
        <w:gridCol w:w="109"/>
        <w:gridCol w:w="211"/>
        <w:gridCol w:w="721"/>
        <w:gridCol w:w="109"/>
        <w:gridCol w:w="109"/>
        <w:gridCol w:w="109"/>
        <w:gridCol w:w="109"/>
        <w:gridCol w:w="211"/>
        <w:gridCol w:w="721"/>
        <w:gridCol w:w="154"/>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5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year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 STOCKHOLDERS'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Treasury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2019, our Board of Directors approved a common stock purchase plan to purchase up to $100.0 million of our common stock. This plan has no expiration date. We have $100.0 million remaining on this purchase plan. We did not purchase any of our common stock under our common stock purchase plan in 2024, 2023 or 2022. We are limited on share purchases in accordance with the terms and conditions of our Senior Secured Credit Facilities (see Note 12: Long-Term Obligations).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2025, we withheld 61,693 shares of our common stock from employee vested restricted stock units in consideration for $8.8 million in payments for the employees' share award income tax withholding obligations. We had 172 shares remaining in treasury at December 31,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2024, we withheld 114,787 shares of our common stock from employee vested restricted stock units in consideration for $12.0 million in payments for the employees' share award income tax withholding obligations. We had 571 shares remaining in treasury at December 31,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2023, we withheld 59,377 shares of our common stock from employee vested restricted stock units in consideration for $9.4 million in payments for the employees' share award income tax withholding obligations. We had 2,428 shares remaining in treasury at December 31,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treasury stock to issue shares for stock option exercises and restricted stock grants.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Accumulated Other Comprehensive (Loss) Income ("AOCI")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AOCI, net of tax, were as follows (in thousands):</w:t>
      </w:r>
    </w:p>
    <w:tbl>
      <w:tblPr>
        <w:tblW w:w="10205" w:type="dxa"/>
        <w:jc w:val="center"/>
        <w:tblInd w:w="0" w:type="dxa"/>
        <w:tblLayout w:type="fixed"/>
        <w:tblCellMar>
          <w:top w:w="28" w:type="dxa"/>
          <w:left w:w="28" w:type="dxa"/>
          <w:bottom w:w="28" w:type="dxa"/>
          <w:right w:w="28" w:type="dxa"/>
        </w:tblCellMar>
      </w:tblPr>
      <w:tblGrid>
        <w:gridCol w:w="1193"/>
        <w:gridCol w:w="677"/>
        <w:gridCol w:w="676"/>
        <w:gridCol w:w="109"/>
        <w:gridCol w:w="109"/>
        <w:gridCol w:w="109"/>
        <w:gridCol w:w="336"/>
        <w:gridCol w:w="1399"/>
        <w:gridCol w:w="174"/>
        <w:gridCol w:w="109"/>
        <w:gridCol w:w="109"/>
        <w:gridCol w:w="109"/>
        <w:gridCol w:w="393"/>
        <w:gridCol w:w="1344"/>
        <w:gridCol w:w="203"/>
        <w:gridCol w:w="109"/>
        <w:gridCol w:w="109"/>
        <w:gridCol w:w="109"/>
        <w:gridCol w:w="286"/>
        <w:gridCol w:w="836"/>
        <w:gridCol w:w="148"/>
        <w:gridCol w:w="109"/>
        <w:gridCol w:w="109"/>
        <w:gridCol w:w="109"/>
        <w:gridCol w:w="211"/>
        <w:gridCol w:w="860"/>
        <w:gridCol w:w="161"/>
      </w:tblGrid>
      <w:tr>
        <w:trPr/>
        <w:tc>
          <w:tcPr>
            <w:tcW w:w="119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(122,973)</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(80,978)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(18,895)</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(76,784)</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(53,081)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(70,158)</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(30,204)</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(70,158)</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(16,162)</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(86,320)</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(146,942)</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(139,401)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119,917 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119,917 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(15,206)</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104,771 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(27,025)</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(9,484)</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(34,630)</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Off Balance Sheet Arrangements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We have never incurred, nor do we expect to incur, any liability for indemnification.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Contingencies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Prior to being acquired, during 2021, Smiths Medical received a Warning Letter from the FDA following an inspection of Smiths Medical’s Oakdale, Minnesota Facility (the "2021 Warning Letter"). The 2021Warning Letter cited, among other things, failures to comply with FDA's medical device reporting requirements and failures to comply with applicable portions of the Quality System Regulation. A provision for the estimated costs related to the field service corrective actions identified as of the closing date of the acquisition was recorded on the opening acquired balance sheet of Smiths Medical. The initial estimate recorded was based on a probability-weighted estimate of the costs required to settle the obligation related to known field corrective actions. The actual costs to be incurred are dependent upon the scope of the work necessary to achieve regulatory clearance, including potential additional field corrective actions, and could differ from the original estimate. For the years ended December 31, 2025 and 2024, we recorded a net reversal to the provision of $0.7 million and a net reversal to the provision of $5.2 million, respectively, to adjust the estimated cost to complete the field corrective actions to the amounts expected to be incurred based on historical experience. As of December 31, 2025, approximately $20.4 million of the $33.0 million accrued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field service corrective action represents outstanding fulfillment costs to complete work under the 2021 Warning Letter. On February 5, 2026, the FDA notified us that the 2021 Warning Letter has been closed.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2015, legislation was enacted in Italy which requires medical device companies to make payments to the Italian government if Italy's medical device expenditures for certain years exceeded annual regional expenditure ceilings. Since its enactment, the legislation has been subject to appeals in the Italy court system. In the third quarter of 2024, Italy's Constitutional Court issued two judgments, one of which confirmed the legitimacy of the legislation on the IMDP. In September 2025, the Italian government enacted a law that allows medical device companies to settle certain historical periods (2015-2018) for 25% of the original assessed value. During the third quarter of 2025, we settled the liability related to the 2015-2018 historical periods and paid $2.5 million. Additionally, we recorded a release of $3.8 million in previously established reserves. The release is included in total revenues in our consolidated statements of operations. See Note 11: Accrued Liabilities for details on amounts accrued for potential payments related to the IMDP.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we received a warning letter from the FDA following an inspection of Smiths Medical's Oakdale, Minnesota Facility that occurred from July 23, 2024 through August 9, 2024 (the "2025 Warning letter"). The 2025 Warning Letter noted changes we made to the MedFusion™ Model 4000 Syringe Infusion Pump and CADD™ Solis VIP Ambulatory Infusion Pump that could affect the safety or effectiveness of these devices and therefore require new 510(k) clearance. We are seeking clearance for its next generation of MedFusion and updated CADD infusion pumps and submitted 510(k) applications to the FDA in July 2025. We cannot, however, give any assurances that the FDA will be satisfied with its response or its expected timing to address the matters cited in the 2025 Warning Letter. Until the matters cited in the 2025 Warning Letter are resolved to the FDA’s satisfaction, additional legal or regulatory action may be taken without further notice. As a result, the outcome and the financial impact of the 2025 Warning Letter cannot be predicted at this time. Accordingly, no loss has been recorded for the 2025 Warning Letter, and the likelihood of loss is not considered probable and reasonably estimable as of December 31, 2025.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Commitments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non-cancelable operating lease agreements where we are contractually obligated to pay certain lease payment amounts (see Note 6: Leases).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16: ACCOUNTS RECEIVABLE 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19, 2023, we entered into a revolving $150 million uncommitted receivables purchase agreement with Bank of The West ("BOW"), which was subsequently acquired by BMO in February 2023. This agreement provided for a less expensive form of capital. The discount rate applied to sold receivables equals a rate per annum equal to the sum of (i) an applicable margin, plus (ii) Term SOFR for a period equal to the discount period which is calculated with respect to the payment terms of the specific receivable. The accounts receivable sold have payment terms ranging between 30 and 60 days, and are related to customer accounts with good credit history. The transfer of the purchased accounts receivable under the agreement is intended to be an absolute and irrevocable transfer constituting a true sale as the transferred receivables have been isolated beyond the reach of the Company and our creditors, even in bankruptcy or other receivership. We do not retain effective control over the sold receivables and BMO has the right upon purchase to pledge and/or exchange the transferred assets without restrictions. The Company acts as collection agent for BMO and collection services are undertaken by our accounts receivable personnel in their normal course of business and collected funds are remitted to BMO. We do not have any continuing involvement with the sold receivables other than the collection services which does not provide us with more than a trivial benefit. The discount rate has been negotiated net of consideration for the collection services, the cost of collection is immaterial to the Company; therefore, we did not separately record any related servicing assets or liabilities related to the sold receivables.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in connection with the purchase program (in thousands):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7510" w:type="dxa"/>
        <w:jc w:val="left"/>
        <w:tblInd w:w="0" w:type="dxa"/>
        <w:tblLayout w:type="fixed"/>
        <w:tblCellMar>
          <w:top w:w="28" w:type="dxa"/>
          <w:left w:w="28" w:type="dxa"/>
          <w:bottom w:w="28" w:type="dxa"/>
          <w:right w:w="28" w:type="dxa"/>
        </w:tblCellMar>
      </w:tblPr>
      <w:tblGrid>
        <w:gridCol w:w="1635"/>
        <w:gridCol w:w="1438"/>
        <w:gridCol w:w="1442"/>
        <w:gridCol w:w="211"/>
        <w:gridCol w:w="721"/>
        <w:gridCol w:w="109"/>
        <w:gridCol w:w="109"/>
        <w:gridCol w:w="109"/>
        <w:gridCol w:w="109"/>
        <w:gridCol w:w="211"/>
        <w:gridCol w:w="826"/>
        <w:gridCol w:w="109"/>
        <w:gridCol w:w="109"/>
        <w:gridCol w:w="109"/>
        <w:gridCol w:w="109"/>
        <w:gridCol w:w="154"/>
      </w:tblGrid>
      <w:tr>
        <w:trPr/>
        <w:tc>
          <w:tcPr>
            <w:tcW w:w="1635"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481" w:type="dxa"/>
            <w:gridSpan w:val="4"/>
            <w:tcBorders/>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Trade receivables sold</w:t>
            </w:r>
            <w:r>
              <w:rPr>
                <w:rFonts w:ascii="Times New Roman;serif" w:hAnsi="Times New Roman;serif"/>
                <w:b w:val="false"/>
                <w:color w:val="000000"/>
                <w:sz w:val="12"/>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received in exchange for trade receivables sold</w:t>
            </w:r>
            <w:r>
              <w:rPr>
                <w:rFonts w:ascii="Times New Roman;serif" w:hAnsi="Times New Roman;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sale of receivables</w:t>
            </w:r>
            <w:r>
              <w:rPr>
                <w:rFonts w:ascii="Times New Roman;serif" w:hAnsi="Times New Roman;serif"/>
                <w:b w:val="false"/>
                <w:color w:val="000000"/>
                <w:sz w:val="12"/>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    </w:t>
      </w:r>
      <w:r>
        <w:rPr>
          <w:rFonts w:ascii="Times New Roman;serif" w:hAnsi="Times New Roman;serif"/>
          <w:b w:val="false"/>
          <w:color w:val="000000"/>
          <w:sz w:val="20"/>
        </w:rPr>
        <w:t>Represents carrying value of trade receivables sold to BMO.</w:t>
      </w:r>
    </w:p>
    <w:p>
      <w:pPr>
        <w:pStyle w:val="TextBody"/>
        <w:bidi w:val="0"/>
        <w:spacing w:lineRule="auto" w:line="288" w:before="0" w:after="0"/>
        <w:ind w:left="0" w:right="0" w:hanging="360"/>
        <w:jc w:val="left"/>
        <w:rPr/>
      </w:pPr>
      <w:r>
        <w:rPr>
          <w:rFonts w:ascii="Times New Roman;serif" w:hAnsi="Times New Roman;serif"/>
          <w:b w:val="false"/>
          <w:color w:val="000000"/>
          <w:sz w:val="12"/>
        </w:rPr>
        <w:t>(2)    </w:t>
      </w:r>
      <w:r>
        <w:rPr>
          <w:rFonts w:ascii="Times New Roman;serif" w:hAnsi="Times New Roman;serif"/>
          <w:b w:val="false"/>
          <w:color w:val="000000"/>
          <w:sz w:val="20"/>
        </w:rPr>
        <w:t>Cash proceeds received from BMO.</w:t>
      </w:r>
    </w:p>
    <w:p>
      <w:pPr>
        <w:pStyle w:val="TextBody"/>
        <w:bidi w:val="0"/>
        <w:spacing w:lineRule="auto" w:line="288" w:before="0" w:after="0"/>
        <w:ind w:left="0" w:right="0" w:hanging="360"/>
        <w:jc w:val="left"/>
        <w:rPr/>
      </w:pPr>
      <w:r>
        <w:rPr>
          <w:rFonts w:ascii="Times New Roman;serif" w:hAnsi="Times New Roman;serif"/>
          <w:b w:val="false"/>
          <w:color w:val="000000"/>
          <w:sz w:val="12"/>
        </w:rPr>
        <w:t>(3)    </w:t>
      </w:r>
      <w:r>
        <w:rPr>
          <w:rFonts w:ascii="Times New Roman;serif" w:hAnsi="Times New Roman;serif"/>
          <w:b w:val="false"/>
          <w:color w:val="000000"/>
          <w:sz w:val="20"/>
        </w:rPr>
        <w:t>Reflected in other expense, net in our consolidated statement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there were no outstanding balances to be collected on behalf of BMO.</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Limitations on Effectiveness of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Evaluation of Disclosure Controls and Procedures</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ind w:left="0" w:right="0" w:firstLine="720"/>
        <w:jc w:val="left"/>
        <w:rPr/>
      </w:pPr>
      <w:r>
        <w:rPr>
          <w:rFonts w:ascii="Times New Roman;serif" w:hAnsi="Times New Roman;serif"/>
          <w:b w:val="false"/>
          <w:color w:val="000000"/>
          <w:sz w:val="20"/>
        </w:rPr>
        <w:t>Our management, with the participation of our principal executive officer and principal financial officer, has evaluated the effectiveness of our disclosure controls and procedures (as such term is defined in Rules 13a-15(e) and 15(d)-15(e) under the Securities Exchange Act of 1934) as of the end of the period covered by this Report. Disclosure controls and procedures are designed to ensure that the information required to be disclosed in the reports that we file or submit under the Exchange Act is recorded, processed, summarized and reported within the time periods specified in the rules and forms of the Securities Exchange Commission, and that such information is accumulated and communicated to our management, including our principal executive officer and principal financial officer, as appropriate to allow timely decisions regarding required disclosure. B</w:t>
      </w:r>
      <w:r>
        <w:rPr>
          <w:rFonts w:ascii="Times New Roman;serif" w:hAnsi="Times New Roman;serif"/>
          <w:b w:val="false"/>
          <w:color w:val="000000"/>
          <w:sz w:val="20"/>
          <w:shd w:fill="FFFFFF" w:val="clear"/>
        </w:rPr>
        <w:t xml:space="preserve">ased upon that evaluation, our principal executive officer and our principal financial officer concluded that, as of December 31, 2025, </w:t>
      </w:r>
      <w:r>
        <w:rPr>
          <w:rFonts w:ascii="Times New Roman;serif" w:hAnsi="Times New Roman;serif"/>
          <w:b w:val="false"/>
          <w:color w:val="000000"/>
          <w:sz w:val="20"/>
        </w:rPr>
        <w:t>our disclosure controls and procedures were effective at the reasonable assurance level.</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that occurred during our most recent fiscal quarter that has materially affected or is reasonably likely to materially affect our internal control over financial reporting.</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Management’s Annual Report on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of the Company is responsible for establishing and maintaining adequate internal control over financial reporting.</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Management has used the criteria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Committee of Sponsoring Organizations of the Treadway Commission to evaluate the effectiveness of its internal control over financial reporting.</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this criteria, management of the Company has concluded that the Company has maintained effective internal control over its financial reporting as of December 31,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that audited the December 31, 2025 financial statements included in this Annual Report on Form 10-K has independently assessed the effectiveness of our internal control over financial reporting and its report can be found in Part II, Item 8. Financial Statements and Supplementary Data of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(a)None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(b)During the three months ended December 31, 2025, none of the Company's directors or "officers" (as defined in Rule 16a-1(f) of the Exchange Act) adopted, modified, or terminated a "Rule 10b5-1 trading arrangement" intended to satisfy the affirmative defense of Rule 10b5-1(c) or a “non-Rule 10b5-1 trading arrangement,” each as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The following table lists the names, ages, certain positions and offices held by our executive officers and directors as of January 31, 2026:</w:t>
      </w:r>
    </w:p>
    <w:tbl>
      <w:tblPr>
        <w:tblW w:w="7335" w:type="dxa"/>
        <w:jc w:val="center"/>
        <w:tblInd w:w="0" w:type="dxa"/>
        <w:tblLayout w:type="fixed"/>
        <w:tblCellMar>
          <w:top w:w="28" w:type="dxa"/>
          <w:left w:w="28" w:type="dxa"/>
          <w:bottom w:w="28" w:type="dxa"/>
          <w:right w:w="28" w:type="dxa"/>
        </w:tblCellMar>
      </w:tblPr>
      <w:tblGrid>
        <w:gridCol w:w="684"/>
        <w:gridCol w:w="602"/>
        <w:gridCol w:w="604"/>
        <w:gridCol w:w="145"/>
        <w:gridCol w:w="145"/>
        <w:gridCol w:w="146"/>
        <w:gridCol w:w="1462"/>
        <w:gridCol w:w="1462"/>
        <w:gridCol w:w="2085"/>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Age</w:t>
            </w:r>
          </w:p>
        </w:tc>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Office Held</w:t>
            </w:r>
          </w:p>
        </w:tc>
      </w:tr>
      <w:tr>
        <w:trPr/>
        <w:tc>
          <w:tcPr>
            <w:tcW w:w="1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Vivek Jain</w:t>
            </w:r>
          </w:p>
        </w:tc>
        <w:tc>
          <w:tcPr>
            <w:tcW w:w="4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5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("CEO") and Chairman of the Board</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Bonnell</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("CFO") and Treasurer</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 Voigtlander</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Officer ("COO")</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Woolson</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 Sanzone</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Vice President, General Counsel ("CVP, GC")</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David C. Greenberg</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Elisha Finney</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David Hoffmeister</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Donald Abbey</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Laurie Hernandez</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Kolleen T. Kennedy</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Vivek Jain</w:t>
      </w:r>
      <w:r>
        <w:rPr>
          <w:color w:val="000000"/>
        </w:rPr>
        <w:t xml:space="preserve"> </w:t>
      </w:r>
      <w:r>
        <w:rPr>
          <w:rFonts w:ascii="Times New Roman;serif" w:hAnsi="Times New Roman;serif"/>
          <w:b w:val="false"/>
          <w:color w:val="000000"/>
          <w:sz w:val="20"/>
        </w:rPr>
        <w:t>joined the Company in February 2014 as Chairman of the Board and Chief Executive Officer. Mr. Jain served as CareFusion Corporation's ("CareFusion") President of Procedural Solutions from 2011 to February 2014. Mr. Jain served as President, Medical Technologies and Services of CareFusion from 2009 until 2011. Mr. Jain served as the Executive Vice-President-Strategy and Corporate Development of Cardinal Health from 2007 until 2009. Mr. Jain served as Senior Vice President, Business Development and M&amp;A for the Philips Medical Systems business of Koninklijke Philips Electronics N.V., an electronics company from 2006 to August 2007. Mr. Jain served as an investment banker at J.P. Morgan Securities, Inc., an investment banking firm, from 1994 to 2006. Mr. Jain's last position with J.P. Morgan was as Co-Head of Global Healthcare Investment Banking from 2002 to 2006.</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Brian Bonnell </w:t>
      </w:r>
      <w:r>
        <w:rPr>
          <w:rFonts w:ascii="Times New Roman;serif" w:hAnsi="Times New Roman;serif"/>
          <w:b w:val="false"/>
          <w:color w:val="000000"/>
          <w:sz w:val="20"/>
        </w:rPr>
        <w:t>has served as our Chief Financial Officer and Treasurer since March 3, 2020. From May 2018 until March 2020, Mr. Bonnell served as the Company’s Corporate Vice President, Finance. Prior to joining the Company, Mr. Bonnell served as Treasurer and Head of Financial Planning and Analysis at Alere Inc. from May 2015 until December 2017. Prior to May 2015, Mr. Bonnell held various roles at CareFusion Corporation in Finance and last served as Senior Vice President, Tax and</w:t>
      </w:r>
      <w:r>
        <w:rPr>
          <w:color w:val="000000"/>
        </w:rPr>
        <w:t xml:space="preserve"> </w:t>
      </w:r>
      <w:r>
        <w:rPr>
          <w:rFonts w:ascii="Times New Roman;serif" w:hAnsi="Times New Roman;serif"/>
          <w:b w:val="false"/>
          <w:color w:val="000000"/>
          <w:sz w:val="20"/>
        </w:rPr>
        <w:t>Treasurer.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Christian Voigtlander</w:t>
      </w:r>
      <w:r>
        <w:rPr>
          <w:color w:val="000000"/>
        </w:rPr>
        <w:t xml:space="preserve"> </w:t>
      </w:r>
      <w:r>
        <w:rPr>
          <w:rFonts w:ascii="Times New Roman;serif" w:hAnsi="Times New Roman;serif"/>
          <w:b w:val="false"/>
          <w:color w:val="000000"/>
          <w:sz w:val="20"/>
        </w:rPr>
        <w:t xml:space="preserve">has served as our Chief Operating Officer since January 2018. From February 2017 to January 2018, Mr. Voigtlander served as the Company’s Corporate Vice President, Business Development and General Manager, Infusion Solutions. From June 2015 to February 2017, Mr. Voigtlander served as the Company’s Vice President, Business Development. Prior to May 2015, Mr. Voigtlander held various roles at CareFusion and last served as Senior Vice President, Business Development and Strategy.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Daniel Woolson </w:t>
      </w:r>
      <w:r>
        <w:rPr>
          <w:rFonts w:ascii="Times New Roman;serif" w:hAnsi="Times New Roman;serif"/>
          <w:b w:val="false"/>
          <w:color w:val="000000"/>
          <w:sz w:val="20"/>
        </w:rPr>
        <w:t xml:space="preserve">has served as our President since October 2024. Prior to becoming President, Mr. Woolson served as our Corporate Vice President, General Manager - Infusion Systems from January 2017 to October 2024. Mr. Woolson served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President, Respiratory Solutions for Becton Dickinson from March 2015 to November 2016. Prior to March 2015, Mr. Woolson held various roles at CareFusion and last served as Vice President/General Manager, Specialty Disposables.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Virginia Sanzone</w:t>
      </w:r>
      <w:r>
        <w:rPr>
          <w:color w:val="000000"/>
        </w:rPr>
        <w:t xml:space="preserve"> </w:t>
      </w:r>
      <w:r>
        <w:rPr>
          <w:rFonts w:ascii="Times New Roman;serif" w:hAnsi="Times New Roman;serif"/>
          <w:b w:val="false"/>
          <w:color w:val="000000"/>
          <w:sz w:val="20"/>
        </w:rPr>
        <w:t>has served as our Corporate Vice President, General Counsel and Secretary since January 2018.  Ms. Sanzone also serves as our Compliance Officer.  Ms. Sanzone served as the Company’s Vice President, General Counsel from August of 2015 to January 2018. Prior to August of 2015, Ms. Sanzone held various roles at CareFusion and last served as Senior Vice President, Associate General Counsel - Business Segments &amp; Americas.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David C. Greenberg</w:t>
      </w:r>
      <w:r>
        <w:rPr>
          <w:color w:val="000000"/>
        </w:rPr>
        <w:t xml:space="preserve"> </w:t>
      </w:r>
      <w:r>
        <w:rPr>
          <w:rFonts w:ascii="Times New Roman;serif" w:hAnsi="Times New Roman;serif"/>
          <w:b w:val="false"/>
          <w:color w:val="000000"/>
          <w:sz w:val="20"/>
        </w:rPr>
        <w:t>has been a director since 2015, serves as Lead Independent Director and Chair of the Compensation Committee and is a member of the Audit Committee. Mr. Greenberg is currently serving as Chief Executive Officer of HomeThrive, Inc. Mr. Greenberg joined HomeThrive, Inc. in October 2018. Mr. Greenberg was Executive Vice President, Strategy of Medline Industries, Inc. (“Medline”) from June 2008 to October 2018. Medline is a privately held manufacturer and distributor of medical supplies uniquely positioned to provide products, education and support across the continuum of care. In that capacity, Mr. Greenberg was a member of Medline’s Executive Board and advised top leadership/ownership on all aspects of the business. Mr. Greenberg was responsible for Strategy, Business Development and M&amp;A. Additionally, Mr. Greenberg was a Group President and had responsibility for Medline’s distribution business and several manufacturing and marketing divisions. Mr. Greenberg has served on the board of directors for Amendia, Inc., a spinal implant company. Previously, Mr. Greenberg spent thirteen years in a variety of leadership positions within Aon Corporation, including Chief Financial Officer of its Aon Global subsidiary. Currently Mr. Greenberg serves on the board of directors of HomeThrive, Inc. since October 2018, Canadian Hospital Specialties, a privately held medical device manufacturer and specialty distributor, since April 2021 and Finnitiv Health (formerly Access &amp; Integrated Practice Holdings, LLC), a comprehensive variable access medical services platform, since 2023. The Board believes Mr. Greenberg should serve as a director due to his extensive knowledge and experience in the medical industry, demonstrated executive leadership in business and insight into financial matters.</w:t>
      </w:r>
    </w:p>
    <w:p>
      <w:pPr>
        <w:pStyle w:val="TextBody"/>
        <w:bidi w:val="0"/>
        <w:spacing w:before="0" w:after="0"/>
        <w:jc w:val="both"/>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Elisha W. Finney</w:t>
      </w:r>
      <w:r>
        <w:rPr>
          <w:color w:val="000000"/>
        </w:rPr>
        <w:t xml:space="preserve"> </w:t>
      </w:r>
      <w:r>
        <w:rPr>
          <w:rFonts w:ascii="Times New Roman;serif" w:hAnsi="Times New Roman;serif"/>
          <w:b w:val="false"/>
          <w:color w:val="000000"/>
          <w:sz w:val="20"/>
        </w:rPr>
        <w:t>has been a director since January 2016, and serves as Chair of the Nominating and Governance Committee and is a member of the Audit Committee. Ms. Finney, now retired, was named Vice President, Finance and CFO of Varian Medical Systems in April 1999. In January 2005, she was promoted to Senior Vice President and given additional management responsibility for the Corporate Information Systems group. She was named Executive Vice President in February 2012. Varian Medical Systems is a leading manufacturer of medical devices and software for treating cancer and other medical conditions with radiotherapy, radiosurgery, proton therapy and brachytherapy. Ms. Finney managed a worldwide staff of 400. Her management responsibilities included corporate accounting; corporate communications and investor relations; internal financial and compliance audit; risk management; tax and treasury, and corporate information systems. Ms. Finney joined Varian as risk manager in 1988 and has assumed a wide variety of finance functions over her last 29 years with the company. Prior to joining Varian, Ms. Finney was with the Fox Group in Foster City, CA, and Beatrice Foods, a major food processing company, in Chicago, IL. Ms. Finney has served on the boards of: Mettler Toledo, a multinational manufacturer of scales and analytical instruments, since November 2017; and Viatris, a global pharmaceutical and healthcare corporation, since December 2022. Ms. Finney previously served on the boards of directors of: Nanostring Technologies from May 2017 to June 2024; Laserscope from August 2005 until July 2006 when Laserscope was sold to American Medical Systems; Thoratec, a developer, manufacturer and marketer of proprietary medical devices for mechanical circulatory support from July 2007 to May 2013; Altera Corporation, a manufacturer of programmable logic devices from September 2011 until December 2015, when Altera was sold to Intel; Cutera, Inc. a global provider of laser and other energy-based aesthetic systems, from November 2017 to May 2019; and iRobot Corporation, a robotics technology company, from January 2017 to November 2021. The Board believes Ms. Finney should serve as a director due to her extensive knowledge and experience in the medical industry and her financial knowledge and experience, particularly with respect to her service on the Audit Committee.</w:t>
      </w:r>
    </w:p>
    <w:p>
      <w:pPr>
        <w:pStyle w:val="TextBody"/>
        <w:bidi w:val="0"/>
        <w:spacing w:before="0" w:after="0"/>
        <w:jc w:val="both"/>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David F. Hoffmeister</w:t>
      </w:r>
      <w:r>
        <w:rPr>
          <w:color w:val="000000"/>
        </w:rPr>
        <w:t xml:space="preserve"> </w:t>
      </w:r>
      <w:r>
        <w:rPr>
          <w:rFonts w:ascii="Times New Roman;serif" w:hAnsi="Times New Roman;serif"/>
          <w:b w:val="false"/>
          <w:color w:val="000000"/>
          <w:sz w:val="20"/>
        </w:rPr>
        <w:t>has been director since January 2018 and serves as Chair of the Audit Committee and a member of the Compensation Committee. Mr. Hoffmeister served as Senior Vice President and Chief Financial Officer of Life Technologies Corp. from 2004 to 2014. Prior to joining Life Technologies, Mr. Hoffmeister was a senior partner with McKinsey &amp; Co., focusing on health care, private equity and chemicals industries. Before joining McKinsey, Mr. Hoffmeister held financial positions at GTE Corp. and W.R. Grace and Co. Mr. Hoffmeister currently serves on the boards of Kaiser Foundation Health Plan, Inc. and Kaiser Foundation Hospitals and has since November of 2014. Mr. Hoffmeister currently serves on the Board of Directors of Glaukos Corp. and has since 2014; Celanese Corp., since 2005; and Stepstone Group, Inc. since 2020. Mr. Hoffmeister received a bachelor’s of science degree from University of Minnesota and a M.B.A. from University of Chicago. The Board believes Mr. Hoffmeister should serve as a director due to his strong finance background and extensive experience as a chief financial officer of a global biotechnology company.</w:t>
      </w:r>
    </w:p>
    <w:p>
      <w:pPr>
        <w:pStyle w:val="TextBody"/>
        <w:bidi w:val="0"/>
        <w:spacing w:before="0" w:after="0"/>
        <w:jc w:val="both"/>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Donald M. Abbey</w:t>
      </w:r>
      <w:r>
        <w:rPr>
          <w:color w:val="000000"/>
        </w:rPr>
        <w:t xml:space="preserve"> </w:t>
      </w:r>
      <w:r>
        <w:rPr>
          <w:rFonts w:ascii="Times New Roman;serif" w:hAnsi="Times New Roman;serif"/>
          <w:b w:val="false"/>
          <w:color w:val="000000"/>
          <w:sz w:val="20"/>
        </w:rPr>
        <w:t xml:space="preserve">has been a director since January 2018 and is a member of the Nominating Governance Committee and the Compensation Committee. Mr. Abbey is currently serving as Executive Vice President, Global Business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Regulatory, Medical and Clinical Affairs at Dexcom, Inc. (“Dexcom”). Mr. Abbey joined Dexcom in May of 2016. Prior to joining Dexcom, Mr. Abbey was with Becton Dickinson (who acquired CareFusion Corporation in 2015 and which was spun out of Cardinal Health in 2009 (collectively, “BD”) from 2007. Mr. Abbey served in many roles over his years at BD including most recently as the Senior Vice President, Quality and Regulatory. Prior to his time at BD, Mr. Abbey held senior quality and regulatory affairs and general management positions with Respironics, Welch Allyn and Philips Healthcare. Mr. Abbey began his career at Varian Medical and Boston Scientific holding positions with increasing responsibility in research and development and quality. Mr. Abbey received a B.S.E.E from Washington State University and a M.B.A from University of Washington. The Board believes Mr. Abbey should serve as a director due to his extensive knowledge and experience in the medical industry and particularly, his knowledge of compliance and regulatory requirements.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Laurie Hernandez</w:t>
      </w:r>
      <w:r>
        <w:rPr>
          <w:color w:val="000000"/>
        </w:rPr>
        <w:t xml:space="preserve"> </w:t>
      </w:r>
      <w:r>
        <w:rPr>
          <w:rFonts w:ascii="Times New Roman;serif" w:hAnsi="Times New Roman;serif"/>
          <w:b w:val="false"/>
          <w:color w:val="000000"/>
          <w:sz w:val="20"/>
        </w:rPr>
        <w:t xml:space="preserve">has been a director since July 2021 and is a member of the Nominating and Governance Committee. Ms. Hernandez is a retired healthcare executive with over 25 years of strategic healthcare experience. Ms. Hernandez joined Baxter Healthcare Corporation (“Baxter”) in November of 2007 and has assumed a wide variety of strategic positions over her 10 years with that company. Prior to joining Baxter, Ms. Hernandez was with Hospira Inc. in Lake Forest, Illinois. Ms. Hernandez previously served on the boards of Sinai Health System in Chicago, Illinois and Lambs Farm in Libertyville, Illinois. The Board believes Ms. Hernandez should serve as a director due to her extensive experience in the medical industry. </w:t>
      </w:r>
    </w:p>
    <w:p>
      <w:pPr>
        <w:pStyle w:val="TextBody"/>
        <w:bidi w:val="0"/>
        <w:spacing w:before="0" w:after="0"/>
        <w:jc w:val="both"/>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Kolleen T. Kennedy</w:t>
      </w:r>
      <w:r>
        <w:rPr>
          <w:color w:val="000000"/>
        </w:rPr>
        <w:t xml:space="preserve"> </w:t>
      </w:r>
      <w:r>
        <w:rPr>
          <w:rFonts w:ascii="Times New Roman;serif" w:hAnsi="Times New Roman;serif"/>
          <w:b w:val="false"/>
          <w:color w:val="000000"/>
          <w:sz w:val="20"/>
        </w:rPr>
        <w:t xml:space="preserve">has been a director since December 2021 and is a member of the Nominating and Governance Committee. Ms. Kennedy retired as President, Proton Solutions &amp; Chief Growth Officer at Varian Medical Systems (“Varian”) in December 2021. Ms. Kennedy joined Varian in 1997 as Marketing Manager for radiation therapy delivery systems, and assumed other strategic roles over 24 years including Executive Vice President of Varian Oncology Systems, the market leading radiation therapy business division with nearly 7,000 employees worldwide. Prior to joining Varian, Ms. Kennedy was with Siemens Medical Systems and Radiation Oncology Computer Systems in oncology product sales and marketing. Ms. Kennedy received BS degrees in Radiation Oncology and Psychology from Wayne State University as well as an MS degree in Medical Physics from the University of Colorado. Ms. Kennedy currently serves on the boards of IPG Photonics since 2023, Wayne State University Foundation since 2018, and Partsol since 2025, and served on the boards of the City Cancer Challenge Foundation from 2018 to 2022, and Radiation Oncology Institute from 2018 to 2021. The Board believes Ms. Kennedy should serve as a director due to her relevant knowledge and history in the medical industry.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Corporate Governance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 Code of Business Conduct and Ethics applicable to all our directors, officers, and other employees, including our principal executive officer, principal financial officer, principal accounting officer or controller, or persons performing similar functions. A copy is available on our website, www.icumed.com in the "Investors" section. We intend to satisfy the disclosure requirement under Item 5.05 of Form 8-K regarding any future amendments to, or waiver from, a provision of our Code of Business Conduct and Ethics, as well as Nasdaq's requirement to disclose waivers with respect to directors and executive officers, by posting such information on our website at the address and location specified above.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Additional information as required by this Item 10 of Form 10-K will be set forth under the captions </w:t>
      </w:r>
      <w:r>
        <w:rPr>
          <w:rFonts w:ascii="Times New Roman;serif" w:hAnsi="Times New Roman;serif"/>
          <w:b w:val="false"/>
          <w:i/>
          <w:color w:val="000000"/>
          <w:sz w:val="20"/>
        </w:rPr>
        <w:t>Executive Officers, Election of Directors</w:t>
      </w:r>
      <w:r>
        <w:rPr>
          <w:rFonts w:ascii="Times New Roman;serif" w:hAnsi="Times New Roman;serif"/>
          <w:b w:val="false"/>
          <w:color w:val="000000"/>
          <w:sz w:val="20"/>
        </w:rPr>
        <w:t xml:space="preserve">, </w:t>
      </w:r>
      <w:r>
        <w:rPr>
          <w:rFonts w:ascii="Times New Roman;serif" w:hAnsi="Times New Roman;serif"/>
          <w:b w:val="false"/>
          <w:i/>
          <w:color w:val="000000"/>
          <w:sz w:val="20"/>
        </w:rPr>
        <w:t>Audit Committee</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Compliance with Section 16(a) Beneficial Ownership Reporting Compliance</w:t>
      </w:r>
      <w:r>
        <w:rPr>
          <w:color w:val="000000"/>
        </w:rPr>
        <w:t xml:space="preserve"> </w:t>
      </w:r>
      <w:r>
        <w:rPr>
          <w:rFonts w:ascii="Times New Roman;serif" w:hAnsi="Times New Roman;serif"/>
          <w:b w:val="false"/>
          <w:color w:val="000000"/>
          <w:sz w:val="20"/>
        </w:rPr>
        <w:t xml:space="preserve">in our definitive Proxy Statement to be filed in connection with our 2026 Annual Meeting of Stockholders, and such information is incorporated herein by reference.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adopted an insider trading policy governing the purchase, sale and other dispositions of our securities that applies to all personnel of ICU Medical, Inc. and its subsidiaries, including directors, officers and employees. We also follow procedures for the repurchase of our securities. We believe that our insider trading policy and repurchase procedures are reasonably designed to promote compliance with insider trading laws, rules and regulations, as well as applicable listing standards. A copy of our insider trading policy is filed as Exhibit 19.1 to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information required by this Item 11 of Form 10-K will be set forth under the caption </w:t>
      </w:r>
      <w:r>
        <w:rPr>
          <w:rFonts w:ascii="Times New Roman;serif" w:hAnsi="Times New Roman;serif"/>
          <w:b w:val="false"/>
          <w:i/>
          <w:color w:val="000000"/>
          <w:sz w:val="20"/>
        </w:rPr>
        <w:t>Executive Officer and Director Compensation</w:t>
      </w:r>
      <w:r>
        <w:rPr>
          <w:rFonts w:ascii="Times New Roman;serif" w:hAnsi="Times New Roman;serif"/>
          <w:b w:val="false"/>
          <w:color w:val="000000"/>
          <w:sz w:val="20"/>
        </w:rPr>
        <w:t xml:space="preserve">, </w:t>
      </w:r>
      <w:r>
        <w:rPr>
          <w:rFonts w:ascii="Times New Roman;serif" w:hAnsi="Times New Roman;serif"/>
          <w:b w:val="false"/>
          <w:i/>
          <w:color w:val="000000"/>
          <w:sz w:val="20"/>
        </w:rPr>
        <w:t>Compensation Committee</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Compensation Committee Interlocks and Insider Participation</w:t>
      </w:r>
      <w:r>
        <w:rPr>
          <w:color w:val="000000"/>
        </w:rPr>
        <w:t xml:space="preserve"> </w:t>
      </w:r>
      <w:r>
        <w:rPr>
          <w:rFonts w:ascii="Times New Roman;serif" w:hAnsi="Times New Roman;serif"/>
          <w:b w:val="false"/>
          <w:color w:val="000000"/>
          <w:sz w:val="20"/>
        </w:rPr>
        <w:t>in our definitive Proxy Statement to be filed in connection with our 2026 Annual Meeting of Stockholders, and such information is incorporated herein by reference.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information required by this Item 12 of Form 10-K will be set forth under the caption </w:t>
      </w:r>
      <w:r>
        <w:rPr>
          <w:rFonts w:ascii="Times New Roman;serif" w:hAnsi="Times New Roman;serif"/>
          <w:b w:val="false"/>
          <w:i/>
          <w:color w:val="000000"/>
          <w:sz w:val="20"/>
        </w:rPr>
        <w:t>Security Ownership of Certain Beneficial Owners and Management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Equity Compensation Plan Information </w:t>
      </w:r>
      <w:r>
        <w:rPr>
          <w:rFonts w:ascii="Times New Roman;serif" w:hAnsi="Times New Roman;serif"/>
          <w:b w:val="false"/>
          <w:color w:val="000000"/>
          <w:sz w:val="20"/>
        </w:rPr>
        <w:t>in our definitive Proxy Statement to be filed in connection with our 2026 Annual Meeting of Stockholders, and such information is incorporated herein by reference.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information required by this Item 13 of Form 10-K will be set forth under the caption </w:t>
      </w:r>
      <w:r>
        <w:rPr>
          <w:rFonts w:ascii="Times New Roman;serif" w:hAnsi="Times New Roman;serif"/>
          <w:b w:val="false"/>
          <w:i/>
          <w:color w:val="000000"/>
          <w:sz w:val="20"/>
        </w:rPr>
        <w:t>Transactions with Related Persons</w:t>
      </w:r>
      <w:r>
        <w:rPr>
          <w:rFonts w:ascii="Times New Roman;serif" w:hAnsi="Times New Roman;serif"/>
          <w:b w:val="false"/>
          <w:color w:val="000000"/>
          <w:sz w:val="20"/>
        </w:rPr>
        <w:t xml:space="preserve">, </w:t>
      </w:r>
      <w:r>
        <w:rPr>
          <w:rFonts w:ascii="Times New Roman;serif" w:hAnsi="Times New Roman;serif"/>
          <w:b w:val="false"/>
          <w:i/>
          <w:color w:val="000000"/>
          <w:sz w:val="20"/>
        </w:rPr>
        <w:t>Policies and Procedures Regarding Transactions with Related Persons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Corporate Governance-Director Independence</w:t>
      </w:r>
      <w:r>
        <w:rPr>
          <w:color w:val="000000"/>
        </w:rPr>
        <w:t xml:space="preserve"> </w:t>
      </w:r>
      <w:r>
        <w:rPr>
          <w:rFonts w:ascii="Times New Roman;serif" w:hAnsi="Times New Roman;serif"/>
          <w:b w:val="false"/>
          <w:color w:val="000000"/>
          <w:sz w:val="20"/>
        </w:rPr>
        <w:t>in our definitive Proxy Statement to be filed in connection with our 2026 Annual Meeting of Stockholders, and such information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information about aggregate fees billed to us by our principal accountant, Deloitte &amp; Touche LLP (PCAOB No. 34) as required by this Item 14 of Form 10-K will be set forth under the caption </w:t>
      </w:r>
      <w:r>
        <w:rPr>
          <w:rFonts w:ascii="Times New Roman;serif" w:hAnsi="Times New Roman;serif"/>
          <w:b w:val="false"/>
          <w:i/>
          <w:color w:val="000000"/>
          <w:sz w:val="20"/>
        </w:rPr>
        <w:t>Ratification of Auditors</w:t>
      </w:r>
      <w:r>
        <w:rPr>
          <w:color w:val="000000"/>
        </w:rPr>
        <w:t xml:space="preserve"> </w:t>
      </w:r>
      <w:r>
        <w:rPr>
          <w:rFonts w:ascii="Times New Roman;serif" w:hAnsi="Times New Roman;serif"/>
          <w:b w:val="false"/>
          <w:color w:val="000000"/>
          <w:sz w:val="20"/>
        </w:rPr>
        <w:t>in our definitive Proxy Statement to be filed in connection with our 2026 Annual Meeting of Stockholders, and such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763"/>
        <w:gridCol w:w="2683"/>
        <w:gridCol w:w="2692"/>
        <w:gridCol w:w="109"/>
        <w:gridCol w:w="109"/>
        <w:gridCol w:w="109"/>
        <w:gridCol w:w="406"/>
        <w:gridCol w:w="406"/>
        <w:gridCol w:w="5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 10-K Page 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documents are filed as part of this report: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8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 See Index to Consolidated Financial Statements in Part II, Item 8 of this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e1e544a67f48439c5ec9071b339bca_55">
              <w:r>
                <w:rPr>
                  <w:rStyle w:val="InternetLink"/>
                  <w:rFonts w:ascii="Times New Roman;serif" w:hAnsi="Times New Roman;serif"/>
                  <w:b w:val="false"/>
                  <w:strike w:val="false"/>
                  <w:dstrike w:val="false"/>
                  <w:color w:val="000000"/>
                  <w:sz w:val="20"/>
                  <w:u w:val="none"/>
                  <w:effect w:val="none"/>
                </w:rPr>
                <w:t>57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8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78">
              <w:r>
                <w:rPr>
                  <w:rStyle w:val="InternetLink"/>
                  <w:rFonts w:ascii="Times New Roman;serif" w:hAnsi="Times New Roman;serif"/>
                  <w:b w:val="false"/>
                  <w:strike w:val="false"/>
                  <w:dstrike w:val="false"/>
                  <w:color w:val="000000"/>
                  <w:sz w:val="20"/>
                  <w:u w:val="none"/>
                  <w:effect w:val="none"/>
                </w:rPr>
                <w:t>Exhibits</w:t>
              </w:r>
            </w:hyperlink>
            <w:r>
              <w:rPr>
                <w:rFonts w:ascii="Times New Roman;serif" w:hAnsi="Times New Roman;serif"/>
                <w:b w:val="false"/>
                <w:color w:val="000000"/>
                <w:sz w:val="20"/>
              </w:rPr>
              <w:t>. The exhibits listed in the accompanying Exhibit Index are filed or incorporated by reference as part of this Form 10-K.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e1e544a67f48439c5ec9071b339bca_178">
              <w:r>
                <w:rPr>
                  <w:rStyle w:val="InternetLink"/>
                  <w:rFonts w:ascii="Times New Roman;serif" w:hAnsi="Times New Roman;serif"/>
                  <w:b w:val="false"/>
                  <w:strike w:val="false"/>
                  <w:dstrike w:val="false"/>
                  <w:color w:val="000000"/>
                  <w:sz w:val="20"/>
                  <w:u w:val="none"/>
                  <w:effect w:val="none"/>
                </w:rPr>
                <w:t>114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8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 Schedules. The Financial Statement Schedules required to be filed as a part of this Report 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e1e544a67f48439c5ec9071b339bca_181">
              <w:r>
                <w:rPr>
                  <w:rStyle w:val="InternetLink"/>
                  <w:rFonts w:ascii="Times New Roman;serif" w:hAnsi="Times New Roman;serif"/>
                  <w:b w:val="false"/>
                  <w:strike w:val="false"/>
                  <w:dstrike w:val="false"/>
                  <w:color w:val="000000"/>
                  <w:sz w:val="20"/>
                  <w:u w:val="none"/>
                  <w:effect w:val="none"/>
                </w:rPr>
                <w:t>Schedule II — Valuation and Qualifying Accounts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e1e544a67f48439c5ec9071b339bca_181">
              <w:r>
                <w:rPr>
                  <w:rStyle w:val="InternetLink"/>
                  <w:rFonts w:ascii="Times New Roman;serif" w:hAnsi="Times New Roman;serif"/>
                  <w:b w:val="false"/>
                  <w:strike w:val="false"/>
                  <w:dstrike w:val="false"/>
                  <w:color w:val="000000"/>
                  <w:sz w:val="20"/>
                  <w:u w:val="none"/>
                  <w:effect w:val="none"/>
                </w:rPr>
                <w:t>117</w:t>
              </w:r>
            </w:hyperlink>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43"/>
        <w:gridCol w:w="301"/>
        <w:gridCol w:w="302"/>
        <w:gridCol w:w="109"/>
        <w:gridCol w:w="109"/>
        <w:gridCol w:w="109"/>
        <w:gridCol w:w="2724"/>
        <w:gridCol w:w="2461"/>
        <w:gridCol w:w="2469"/>
        <w:gridCol w:w="372"/>
        <w:gridCol w:w="372"/>
        <w:gridCol w:w="534"/>
      </w:tblGrid>
      <w:tr>
        <w:trPr/>
        <w:tc>
          <w:tcPr>
            <w:tcW w:w="3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Filed/Furnished Herewith</w:t>
            </w:r>
          </w:p>
        </w:tc>
      </w:tr>
      <w:tr>
        <w:trPr/>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r:id="rId3">
              <w:r>
                <w:rPr>
                  <w:rStyle w:val="InternetLink"/>
                  <w:rFonts w:ascii="Times New Roman;serif" w:hAnsi="Times New Roman;serif"/>
                  <w:b w:val="false"/>
                  <w:color w:val="000000"/>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Sale and Purchase Agreement, dated September 8, 2021, by and between Smiths Group International Holdings Limited, a private limited company incorporated in England and Wales, and ICU Medical, Inc., a Delaware corporation. Filed as an Exhibit to Registrant's Current Report on Form 8-K filed on September 8, 2021 (File No. 001-34634).</w:t>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
              <w:r>
                <w:rPr>
                  <w:rStyle w:val="InternetLink"/>
                  <w:rFonts w:ascii="Times New Roman;serif" w:hAnsi="Times New Roman;serif"/>
                  <w:b w:val="false"/>
                  <w:color w:val="000000"/>
                  <w:sz w:val="20"/>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Put Option Deed from ICU Medical, Inc., a Delaware corporation to Smiths Group International Holdings Limited, a private limited company incorporated in England and Wales. Filed as an Exhibit to Registrant's Current Report on Form 8-K filed on September 8, 2021 (File No. 001-34634).</w:t>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5">
              <w:r>
                <w:rPr>
                  <w:rStyle w:val="InternetLink"/>
                  <w:rFonts w:ascii="Times New Roman;serif" w:hAnsi="Times New Roman;serif"/>
                  <w:b w:val="false"/>
                  <w:color w:val="000000"/>
                  <w:sz w:val="20"/>
                  <w:u w:val="single"/>
                </w:rPr>
                <w:t>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Agreement, dated November 12, 2024, by and between ICU Medical, Inc., a Delaware corporation, ICU Medical Sales, Inc., a Delaware corporation and Otsuka Pharmaceutical Factory America, Inc., a Delaware corporation. Filed as an Exhibit to Registrant’s Quarterly Report on Form 10-Q for the fiscal quarter ended September 30, 2024, filed on November 12, 2024 (File No. 001-34634).</w:t>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6">
              <w:r>
                <w:rPr>
                  <w:rStyle w:val="InternetLink"/>
                  <w:rFonts w:ascii="Times New Roman;serif" w:hAnsi="Times New Roman;serif"/>
                  <w:b w:val="false"/>
                  <w:color w:val="000000"/>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Registrant's Certificate of Incorporation, as amended and restated. Filed as an Exhibit to Registrant's Current Report on Form 8-K filed on June 10, 2014 (File No. 001-34634).</w:t>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7">
              <w:r>
                <w:rPr>
                  <w:rStyle w:val="InternetLink"/>
                  <w:rFonts w:ascii="Times New Roman;serif" w:hAnsi="Times New Roman;serif"/>
                  <w:b w:val="false"/>
                  <w:color w:val="000000"/>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Registrant's Bylaws, as amended and restated. Filed as an Exhibit to Registrant's Current Report on Form 8-K filed on November 3, 2023 (File No. 001-34634).</w:t>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8">
              <w:r>
                <w:rPr>
                  <w:rStyle w:val="InternetLink"/>
                  <w:rFonts w:ascii="Times New Roman;serif" w:hAnsi="Times New Roman;serif"/>
                  <w:b w:val="false"/>
                  <w:color w:val="000000"/>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Securities Registered Under Section 12 of the Exchange Act. Filed as an Exhibit to Registrant's Annual Report on Form 10-K for the year ended December 31, 2019, filed on March 2, 3020 (File No. 001-34634).</w:t>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9">
              <w:r>
                <w:rPr>
                  <w:rStyle w:val="InternetLink"/>
                  <w:rFonts w:ascii="Times New Roman;serif" w:hAnsi="Times New Roman;serif"/>
                  <w:b w:val="false"/>
                  <w:color w:val="000000"/>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shd w:fill="FFFF00" w:val="clear"/>
              </w:rPr>
            </w:pPr>
            <w:r>
              <w:rPr>
                <w:color w:val="000000"/>
                <w:shd w:fill="FFFF00" w:val="clear"/>
              </w:rPr>
              <w:t> </w:t>
            </w:r>
          </w:p>
        </w:tc>
        <w:tc>
          <w:tcPr>
            <w:tcW w:w="7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Indemnification Agreement with Directors and Executive Officers. Filed as an Exhibit to Registrant's Quarterly Report on Form 10-Q for the Quarter ended September 30, 2010, filed on October 22, 2010 (File No. 001-34634).</w:t>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0">
              <w:r>
                <w:rPr>
                  <w:rStyle w:val="InternetLink"/>
                  <w:rFonts w:ascii="Times New Roman;serif" w:hAnsi="Times New Roman;serif"/>
                  <w:b w:val="false"/>
                  <w:color w:val="000000"/>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Registrant's 2002 Employee Stock Purchase Plan. Filed as an Exhibit to Registrant's definitive Proxy Statement filed pursuant to Regulation 14A on April 3, 2002 (File No. 000-19974).</w:t>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103executiveofficer.htm">
              <w:r>
                <w:rPr>
                  <w:rStyle w:val="InternetLink"/>
                  <w:rFonts w:ascii="Times New Roman;serif" w:hAnsi="Times New Roman;serif"/>
                  <w:b w:val="false"/>
                  <w:color w:val="000000"/>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officer compensation</w:t>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104non-employeedire.htm">
              <w:r>
                <w:rPr>
                  <w:rStyle w:val="InternetLink"/>
                  <w:rFonts w:ascii="Times New Roman;serif" w:hAnsi="Times New Roman;serif"/>
                  <w:b w:val="false"/>
                  <w:color w:val="000000"/>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Non-employee director compensation</w:t>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0"/>
        <w:gridCol w:w="203"/>
        <w:gridCol w:w="206"/>
        <w:gridCol w:w="109"/>
        <w:gridCol w:w="109"/>
        <w:gridCol w:w="109"/>
        <w:gridCol w:w="2952"/>
        <w:gridCol w:w="2952"/>
        <w:gridCol w:w="2959"/>
        <w:gridCol w:w="109"/>
        <w:gridCol w:w="109"/>
        <w:gridCol w:w="158"/>
      </w:tblGrid>
      <w:tr>
        <w:trPr/>
        <w:tc>
          <w:tcPr>
            <w:tcW w:w="23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1">
              <w:r>
                <w:rPr>
                  <w:rStyle w:val="InternetLink"/>
                  <w:rFonts w:ascii="Times New Roman;serif" w:hAnsi="Times New Roman;serif"/>
                  <w:b w:val="false"/>
                  <w:color w:val="000000"/>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2008 Performance-Based Incentive Plan, as amended. Filed as Annex A to Registrant's proxy statement filed April 3, 2013 (File No. 001-34634).</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2">
              <w:r>
                <w:rPr>
                  <w:rStyle w:val="InternetLink"/>
                  <w:rFonts w:ascii="Times New Roman;serif" w:hAnsi="Times New Roman;serif"/>
                  <w:b w:val="false"/>
                  <w:color w:val="000000"/>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ICU Medical, Inc. 2011 Stock Incentive Plan. Filed as an Exhibit to Registrant's Quarterly Report on Form 10-Q for the Quarter ended March 31, 2018 (File No. 001-34634).</w:t>
              <w:br/>
              <w: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3">
              <w:r>
                <w:rPr>
                  <w:rStyle w:val="InternetLink"/>
                  <w:rFonts w:ascii="Times New Roman;serif" w:hAnsi="Times New Roman;serif"/>
                  <w:b w:val="false"/>
                  <w:color w:val="000000"/>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Amendment to ICU Medical, Inc. Amended and Restated 2011 Stock Incentive Plan. Filed as an Exhibit to Registrant's Annual Report on Form 10-K for the year ended December 31, 2019, filed on March 2, 2020 (File No.001-34634).</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4">
              <w:r>
                <w:rPr>
                  <w:rStyle w:val="InternetLink"/>
                  <w:rFonts w:ascii="Times New Roman;serif" w:hAnsi="Times New Roman;serif"/>
                  <w:b w:val="false"/>
                  <w:color w:val="000000"/>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Amendment to ICU Medical, Inc. Amended and Restated 2011 Stock Incentive Plan. Filed as an Exhibit to Registrant's Current Report on Form 8-K filed on May 22, 2023 (File No. 001-34634).</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5">
              <w:r>
                <w:rPr>
                  <w:rStyle w:val="InternetLink"/>
                  <w:rFonts w:ascii="Times New Roman;serif" w:hAnsi="Times New Roman;serif"/>
                  <w:b w:val="false"/>
                  <w:color w:val="000000"/>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Amendment to ICU Medical, Inc. Amended and Restated 2011 Stock Incentive Plan. Filed as an Exhibit to Registrant’s Current Report on Form 8-K filed on May 14, 2025 (File No. 001-34634</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6">
              <w:r>
                <w:rPr>
                  <w:rStyle w:val="InternetLink"/>
                  <w:rFonts w:ascii="Times New Roman;serif" w:hAnsi="Times New Roman;serif"/>
                  <w:b w:val="false"/>
                  <w:color w:val="000000"/>
                  <w:sz w:val="20"/>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Executive Employment Agreement, dated as of April 15, 2022, by and between ICU Medical, Inc. and Vivek Jain. Filed as an Exhibit to Registrant's Current Report on Form 8-K filed on April 20, 2022 (File No. 001-34634).</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7">
              <w:r>
                <w:rPr>
                  <w:rStyle w:val="InternetLink"/>
                  <w:rFonts w:ascii="Times New Roman;serif" w:hAnsi="Times New Roman;serif"/>
                  <w:b w:val="false"/>
                  <w:color w:val="000000"/>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 agreement between the Registrant and Alison Burcar, effective April 1, 2019.* Filed as an Exhibit to Registrant's Quarterly Report on Form 10-Q for the Quarter ended March 31, 2019 (File No. 001-34634).</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8">
              <w:r>
                <w:rPr>
                  <w:rStyle w:val="InternetLink"/>
                  <w:rFonts w:ascii="Times New Roman;serif" w:hAnsi="Times New Roman;serif"/>
                  <w:b w:val="false"/>
                  <w:color w:val="000000"/>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ICU Medical, Inc. Executive Severance Plan. Filed as an Exhibit to Registrant’s Current Report on Form 8-K filed on January 6, 2017 (File No. 001-34634).</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9">
              <w:r>
                <w:rPr>
                  <w:rStyle w:val="InternetLink"/>
                  <w:rFonts w:ascii="Times New Roman;serif" w:hAnsi="Times New Roman;serif"/>
                  <w:b w:val="false"/>
                  <w:color w:val="000000"/>
                  <w:sz w:val="20"/>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Amendment to the ICU Medical, Inc. Executive Severance Plan. Filed as an Exhibit to Registrant's Current Report on Form 8-K filed on January 6, 2020 (File No. 001-34634).</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0">
              <w:r>
                <w:rPr>
                  <w:rStyle w:val="InternetLink"/>
                  <w:rFonts w:ascii="Times New Roman;serif" w:hAnsi="Times New Roman;serif"/>
                  <w:b w:val="false"/>
                  <w:color w:val="000000"/>
                  <w:sz w:val="20"/>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Amendment to the ICU Medical, Inc. Executive Severance Plan. Filed as an Exhibit to Registrant's Current Report on Form 8-K filed on January 3, 2023 (File No. 001-34634).</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1">
              <w:r>
                <w:rPr>
                  <w:rStyle w:val="InternetLink"/>
                  <w:rFonts w:ascii="Times New Roman;serif" w:hAnsi="Times New Roman;serif"/>
                  <w:b w:val="false"/>
                  <w:color w:val="000000"/>
                  <w:sz w:val="20"/>
                  <w:u w:val="single"/>
                </w:rPr>
                <w:t>10.15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dated as of January 6, 2022, by and among ICU Medical, Inc. as Borrower, certain subsidiaries as guarantors, Wells Fargo Bank, National Association, as Administrative Agent, Wells Fargo Securities, LLC and Barclays Bank PLC as joint bookrunners and joint lead arrangers and the other joint bookrunners and joint lead arrangers listed therein.# Filed as an Exhibit to Registrant's Current Report on Form 8-K filed January 7, 2022 (File No. 001-34634).</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2">
              <w:r>
                <w:rPr>
                  <w:rStyle w:val="InternetLink"/>
                  <w:rFonts w:ascii="Times New Roman;serif" w:hAnsi="Times New Roman;serif"/>
                  <w:b w:val="false"/>
                  <w:color w:val="000080"/>
                  <w:sz w:val="20"/>
                  <w:u w:val="single"/>
                </w:rPr>
                <w:t>10.16†</w:t>
              </w:r>
            </w:hyperlink>
            <w:r>
              <w:rPr>
                <w:rFonts w:ascii="Times New Roman;serif" w:hAnsi="Times New Roman;serif"/>
                <w:b w:val="false"/>
                <w:color w:val="000000"/>
                <w:sz w:val="20"/>
                <w:u w:val="single"/>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No. 2, dated as of October 31, 2025, to the Credit Agreement, dated as of January 6, 2022, as amended by Amendment No. 1, dated as of October 31, 2025, among ICU Medical, Inc., as Borrower, the other Loan Parties party thereto, the Lenders party thereto and Wells Fargo Bank, National Association, as Administrative Agent. Filed as an Exhibit to Registrant’s Quarterly Report on Form 10-Q for the quarterly period ended September 30, 2025 (File No. 001-34634)</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3">
              <w:r>
                <w:rPr>
                  <w:rStyle w:val="InternetLink"/>
                  <w:rFonts w:ascii="Times New Roman;serif" w:hAnsi="Times New Roman;serif"/>
                  <w:b w:val="false"/>
                  <w:color w:val="000000"/>
                  <w:sz w:val="20"/>
                  <w:u w:val="single"/>
                </w:rPr>
                <w:t>10.17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Agreement, dated as of January 6, 2022, by and between ICU Medical, Inc. and Smiths Group International Holdings Limited. Filed as an Exhibit to Registrant's Current Report on Form 8-K filed on January 7, 2022 (File No. 001-34634).</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4">
              <w:r>
                <w:rPr>
                  <w:rStyle w:val="InternetLink"/>
                  <w:rFonts w:ascii="Times New Roman;serif" w:hAnsi="Times New Roman;serif"/>
                  <w:b w:val="false"/>
                  <w:color w:val="000080"/>
                  <w:sz w:val="20"/>
                  <w:u w:val="single"/>
                </w:rPr>
                <w:t>10.18†</w:t>
              </w:r>
            </w:hyperlink>
            <w:r>
              <w:rPr>
                <w:rFonts w:ascii="Times New Roman;serif" w:hAnsi="Times New Roman;serif"/>
                <w:b w:val="false"/>
                <w:color w:val="000000"/>
                <w:sz w:val="20"/>
                <w:u w:val="single"/>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Operating Agreement of Otsuka ICU Medical LLC. Filed as an Exhibit to Registrant’s Quarterly Report on Form 10-Q for the quarterly period ended June 30, 2025 (File No. 001-34634)</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5">
              <w:r>
                <w:rPr>
                  <w:rStyle w:val="InternetLink"/>
                  <w:rFonts w:ascii="Times New Roman;serif" w:hAnsi="Times New Roman;serif"/>
                  <w:b w:val="false"/>
                  <w:color w:val="000000"/>
                  <w:sz w:val="20"/>
                  <w:u w:val="single"/>
                </w:rPr>
                <w:t>19.1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ICU Medical, Inc. Insider Trading Policy. Filed as an Exhibit to Registrant’s Annual Report on Form 10-K for the year ended December 31, 2024 (File No. 001-34634)</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21subsidiariesofreg.htm">
              <w:r>
                <w:rPr>
                  <w:rStyle w:val="InternetLink"/>
                  <w:rFonts w:ascii="Times New Roman;serif" w:hAnsi="Times New Roman;serif"/>
                  <w:b w:val="false"/>
                  <w:color w:val="000000"/>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Subsidiaries of Registrant</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231consentofdeloitt.htm">
              <w:r>
                <w:rPr>
                  <w:rStyle w:val="InternetLink"/>
                  <w:rFonts w:ascii="Times New Roman;serif" w:hAnsi="Times New Roman;serif"/>
                  <w:b w:val="false"/>
                  <w:color w:val="000000"/>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Deloitte &amp; Touche LLP</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311123125.htm">
              <w:r>
                <w:rPr>
                  <w:rStyle w:val="InternetLink"/>
                  <w:rFonts w:ascii="Times New Roman;serif" w:hAnsi="Times New Roman;serif"/>
                  <w:b w:val="false"/>
                  <w:color w:val="000000"/>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302 of the Sarbanes-Oxley Act of 2002</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312123125.htm">
              <w:r>
                <w:rPr>
                  <w:rStyle w:val="InternetLink"/>
                  <w:rFonts w:ascii="Times New Roman;serif" w:hAnsi="Times New Roman;serif"/>
                  <w:b w:val="false"/>
                  <w:color w:val="000000"/>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Section 302 of the Sarbanes-Oxley Act of 2002</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3006"/>
        <w:gridCol w:w="3006"/>
        <w:gridCol w:w="3012"/>
        <w:gridCol w:w="109"/>
        <w:gridCol w:w="109"/>
        <w:gridCol w:w="155"/>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6" w:type="dxa"/>
            <w:tcBorders/>
            <w:vAlign w:val="center"/>
          </w:tcPr>
          <w:p>
            <w:pPr>
              <w:pStyle w:val="TableContents"/>
              <w:bidi w:val="0"/>
              <w:spacing w:before="0" w:after="283"/>
              <w:jc w:val="left"/>
              <w:rPr>
                <w:sz w:val="4"/>
                <w:szCs w:val="4"/>
              </w:rPr>
            </w:pPr>
            <w:r>
              <w:rPr>
                <w:sz w:val="4"/>
                <w:szCs w:val="4"/>
              </w:rPr>
            </w:r>
          </w:p>
        </w:tc>
        <w:tc>
          <w:tcPr>
            <w:tcW w:w="3006" w:type="dxa"/>
            <w:tcBorders/>
            <w:vAlign w:val="center"/>
          </w:tcPr>
          <w:p>
            <w:pPr>
              <w:pStyle w:val="TableContents"/>
              <w:bidi w:val="0"/>
              <w:spacing w:before="0" w:after="283"/>
              <w:jc w:val="left"/>
              <w:rPr>
                <w:sz w:val="4"/>
                <w:szCs w:val="4"/>
              </w:rPr>
            </w:pPr>
            <w:r>
              <w:rPr>
                <w:sz w:val="4"/>
                <w:szCs w:val="4"/>
              </w:rPr>
            </w:r>
          </w:p>
        </w:tc>
        <w:tc>
          <w:tcPr>
            <w:tcW w:w="3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32123125.htm">
              <w:r>
                <w:rPr>
                  <w:rStyle w:val="InternetLink"/>
                  <w:rFonts w:ascii="Times New Roman;serif" w:hAnsi="Times New Roman;serif"/>
                  <w:b w:val="false"/>
                  <w:color w:val="000000"/>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Certifications of Chief Executive Officer and Chief Financial Officer pursuant to Section 906 of the Sarbanes-Oxley Act of 2002</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6">
              <w:r>
                <w:rPr>
                  <w:rStyle w:val="InternetLink"/>
                  <w:rFonts w:ascii="Times New Roman;serif" w:hAnsi="Times New Roman;serif"/>
                  <w:b w:val="false"/>
                  <w:color w:val="000000"/>
                  <w:sz w:val="20"/>
                  <w:u w:val="single"/>
                </w:rPr>
                <w:t>97.1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Policy Relating to Recovery of Erroneously Awarded Compensation. Filed as an Exhibit to Registrant's Annual Report on Form 10-K for the Year ended December 31, 2023 filed on February 27, 2024 (File No. 001-34634).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81"/>
        <w:gridCol w:w="423"/>
        <w:gridCol w:w="424"/>
        <w:gridCol w:w="109"/>
        <w:gridCol w:w="109"/>
        <w:gridCol w:w="109"/>
        <w:gridCol w:w="2523"/>
        <w:gridCol w:w="2488"/>
        <w:gridCol w:w="3539"/>
      </w:tblGrid>
      <w:tr>
        <w:trPr/>
        <w:tc>
          <w:tcPr>
            <w:tcW w:w="48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3539" w:type="dxa"/>
            <w:tcBorders/>
            <w:vAlign w:val="center"/>
          </w:tcPr>
          <w:p>
            <w:pPr>
              <w:pStyle w:val="TableContents"/>
              <w:bidi w:val="0"/>
              <w:spacing w:before="0" w:after="283"/>
              <w:jc w:val="left"/>
              <w:rPr>
                <w:sz w:val="4"/>
                <w:szCs w:val="4"/>
              </w:rPr>
            </w:pPr>
            <w:r>
              <w:rPr>
                <w:sz w:val="4"/>
                <w:szCs w:val="4"/>
              </w:rPr>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instance document does not appear in the interactive data file because its XBRL (Extensible Business Reporting Language) tags are embedded within the Inline XBRL document.</w:t>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Indicates a management contract or compensatory plan, contract or arrangement.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Annexes, schedules and exhibits have been omitted pursuant to Item 601(a)(5)(b)(2) of Regulation S-K. The Registrant hereby agrees to furnish supplementally a copy of any omitted annex, schedule or exhibit to the SEC upon request.</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Certain portions of this exhibit have been redacted pursuant to Item 601(b)(2)(ii) and Item 601(b)(10)(iv) of Regulation S-K, as applicable. The Company agrees to furnish supplementally an unredacted copy of the exhibit to the SEC upon its request.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SCHEDULE II</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ICU MEDICAL,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VALUATION AND QUALIFYING ACCOUNTS</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162"/>
        <w:gridCol w:w="1021"/>
        <w:gridCol w:w="1025"/>
        <w:gridCol w:w="109"/>
        <w:gridCol w:w="109"/>
        <w:gridCol w:w="109"/>
        <w:gridCol w:w="211"/>
        <w:gridCol w:w="721"/>
        <w:gridCol w:w="109"/>
        <w:gridCol w:w="109"/>
        <w:gridCol w:w="109"/>
        <w:gridCol w:w="109"/>
        <w:gridCol w:w="211"/>
        <w:gridCol w:w="721"/>
        <w:gridCol w:w="109"/>
        <w:gridCol w:w="109"/>
        <w:gridCol w:w="109"/>
        <w:gridCol w:w="109"/>
        <w:gridCol w:w="248"/>
        <w:gridCol w:w="868"/>
        <w:gridCol w:w="130"/>
        <w:gridCol w:w="109"/>
        <w:gridCol w:w="109"/>
        <w:gridCol w:w="109"/>
        <w:gridCol w:w="244"/>
        <w:gridCol w:w="470"/>
        <w:gridCol w:w="127"/>
        <w:gridCol w:w="109"/>
        <w:gridCol w:w="109"/>
        <w:gridCol w:w="109"/>
        <w:gridCol w:w="211"/>
        <w:gridCol w:w="826"/>
        <w:gridCol w:w="156"/>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Additions (Reductions)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2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(Amounts in thousands)</w:t>
              <w:b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w:t>
              <w:br/>
              <w:t>Beginning of</w:t>
              <w:b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Charged to</w:t>
              <w:br/>
              <w:t>Costs and</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Charged to</w:t>
              <w:br/>
              <w:t>Other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Write-off/</w:t>
              <w:br/>
              <w:t>Disposals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br/>
              <w:t>at End</w:t>
              <w:br/>
              <w:t>of Period</w:t>
            </w:r>
          </w:p>
        </w:tc>
      </w:tr>
      <w:tr>
        <w:trPr/>
        <w:tc>
          <w:tcPr>
            <w:tcW w:w="32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For the 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and return reserve -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Warranty and return reserve - inventory/accrued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For the year ended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Allowance for doubtful accounts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and return reserve -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Warranty and return reserve - inventory/accrued</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tax asset valuation allowance</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For the year ended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and return reserve -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Warranty and return reserve - inventory/accrued</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w:t>
      </w:r>
    </w:p>
    <w:p>
      <w:pPr>
        <w:pStyle w:val="TextBody"/>
        <w:bidi w:val="0"/>
        <w:spacing w:lineRule="auto" w:line="288" w:before="0" w:after="0"/>
        <w:jc w:val="left"/>
        <w:rPr/>
      </w:pPr>
      <w:r>
        <w:rPr>
          <w:rFonts w:ascii="Times New Roman;serif" w:hAnsi="Times New Roman;serif"/>
          <w:b w:val="false"/>
          <w:color w:val="000000"/>
          <w:sz w:val="13"/>
        </w:rPr>
        <w:t>(1)</w:t>
      </w:r>
      <w:r>
        <w:rPr>
          <w:rFonts w:ascii="Times New Roman;serif" w:hAnsi="Times New Roman;serif"/>
          <w:b w:val="false"/>
          <w:color w:val="000000"/>
          <w:sz w:val="20"/>
        </w:rPr>
        <w:t>Additional charges to expense were primarily related to additional field corrective actions identified and initiated during the period related to the Smiths Medical business FDA warning letter (See Note: 15 Commitments and Contingencies in our accompanying consolidated financial statements).</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charge to other accounts includes a $2.0 million reclassification to assets held for sale related to the IV Solutions business (See Note 3: Assets Held For Sale and Disposal of Business) in our accompanying consolidated financial statements).</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Primarily includes payments for expenses related to our field corrective actions.</w:t>
      </w:r>
    </w:p>
    <w:p>
      <w:pPr>
        <w:pStyle w:val="TextBody"/>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Primarily relates to valuation allowance against certain U.S. federal and state deferred tax assets (See Note 13: Income Taxes in our accompanying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4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Registrant has duly caused this report to be signed on its behalf by the undersigned, thereunto duly authorized.</w:t>
      </w:r>
    </w:p>
    <w:p>
      <w:pPr>
        <w:pStyle w:val="TextBody"/>
        <w:bidi w:val="0"/>
        <w:spacing w:lineRule="auto" w:line="288" w:before="0" w:after="0"/>
        <w:jc w:val="center"/>
        <w:rPr>
          <w:color w:val="000000"/>
        </w:rPr>
      </w:pPr>
      <w:r>
        <w:rPr>
          <w:color w:val="000000"/>
        </w:rPr>
        <w:t> </w:t>
      </w:r>
    </w:p>
    <w:tbl>
      <w:tblPr>
        <w:tblW w:w="4853" w:type="dxa"/>
        <w:jc w:val="left"/>
        <w:tblInd w:w="0" w:type="dxa"/>
        <w:tblLayout w:type="fixed"/>
        <w:tblCellMar>
          <w:top w:w="28" w:type="dxa"/>
          <w:left w:w="28" w:type="dxa"/>
          <w:bottom w:w="28" w:type="dxa"/>
          <w:right w:w="28" w:type="dxa"/>
        </w:tblCellMar>
      </w:tblPr>
      <w:tblGrid>
        <w:gridCol w:w="124"/>
        <w:gridCol w:w="109"/>
        <w:gridCol w:w="109"/>
        <w:gridCol w:w="259"/>
        <w:gridCol w:w="259"/>
        <w:gridCol w:w="259"/>
        <w:gridCol w:w="1090"/>
        <w:gridCol w:w="1090"/>
        <w:gridCol w:w="15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By:</w:t>
            </w:r>
          </w:p>
        </w:tc>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Vivek Jain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Vivek Jain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Chairman of the Board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Dated:</w:t>
            </w:r>
          </w:p>
        </w:tc>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February 19, 2026</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120"/>
        <w:jc w:val="center"/>
        <w:rPr/>
      </w:pPr>
      <w:r>
        <w:rPr>
          <w:rFonts w:ascii="Times New Roman;serif" w:hAnsi="Times New Roman;serif"/>
          <w:b/>
          <w:color w:val="000000"/>
          <w:sz w:val="20"/>
        </w:rPr>
        <w:t>SIGNATURES</w:t>
      </w: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Registrant and in the capacities and on the dates indicated.</w:t>
      </w:r>
    </w:p>
    <w:p>
      <w:pPr>
        <w:pStyle w:val="TextBody"/>
        <w:bidi w:val="0"/>
        <w:spacing w:lineRule="auto" w:line="288" w:before="0" w:after="0"/>
        <w:jc w:val="left"/>
        <w:rPr>
          <w:color w:val="000000"/>
        </w:rPr>
      </w:pPr>
      <w:r>
        <w:rPr>
          <w:color w:val="000000"/>
        </w:rPr>
        <w:t> </w:t>
      </w:r>
    </w:p>
    <w:tbl>
      <w:tblPr>
        <w:tblW w:w="8303" w:type="dxa"/>
        <w:jc w:val="left"/>
        <w:tblInd w:w="0" w:type="dxa"/>
        <w:tblLayout w:type="fixed"/>
        <w:tblCellMar>
          <w:top w:w="28" w:type="dxa"/>
          <w:left w:w="28" w:type="dxa"/>
          <w:bottom w:w="28" w:type="dxa"/>
          <w:right w:w="28" w:type="dxa"/>
        </w:tblCellMar>
      </w:tblPr>
      <w:tblGrid>
        <w:gridCol w:w="647"/>
        <w:gridCol w:w="568"/>
        <w:gridCol w:w="570"/>
        <w:gridCol w:w="109"/>
        <w:gridCol w:w="109"/>
        <w:gridCol w:w="109"/>
        <w:gridCol w:w="1461"/>
        <w:gridCol w:w="1461"/>
        <w:gridCol w:w="1487"/>
        <w:gridCol w:w="109"/>
        <w:gridCol w:w="109"/>
        <w:gridCol w:w="109"/>
        <w:gridCol w:w="425"/>
        <w:gridCol w:w="425"/>
        <w:gridCol w:w="605"/>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Vivek Jain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Chairman of the Board 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February 19, 2026</w:t>
            </w:r>
          </w:p>
        </w:tc>
      </w:tr>
      <w:tr>
        <w:trPr/>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Vivek Jain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Chief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Brian M. Bonnell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Chief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February 19, 2026</w:t>
            </w:r>
          </w:p>
        </w:tc>
      </w:tr>
      <w:tr>
        <w:trPr/>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Brian M. Bonnell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David C. Greenberg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February 19, 2026</w:t>
            </w:r>
          </w:p>
        </w:tc>
      </w:tr>
      <w:tr>
        <w:trPr/>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David C. Greenberg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Elisha W. Finney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February 19, 2026</w:t>
            </w:r>
          </w:p>
        </w:tc>
      </w:tr>
      <w:tr>
        <w:trPr/>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Elisha W. Finney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David F. Hoffmeister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February 19, 2026</w:t>
            </w:r>
          </w:p>
        </w:tc>
      </w:tr>
      <w:tr>
        <w:trPr/>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David F. Hoffmeister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Donald M. Abbey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February 19, 2026</w:t>
            </w:r>
          </w:p>
        </w:tc>
      </w:tr>
      <w:tr>
        <w:trPr/>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Donald M. Abbey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Laurie Hernandez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February 19, 2026</w:t>
            </w:r>
          </w:p>
        </w:tc>
      </w:tr>
      <w:tr>
        <w:trPr/>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Laurie Hernandez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Kolleen T. Kennedy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February 19, 2026</w:t>
            </w:r>
          </w:p>
        </w:tc>
      </w:tr>
      <w:tr>
        <w:trPr/>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Kolleen T. Kennedy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10.3</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Executive Officer Compensation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annual base salaries for our executive officers are as follows:</w:t>
      </w:r>
    </w:p>
    <w:tbl>
      <w:tblPr>
        <w:tblW w:w="8322" w:type="dxa"/>
        <w:jc w:val="center"/>
        <w:tblInd w:w="0" w:type="dxa"/>
        <w:tblLayout w:type="fixed"/>
        <w:tblCellMar>
          <w:top w:w="28" w:type="dxa"/>
          <w:left w:w="28" w:type="dxa"/>
          <w:bottom w:w="28" w:type="dxa"/>
          <w:right w:w="28" w:type="dxa"/>
        </w:tblCellMar>
      </w:tblPr>
      <w:tblGrid>
        <w:gridCol w:w="684"/>
        <w:gridCol w:w="598"/>
        <w:gridCol w:w="608"/>
        <w:gridCol w:w="109"/>
        <w:gridCol w:w="109"/>
        <w:gridCol w:w="109"/>
        <w:gridCol w:w="1414"/>
        <w:gridCol w:w="1414"/>
        <w:gridCol w:w="1432"/>
        <w:gridCol w:w="109"/>
        <w:gridCol w:w="109"/>
        <w:gridCol w:w="109"/>
        <w:gridCol w:w="211"/>
        <w:gridCol w:w="826"/>
        <w:gridCol w:w="109"/>
        <w:gridCol w:w="109"/>
        <w:gridCol w:w="109"/>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Vivek Jain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M. Bonnell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 Voigtlander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Woolson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 Sanzone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Vice President, General Counsel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10.4</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Non-Employee Director Compensation</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pay our non-employee directors the following:</w:t>
      </w:r>
    </w:p>
    <w:p>
      <w:pPr>
        <w:pStyle w:val="TextBody"/>
        <w:bidi w:val="0"/>
        <w:spacing w:before="0" w:after="0"/>
        <w:jc w:val="left"/>
        <w:rPr/>
      </w:pPr>
      <w:r>
        <w:rPr/>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0"/>
        </w:rPr>
        <w:t xml:space="preserve">annual retainer of $113,500 for the Lead Director </w:t>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0"/>
        </w:rPr>
        <w:t>annual retainer of $102,000 for the Chairperson of the Audit Committee</w:t>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0"/>
        </w:rPr>
        <w:t>annual retainer of $92,500 for the Chairperson of the Compensation Committee</w:t>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0"/>
        </w:rPr>
        <w:t>annual retainer of $85,000 for the Chairperson of the Nominating and Governance Committee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equity component of the director's compensation is valued at $180,000 consisting of restricted stock units. The restricted stock units fully vest on the earlier to occur of (i) the first anniversary of the grant date and (ii) the date of the next annual meeting following the grant date, subject to such director’s continued service through the applicable vesting date.. </w:t>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Subsidiaries of Registrant</w:t>
      </w:r>
    </w:p>
    <w:tbl>
      <w:tblPr>
        <w:tblW w:w="7210" w:type="dxa"/>
        <w:jc w:val="center"/>
        <w:tblInd w:w="0" w:type="dxa"/>
        <w:tblLayout w:type="fixed"/>
        <w:tblCellMar>
          <w:top w:w="28" w:type="dxa"/>
          <w:left w:w="28" w:type="dxa"/>
          <w:bottom w:w="28" w:type="dxa"/>
          <w:right w:w="28" w:type="dxa"/>
        </w:tblCellMar>
      </w:tblPr>
      <w:tblGrid>
        <w:gridCol w:w="1531"/>
        <w:gridCol w:w="1339"/>
        <w:gridCol w:w="1359"/>
        <w:gridCol w:w="109"/>
        <w:gridCol w:w="109"/>
        <w:gridCol w:w="109"/>
        <w:gridCol w:w="777"/>
        <w:gridCol w:w="777"/>
        <w:gridCol w:w="1100"/>
      </w:tblGrid>
      <w:tr>
        <w:trPr/>
        <w:tc>
          <w:tcPr>
            <w:tcW w:w="153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Country of Incorporation</w:t>
            </w:r>
          </w:p>
        </w:tc>
      </w:tr>
      <w:tr>
        <w:trPr/>
        <w:tc>
          <w:tcPr>
            <w:tcW w:w="4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 Holding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Excelsior Medical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Tangent Medical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Sales,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de Mexico, S. de R. L. de 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Mexico</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Bidco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United Kingdom</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World,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Izoard Sub.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Medex Cardio-Pulmonary,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Ohio</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Bahamas,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Bahamas</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Costa Rica,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Bahamas</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Netherlands</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Productos Farmacéuticos y Hospitalarios, S.L.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Spain</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Nederland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Netherlands</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Belgium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Belgium</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Europe S.r.l.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Italy</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Italia S.r.l.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Italy</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Smiths Medical Espana S.L.U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Spain</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UK Medical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United Kingdom</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Medima s.p. z.o.o.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Poland</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Enterprise France SAS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France</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Ireland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Ireland</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Unlimited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Ireland</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(Prodotti SM) Italia S.r.l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Italy</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Ireland (SM)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Ireland</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International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United Kingdom</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(SM)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United Kingdom</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Group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United Kingdom</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Smiths Medical (Hong Kong)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Hong Kong</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SA Pty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 Africa</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Australia Holdings Pty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Australia</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Aust MLA Pty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Australia</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Medical Australia Pty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Australia</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Australia Pty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Australia</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Medivet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Australia</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Deutschland Holdings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Germany</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Deutschland (SM) Gmbh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Germany</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Germany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Germany</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Latam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Chile Limitada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Chile</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Argentina S.R.L.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Argentina</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Colombia Limitada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Colombia</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HIS Mexico S. de R.L. de 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Mexico</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Peru S.R.L.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Peru</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India LLP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26" w:type="dxa"/>
        <w:jc w:val="center"/>
        <w:tblInd w:w="0" w:type="dxa"/>
        <w:tblLayout w:type="fixed"/>
        <w:tblCellMar>
          <w:top w:w="28" w:type="dxa"/>
          <w:left w:w="28" w:type="dxa"/>
          <w:bottom w:w="28" w:type="dxa"/>
          <w:right w:w="28" w:type="dxa"/>
        </w:tblCellMar>
      </w:tblPr>
      <w:tblGrid>
        <w:gridCol w:w="1369"/>
        <w:gridCol w:w="1202"/>
        <w:gridCol w:w="1208"/>
        <w:gridCol w:w="109"/>
        <w:gridCol w:w="109"/>
        <w:gridCol w:w="109"/>
        <w:gridCol w:w="385"/>
        <w:gridCol w:w="385"/>
        <w:gridCol w:w="550"/>
      </w:tblGrid>
      <w:tr>
        <w:trPr/>
        <w:tc>
          <w:tcPr>
            <w:tcW w:w="136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Canada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Canada</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Hong Kong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Hong Kong</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Philippines,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Philippines</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2020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United Kingdom</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Smiths Medical (Portugal) Unipessoal Limitada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Portugal</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Do Brasil Produtos Hospitalares Ltda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Brazil</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Schweiz AG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Switzerland</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Czech Republic 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Czech Republic</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(Shanghai)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China</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Danmark 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Denmark</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Osterreich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Austria</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Sverige 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Sweden</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 Overseas Holdings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United kingdom</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Healthcare Manufacturing S.A. de 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Mexico</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Japan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Japan</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(SM)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Australia</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Singapore Pte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Singapore</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Smiths Medical India Private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India</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ICU Medical (Beijing)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China</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Registration Statement Nos. 333-175239, 333-198256, 333-219106, 333-270546, and 333-289419 on Form S-8 and Registration Statement Nos. 333-228390 and 333-270282 on Form S-3 of our reports dated February 19, 2026, relating to the financial statements of ICU Medical, Inc. and the effectiveness of ICU Medical Inc.’s internal control over financial reporting appearing in this Annual Report on Form 10-K for the year ended December 31, 2025.</w:t>
      </w:r>
    </w:p>
    <w:p>
      <w:pPr>
        <w:pStyle w:val="TextBody"/>
        <w:bidi w:val="0"/>
        <w:spacing w:before="0" w:after="0"/>
        <w:jc w:val="left"/>
        <w:rPr/>
      </w:pPr>
      <w:r>
        <w:rPr/>
      </w:r>
    </w:p>
    <w:p>
      <w:pPr>
        <w:pStyle w:val="TextBody"/>
        <w:bidi w:val="0"/>
        <w:spacing w:before="0" w:after="0"/>
        <w:jc w:val="left"/>
        <w:rPr/>
      </w:pPr>
      <w:r>
        <w:rPr/>
      </w:r>
    </w:p>
    <w:tbl>
      <w:tblPr>
        <w:tblW w:w="3072" w:type="dxa"/>
        <w:jc w:val="center"/>
        <w:tblInd w:w="0" w:type="dxa"/>
        <w:tblLayout w:type="fixed"/>
        <w:tblCellMar>
          <w:top w:w="28" w:type="dxa"/>
          <w:left w:w="28" w:type="dxa"/>
          <w:bottom w:w="28" w:type="dxa"/>
          <w:right w:w="28" w:type="dxa"/>
        </w:tblCellMar>
      </w:tblPr>
      <w:tblGrid>
        <w:gridCol w:w="978"/>
        <w:gridCol w:w="860"/>
        <w:gridCol w:w="862"/>
        <w:gridCol w:w="109"/>
        <w:gridCol w:w="109"/>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Costa Mesa, California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Vivek Jain,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ICU Medical, Inc.;</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tbl>
      <w:tblPr>
        <w:tblW w:w="4558"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703"/>
        <w:gridCol w:w="703"/>
        <w:gridCol w:w="100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Vivek Jain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Vivek Jain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 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Brian M. Bonnell,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630"/>
        <w:jc w:val="left"/>
        <w:rPr/>
      </w:pPr>
      <w:r>
        <w:rPr>
          <w:rFonts w:ascii="Times New Roman;serif" w:hAnsi="Times New Roman;serif"/>
          <w:b w:val="false"/>
          <w:color w:val="000000"/>
          <w:sz w:val="20"/>
        </w:rPr>
        <w:t>1.</w:t>
      </w:r>
      <w:r>
        <w:rPr>
          <w:color w:val="000000"/>
        </w:rPr>
        <w:t> </w:t>
      </w:r>
      <w:r>
        <w:rPr>
          <w:rFonts w:ascii="Times New Roman;serif" w:hAnsi="Times New Roman;serif"/>
          <w:b w:val="false"/>
          <w:color w:val="000000"/>
          <w:sz w:val="20"/>
        </w:rPr>
        <w:t>I have reviewed this annual report on Form 10-K of ICU Medical, Inc.;</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720"/>
        <w:jc w:val="left"/>
        <w:rPr>
          <w:color w:val="000000"/>
        </w:rPr>
      </w:pPr>
      <w:r>
        <w:rPr>
          <w:color w:val="000000"/>
        </w:rPr>
        <w:t> </w:t>
      </w:r>
    </w:p>
    <w:tbl>
      <w:tblPr>
        <w:tblW w:w="4483"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683"/>
        <w:gridCol w:w="683"/>
        <w:gridCol w:w="97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M. Bonnell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M. Bonnell</w:t>
              <w:br/>
              <w:t>Chief Financial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ICU Medical, Inc. (the “Company”) on Form 10-K for the period ended December 31, 2025 as filed with the Securities and Exchange Commission on the date hereof (the “Report”), I, Vivek Jain, Chief Executive Officer of the Company, certify, pursuant to 18 U.S.C. § 1350, as adopted pursuant to §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345" w:type="dxa"/>
        <w:jc w:val="center"/>
        <w:tblInd w:w="0" w:type="dxa"/>
        <w:tblLayout w:type="fixed"/>
        <w:tblCellMar>
          <w:top w:w="28" w:type="dxa"/>
          <w:left w:w="28" w:type="dxa"/>
          <w:bottom w:w="28" w:type="dxa"/>
          <w:right w:w="28" w:type="dxa"/>
        </w:tblCellMar>
      </w:tblPr>
      <w:tblGrid>
        <w:gridCol w:w="580"/>
        <w:gridCol w:w="511"/>
        <w:gridCol w:w="513"/>
        <w:gridCol w:w="109"/>
        <w:gridCol w:w="109"/>
        <w:gridCol w:w="109"/>
        <w:gridCol w:w="703"/>
        <w:gridCol w:w="703"/>
        <w:gridCol w:w="1008"/>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Vivek Jain</w:t>
            </w:r>
          </w:p>
        </w:tc>
      </w:tr>
      <w:tr>
        <w:trPr/>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Vivek Jain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ICU Medical, Inc. (the “Company”) on Form 10-K for the period ended December 31, 2025 as filed with the Securities and Exchange Commission on the date hereof (the “Report”), I, Brian M. Bonnell, Chief Financial Officer of the Company, certify, pursuant to 18 U.S.C. § 1350, as adopted pursuant to §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271" w:type="dxa"/>
        <w:jc w:val="center"/>
        <w:tblInd w:w="0" w:type="dxa"/>
        <w:tblLayout w:type="fixed"/>
        <w:tblCellMar>
          <w:top w:w="28" w:type="dxa"/>
          <w:left w:w="28" w:type="dxa"/>
          <w:bottom w:w="28" w:type="dxa"/>
          <w:right w:w="28" w:type="dxa"/>
        </w:tblCellMar>
      </w:tblPr>
      <w:tblGrid>
        <w:gridCol w:w="580"/>
        <w:gridCol w:w="511"/>
        <w:gridCol w:w="513"/>
        <w:gridCol w:w="109"/>
        <w:gridCol w:w="109"/>
        <w:gridCol w:w="109"/>
        <w:gridCol w:w="684"/>
        <w:gridCol w:w="684"/>
        <w:gridCol w:w="972"/>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M. Bonnell</w:t>
            </w:r>
          </w:p>
        </w:tc>
      </w:tr>
      <w:tr>
        <w:trPr/>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M. Bonnell</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0883984/000119312521267387/d228927dex21.htm" TargetMode="External"/><Relationship Id="rId4" Type="http://schemas.openxmlformats.org/officeDocument/2006/relationships/hyperlink" Target="https://www.sec.gov/Archives/edgar/data/883984/000119312521267387/d228927dex22.htm" TargetMode="External"/><Relationship Id="rId5" Type="http://schemas.openxmlformats.org/officeDocument/2006/relationships/hyperlink" Target="https://www.sec.gov/Archives/edgar/data/883984/000088398424000042/exhibit23.htm" TargetMode="External"/><Relationship Id="rId6" Type="http://schemas.openxmlformats.org/officeDocument/2006/relationships/hyperlink" Target="https://www.sec.gov/Archives/edgar/data/883984/000088398414000046/exhibitamendedandrestatedc.htm" TargetMode="External"/><Relationship Id="rId7" Type="http://schemas.openxmlformats.org/officeDocument/2006/relationships/hyperlink" Target="https://www.sec.gov/Archives/edgar/data/883984/000088398423000034/exhibit31_8-k103023.htm" TargetMode="External"/><Relationship Id="rId8" Type="http://schemas.openxmlformats.org/officeDocument/2006/relationships/hyperlink" Target="https://www.sec.gov/Archives/edgar/data/883984/000088398420000014/exhibit41descriptionof.htm" TargetMode="External"/><Relationship Id="rId9" Type="http://schemas.openxmlformats.org/officeDocument/2006/relationships/hyperlink" Target="https://www.sec.gov/Archives/edgar/data/883984/000110465910053238/a10-17276_1ex10d1.htm" TargetMode="External"/><Relationship Id="rId10" Type="http://schemas.openxmlformats.org/officeDocument/2006/relationships/hyperlink" Target="https://www.sec.gov/Archives/edgar/data/883984/000101968702000543/icu_def14a-040202.txt" TargetMode="External"/><Relationship Id="rId11" Type="http://schemas.openxmlformats.org/officeDocument/2006/relationships/hyperlink" Target="https://www.sec.gov/Archives/edgar/data/883984/000088398413000019/icui-def14ax2013.htm" TargetMode="External"/><Relationship Id="rId12" Type="http://schemas.openxmlformats.org/officeDocument/2006/relationships/hyperlink" Target="https://www.sec.gov/Archives/edgar/data/883984/000088398418000017/icui-ex101.htm" TargetMode="External"/><Relationship Id="rId13" Type="http://schemas.openxmlformats.org/officeDocument/2006/relationships/hyperlink" Target="https://www.sec.gov/Archives/edgar/data/883984/000088398420000014/exhibit1012firstamendm.htm" TargetMode="External"/><Relationship Id="rId14" Type="http://schemas.openxmlformats.org/officeDocument/2006/relationships/hyperlink" Target="https://www.sec.gov/Archives/edgar/data/883984/000088398423000024/exhibit101_8-k51723.htm" TargetMode="External"/><Relationship Id="rId15" Type="http://schemas.openxmlformats.org/officeDocument/2006/relationships/hyperlink" Target="https://www.sec.gov/Archives/edgar/data/883984/000088398425000018/a8-k51325exhibit101.htm" TargetMode="External"/><Relationship Id="rId16" Type="http://schemas.openxmlformats.org/officeDocument/2006/relationships/hyperlink" Target="https://www.sec.gov/Archives/edgar/data/883984/000088398422000026/exhibit101_41522.htm" TargetMode="External"/><Relationship Id="rId17" Type="http://schemas.openxmlformats.org/officeDocument/2006/relationships/hyperlink" Target="https://www.sec.gov/Archives/edgar/data/883984/000088398419000017/icui-ex101.htm" TargetMode="External"/><Relationship Id="rId18" Type="http://schemas.openxmlformats.org/officeDocument/2006/relationships/hyperlink" Target="https://www.sec.gov/Archives/edgar/data/883984/000088398417000006/exhibit101icumedicalincexe.htm" TargetMode="External"/><Relationship Id="rId19" Type="http://schemas.openxmlformats.org/officeDocument/2006/relationships/hyperlink" Target="https://www.sec.gov/Archives/edgar/data/883984/000088398420000002/exhibit101.htm" TargetMode="External"/><Relationship Id="rId20" Type="http://schemas.openxmlformats.org/officeDocument/2006/relationships/hyperlink" Target="https://www.sec.gov/Archives/edgar/data/883984/000088398423000003/exhibit101_123022.htm" TargetMode="External"/><Relationship Id="rId21" Type="http://schemas.openxmlformats.org/officeDocument/2006/relationships/hyperlink" Target="https://www.sec.gov/Archives/edgar/data/883984/000088398422000005/exhibit102.htm" TargetMode="External"/><Relationship Id="rId22" Type="http://schemas.openxmlformats.org/officeDocument/2006/relationships/hyperlink" Target="https://www.sec.gov/Archives/edgar/data/883984/000088398425000035/icuiexhibit10193025.htm" TargetMode="External"/><Relationship Id="rId23" Type="http://schemas.openxmlformats.org/officeDocument/2006/relationships/hyperlink" Target="https://www.sec.gov/Archives/edgar/data/883984/000088398422000005/exhibit101.htm" TargetMode="External"/><Relationship Id="rId24" Type="http://schemas.openxmlformats.org/officeDocument/2006/relationships/hyperlink" Target="https://www.sec.gov/Archives/edgar/data/883984/000088398425000030/icuiexhibit10263025.htm" TargetMode="External"/><Relationship Id="rId25" Type="http://schemas.openxmlformats.org/officeDocument/2006/relationships/hyperlink" Target="https://www.sec.gov/Archives/edgar/data/883984/000088398425000007/exhibit191icumedicalincins.htm" TargetMode="External"/><Relationship Id="rId26" Type="http://schemas.openxmlformats.org/officeDocument/2006/relationships/hyperlink" Target="https://www.sec.gov/Archives/edgar/data/883984/000088398424000005/exhibit971clawbackpolicy.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73408</Words>
  <Characters>412455</Characters>
  <CharactersWithSpaces>482967</CharactersWithSpaces>
  <Paragraphs>5837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