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152"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2"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5" w:lineRule="exact"/>
        <w:rPr>
          <w:sz w:val="24"/>
          <w:szCs w:val="24"/>
          <w:color w:val="auto"/>
        </w:rPr>
      </w:pPr>
    </w:p>
    <w:p>
      <w:pPr>
        <w:ind w:left="5580"/>
        <w:spacing w:after="0"/>
        <w:rPr>
          <w:sz w:val="20"/>
          <w:szCs w:val="20"/>
          <w:color w:val="auto"/>
        </w:rPr>
      </w:pPr>
      <w:r>
        <w:rPr>
          <w:rFonts w:ascii="Arial" w:cs="Arial" w:eastAsia="Arial" w:hAnsi="Arial"/>
          <w:sz w:val="16"/>
          <w:szCs w:val="16"/>
          <w:b w:val="1"/>
          <w:bCs w:val="1"/>
          <w:color w:val="auto"/>
        </w:rPr>
        <w:t>or</w:t>
      </w:r>
    </w:p>
    <w:p>
      <w:pPr>
        <w:spacing w:after="0" w:line="10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93" w:lineRule="exact"/>
        <w:rPr>
          <w:sz w:val="24"/>
          <w:szCs w:val="24"/>
          <w:color w:val="auto"/>
        </w:rPr>
      </w:pPr>
    </w:p>
    <w:p>
      <w:pPr>
        <w:ind w:left="4260"/>
        <w:spacing w:after="0"/>
        <w:tabs>
          <w:tab w:leader="none" w:pos="68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8"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Commission File No.: 001-34634</w:t>
      </w:r>
    </w:p>
    <w:p>
      <w:pPr>
        <w:spacing w:after="0" w:line="100"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ICU MEDICAL, INC.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849" w:right="33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33-0022692</w:t>
      </w:r>
    </w:p>
    <w:p>
      <w:pPr>
        <w:spacing w:after="0" w:line="63" w:lineRule="exact"/>
        <w:rPr>
          <w:sz w:val="24"/>
          <w:szCs w:val="24"/>
          <w:color w:val="auto"/>
        </w:rPr>
      </w:pPr>
    </w:p>
    <w:p>
      <w:pPr>
        <w:sectPr>
          <w:pgSz w:w="11900" w:h="16838" w:orient="portrait"/>
          <w:cols w:equalWidth="0" w:num="2">
            <w:col w:w="7360" w:space="720"/>
            <w:col w:w="3160"/>
          </w:cols>
          <w:pgMar w:left="320" w:top="8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46"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9" w:right="339" w:bottom="1440" w:gutter="0" w:footer="0" w:header="0"/>
          <w:type w:val="continuous"/>
        </w:sectPr>
      </w:pPr>
    </w:p>
    <w:p>
      <w:pPr>
        <w:spacing w:after="0" w:line="59"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951 Calle Amanecer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 Clemente</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California</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92673</w:t>
      </w:r>
    </w:p>
    <w:p>
      <w:pPr>
        <w:spacing w:after="0" w:line="52" w:lineRule="exact"/>
        <w:rPr>
          <w:sz w:val="24"/>
          <w:szCs w:val="24"/>
          <w:color w:val="auto"/>
        </w:rPr>
      </w:pPr>
    </w:p>
    <w:p>
      <w:pPr>
        <w:sectPr>
          <w:pgSz w:w="11900" w:h="16838" w:orient="portrait"/>
          <w:cols w:equalWidth="0" w:num="6">
            <w:col w:w="2680" w:space="360"/>
            <w:col w:w="40" w:space="240"/>
            <w:col w:w="900" w:space="220"/>
            <w:col w:w="40" w:space="380"/>
            <w:col w:w="2400" w:space="720"/>
            <w:col w:w="3260"/>
          </w:cols>
          <w:pgMar w:left="320" w:top="849"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4" w:lineRule="exact"/>
        <w:rPr>
          <w:sz w:val="24"/>
          <w:szCs w:val="24"/>
          <w:color w:val="auto"/>
        </w:rPr>
      </w:pPr>
    </w:p>
    <w:p>
      <w:pPr>
        <w:sectPr>
          <w:pgSz w:w="11900" w:h="16838" w:orient="portrait"/>
          <w:cols w:equalWidth="0" w:num="2">
            <w:col w:w="7120" w:space="720"/>
            <w:col w:w="3400"/>
          </w:cols>
          <w:pgMar w:left="320" w:top="849" w:right="3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(949) 366-2183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849" w:right="339" w:bottom="1440" w:gutter="0" w:footer="0" w:header="0"/>
          <w:type w:val="continuous"/>
        </w:sectPr>
      </w:pPr>
    </w:p>
    <w:p>
      <w:pPr>
        <w:spacing w:after="0" w:line="200" w:lineRule="exact"/>
        <w:rPr>
          <w:sz w:val="24"/>
          <w:szCs w:val="24"/>
          <w:color w:val="auto"/>
        </w:rPr>
      </w:pPr>
    </w:p>
    <w:p>
      <w:pPr>
        <w:ind w:right="180" w:firstLine="310"/>
        <w:spacing w:after="0" w:line="32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1" w:lineRule="exact"/>
        <w:rPr>
          <w:sz w:val="24"/>
          <w:szCs w:val="24"/>
          <w:color w:val="auto"/>
        </w:rPr>
      </w:pPr>
    </w:p>
    <w:p>
      <w:pPr>
        <w:ind w:right="560" w:firstLine="310"/>
        <w:spacing w:after="0" w:line="32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1" w:lineRule="exact"/>
        <w:rPr>
          <w:sz w:val="24"/>
          <w:szCs w:val="24"/>
          <w:color w:val="auto"/>
        </w:rPr>
      </w:pPr>
    </w:p>
    <w:p>
      <w:pPr>
        <w:ind w:right="320" w:firstLine="310"/>
        <w:spacing w:after="0" w:line="32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49" w:right="339" w:bottom="1440" w:gutter="0" w:footer="0" w:header="0"/>
          <w:type w:val="continuous"/>
        </w:sectPr>
      </w:pPr>
    </w:p>
    <w:p>
      <w:pPr>
        <w:spacing w:after="0" w:line="240" w:lineRule="exact"/>
        <w:rPr>
          <w:sz w:val="24"/>
          <w:szCs w:val="24"/>
          <w:color w:val="auto"/>
        </w:rPr>
      </w:pPr>
    </w:p>
    <w:p>
      <w:pPr>
        <w:ind w:left="8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60" w:lineRule="exact"/>
        <w:rPr>
          <w:sz w:val="24"/>
          <w:szCs w:val="24"/>
          <w:color w:val="auto"/>
        </w:rPr>
      </w:pPr>
    </w:p>
    <w:p>
      <w:pPr>
        <w:sectPr>
          <w:pgSz w:w="11900" w:h="16838" w:orient="portrait"/>
          <w:cols w:equalWidth="0" w:num="3">
            <w:col w:w="2800" w:space="720"/>
            <w:col w:w="3800" w:space="720"/>
            <w:col w:w="3200"/>
          </w:cols>
          <w:pgMar w:left="320" w:top="849"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6820" w:space="720"/>
            <w:col w:w="2440" w:space="720"/>
            <w:col w:w="540"/>
          </w:cols>
          <w:pgMar w:left="320" w:top="849" w:right="339" w:bottom="1440" w:gutter="0" w:footer="0" w:header="0"/>
          <w:type w:val="continuous"/>
        </w:sectPr>
      </w:pPr>
    </w:p>
    <w:p>
      <w:pPr>
        <w:spacing w:after="0" w:line="49" w:lineRule="exact"/>
        <w:rPr>
          <w:sz w:val="24"/>
          <w:szCs w:val="24"/>
          <w:color w:val="auto"/>
        </w:rPr>
      </w:pPr>
    </w:p>
    <w:p>
      <w:pPr>
        <w:ind w:left="75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3" w:lineRule="exact"/>
        <w:rPr>
          <w:sz w:val="24"/>
          <w:szCs w:val="24"/>
          <w:color w:val="auto"/>
        </w:rPr>
      </w:pPr>
    </w:p>
    <w:p>
      <w:pPr>
        <w:sectPr>
          <w:pgSz w:w="11900" w:h="16838" w:orient="portrait"/>
          <w:cols w:equalWidth="0" w:num="2">
            <w:col w:w="9980" w:space="720"/>
            <w:col w:w="540"/>
          </w:cols>
          <w:pgMar w:left="320" w:top="849" w:right="339" w:bottom="1440" w:gutter="0" w:footer="0" w:header="0"/>
          <w:type w:val="continuous"/>
        </w:sectPr>
      </w:pPr>
    </w:p>
    <w:p>
      <w:pPr>
        <w:ind w:right="120" w:firstLine="349"/>
        <w:spacing w:after="0" w:line="25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x</w:t>
      </w:r>
    </w:p>
    <w:p>
      <w:pPr>
        <w:spacing w:after="0" w:line="281" w:lineRule="exact"/>
        <w:rPr>
          <w:sz w:val="24"/>
          <w:szCs w:val="24"/>
          <w:color w:val="auto"/>
        </w:rPr>
      </w:pPr>
    </w:p>
    <w:tbl>
      <w:tblPr>
        <w:tblLayout w:type="fixed"/>
        <w:tblInd w:w="320" w:type="dxa"/>
        <w:tblCellMar>
          <w:top w:w="0" w:type="dxa"/>
          <w:left w:w="0" w:type="dxa"/>
          <w:bottom w:w="0" w:type="dxa"/>
          <w:right w:w="0" w:type="dxa"/>
        </w:tblCellMar>
      </w:tblP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640" w:type="dxa"/>
            <w:vAlign w:val="bottom"/>
          </w:tcPr>
          <w:p>
            <w:pPr>
              <w:spacing w:after="0"/>
              <w:rPr>
                <w:sz w:val="17"/>
                <w:szCs w:val="17"/>
                <w:color w:val="auto"/>
              </w:rPr>
            </w:pPr>
          </w:p>
        </w:tc>
        <w:tc>
          <w:tcPr>
            <w:tcW w:w="5440" w:type="dxa"/>
            <w:vAlign w:val="bottom"/>
          </w:tcPr>
          <w:p>
            <w:pPr>
              <w:spacing w:after="0"/>
              <w:rPr>
                <w:sz w:val="17"/>
                <w:szCs w:val="17"/>
                <w:color w:val="auto"/>
              </w:rPr>
            </w:pPr>
          </w:p>
        </w:tc>
      </w:tr>
      <w:tr>
        <w:trPr>
          <w:trHeight w:val="300"/>
        </w:trPr>
        <w:tc>
          <w:tcPr>
            <w:tcW w:w="40" w:type="dxa"/>
            <w:vAlign w:val="bottom"/>
          </w:tcPr>
          <w:p>
            <w:pPr>
              <w:spacing w:after="0"/>
              <w:rPr>
                <w:sz w:val="24"/>
                <w:szCs w:val="24"/>
                <w:color w:val="auto"/>
              </w:rPr>
            </w:pPr>
          </w:p>
        </w:tc>
        <w:tc>
          <w:tcPr>
            <w:tcW w:w="378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4"/>
              </w:rPr>
              <w:t>Title of each class</w:t>
            </w:r>
          </w:p>
        </w:tc>
        <w:tc>
          <w:tcPr>
            <w:tcW w:w="16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Trading Symbol</w:t>
            </w:r>
          </w:p>
        </w:tc>
        <w:tc>
          <w:tcPr>
            <w:tcW w:w="544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4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88"/>
              </w:rPr>
              <w:t>The Nasdaq Stock Market LLC</w:t>
            </w:r>
          </w:p>
        </w:tc>
      </w:tr>
      <w:tr>
        <w:trPr>
          <w:trHeight w:val="223"/>
        </w:trPr>
        <w:tc>
          <w:tcPr>
            <w:tcW w:w="40" w:type="dxa"/>
            <w:vAlign w:val="bottom"/>
          </w:tcPr>
          <w:p>
            <w:pPr>
              <w:spacing w:after="0"/>
              <w:rPr>
                <w:sz w:val="19"/>
                <w:szCs w:val="19"/>
                <w:color w:val="auto"/>
              </w:rPr>
            </w:pPr>
          </w:p>
        </w:tc>
        <w:tc>
          <w:tcPr>
            <w:tcW w:w="3780" w:type="dxa"/>
            <w:vAlign w:val="bottom"/>
          </w:tcPr>
          <w:p>
            <w:pPr>
              <w:jc w:val="center"/>
              <w:ind w:right="2"/>
              <w:spacing w:after="0"/>
              <w:rPr>
                <w:sz w:val="20"/>
                <w:szCs w:val="20"/>
                <w:color w:val="auto"/>
              </w:rPr>
            </w:pPr>
            <w:r>
              <w:rPr>
                <w:rFonts w:ascii="Arial" w:cs="Arial" w:eastAsia="Arial" w:hAnsi="Arial"/>
                <w:sz w:val="16"/>
                <w:szCs w:val="16"/>
                <w:color w:val="auto"/>
                <w:w w:val="86"/>
              </w:rPr>
              <w:t>Common stock, par value $0.10 per share</w:t>
            </w:r>
          </w:p>
        </w:tc>
        <w:tc>
          <w:tcPr>
            <w:tcW w:w="1640" w:type="dxa"/>
            <w:vAlign w:val="bottom"/>
          </w:tcPr>
          <w:p>
            <w:pPr>
              <w:jc w:val="center"/>
              <w:ind w:right="2"/>
              <w:spacing w:after="0"/>
              <w:rPr>
                <w:sz w:val="20"/>
                <w:szCs w:val="20"/>
                <w:color w:val="auto"/>
              </w:rPr>
            </w:pPr>
            <w:r>
              <w:rPr>
                <w:rFonts w:ascii="Arial" w:cs="Arial" w:eastAsia="Arial" w:hAnsi="Arial"/>
                <w:sz w:val="16"/>
                <w:szCs w:val="16"/>
                <w:color w:val="auto"/>
                <w:w w:val="99"/>
              </w:rPr>
              <w:t>ICUI</w:t>
            </w:r>
          </w:p>
        </w:tc>
        <w:tc>
          <w:tcPr>
            <w:tcW w:w="5440" w:type="dxa"/>
            <w:vAlign w:val="bottom"/>
          </w:tcPr>
          <w:p>
            <w:pPr>
              <w:ind w:left="3980"/>
              <w:spacing w:after="0"/>
              <w:rPr>
                <w:sz w:val="20"/>
                <w:szCs w:val="20"/>
                <w:color w:val="auto"/>
              </w:rPr>
            </w:pPr>
            <w:r>
              <w:rPr>
                <w:rFonts w:ascii="Arial" w:cs="Arial" w:eastAsia="Arial" w:hAnsi="Arial"/>
                <w:sz w:val="16"/>
                <w:szCs w:val="16"/>
                <w:color w:val="auto"/>
                <w:w w:val="90"/>
              </w:rPr>
              <w:t>(Global Select Market)</w:t>
            </w:r>
          </w:p>
        </w:tc>
      </w:tr>
    </w:tbl>
    <w:p>
      <w:pPr>
        <w:spacing w:after="0" w:line="88"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Class</w:t>
            </w:r>
          </w:p>
        </w:tc>
        <w:tc>
          <w:tcPr>
            <w:tcW w:w="42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Outstanding at July 31, 2021</w:t>
            </w:r>
          </w:p>
        </w:tc>
        <w:tc>
          <w:tcPr>
            <w:tcW w:w="16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566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Common</w:t>
            </w:r>
          </w:p>
        </w:tc>
        <w:tc>
          <w:tcPr>
            <w:tcW w:w="5240" w:type="dxa"/>
            <w:vAlign w:val="bottom"/>
          </w:tcPr>
          <w:p>
            <w:pPr>
              <w:jc w:val="right"/>
              <w:ind w:right="2202"/>
              <w:spacing w:after="0"/>
              <w:rPr>
                <w:sz w:val="20"/>
                <w:szCs w:val="20"/>
                <w:color w:val="auto"/>
              </w:rPr>
            </w:pPr>
            <w:r>
              <w:rPr>
                <w:rFonts w:ascii="Arial" w:cs="Arial" w:eastAsia="Arial" w:hAnsi="Arial"/>
                <w:sz w:val="16"/>
                <w:szCs w:val="16"/>
                <w:color w:val="auto"/>
              </w:rPr>
              <w:t>21,207,648</w:t>
            </w:r>
          </w:p>
        </w:tc>
        <w:tc>
          <w:tcPr>
            <w:tcW w:w="160" w:type="dxa"/>
            <w:vAlign w:val="bottom"/>
          </w:tcPr>
          <w:p>
            <w:pPr>
              <w:spacing w:after="0"/>
              <w:rPr>
                <w:sz w:val="17"/>
                <w:szCs w:val="17"/>
                <w:color w:val="auto"/>
              </w:rPr>
            </w:pPr>
          </w:p>
        </w:tc>
      </w:tr>
      <w:tr>
        <w:trPr>
          <w:trHeight w:val="864"/>
        </w:trPr>
        <w:tc>
          <w:tcPr>
            <w:tcW w:w="1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60" w:type="dxa"/>
            <w:vAlign w:val="bottom"/>
          </w:tcPr>
          <w:p>
            <w:pPr>
              <w:ind w:left="1500"/>
              <w:spacing w:after="0"/>
              <w:rPr>
                <w:sz w:val="20"/>
                <w:szCs w:val="20"/>
                <w:color w:val="auto"/>
              </w:rPr>
            </w:pPr>
            <w:r>
              <w:rPr>
                <w:rFonts w:ascii="Arial" w:cs="Arial" w:eastAsia="Arial" w:hAnsi="Arial"/>
                <w:sz w:val="17"/>
                <w:szCs w:val="17"/>
                <w:b w:val="1"/>
                <w:bCs w:val="1"/>
                <w:color w:val="auto"/>
              </w:rPr>
              <w:t>Table of Contents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7"/>
                <w:szCs w:val="17"/>
                <w:b w:val="1"/>
                <w:bCs w:val="1"/>
                <w:color w:val="auto"/>
                <w:w w:val="95"/>
              </w:rPr>
              <w:t>PART I.</w:t>
            </w:r>
          </w:p>
        </w:tc>
        <w:tc>
          <w:tcPr>
            <w:tcW w:w="1220" w:type="dxa"/>
            <w:vAlign w:val="bottom"/>
            <w:gridSpan w:val="2"/>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b w:val="1"/>
                <w:bCs w:val="1"/>
                <w:color w:val="auto"/>
              </w:rPr>
              <w:t>Financial Information</w:t>
            </w:r>
          </w:p>
        </w:tc>
        <w:tc>
          <w:tcPr>
            <w:tcW w:w="1400" w:type="dxa"/>
            <w:vAlign w:val="bottom"/>
          </w:tcPr>
          <w:p>
            <w:pPr>
              <w:jc w:val="right"/>
              <w:ind w:right="215"/>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Item 1.</w:t>
            </w:r>
          </w:p>
        </w:tc>
        <w:tc>
          <w:tcPr>
            <w:tcW w:w="1220" w:type="dxa"/>
            <w:vAlign w:val="bottom"/>
            <w:gridSpan w:val="2"/>
            <w:vMerge w:val="restart"/>
          </w:tcPr>
          <w:p>
            <w:pPr>
              <w:spacing w:after="0" w:line="20" w:lineRule="exact"/>
              <w:rPr>
                <w:sz w:val="1"/>
                <w:szCs w:val="1"/>
                <w:color w:val="auto"/>
              </w:rPr>
            </w:pPr>
          </w:p>
        </w:tc>
        <w:tc>
          <w:tcPr>
            <w:tcW w:w="7980" w:type="dxa"/>
            <w:vAlign w:val="bottom"/>
            <w:gridSpan w:val="3"/>
            <w:vMerge w:val="restart"/>
          </w:tcPr>
          <w:p>
            <w:pPr>
              <w:spacing w:after="0"/>
              <w:rPr>
                <w:sz w:val="20"/>
                <w:szCs w:val="20"/>
                <w:color w:val="auto"/>
              </w:rPr>
            </w:pPr>
            <w:r>
              <w:rPr>
                <w:rFonts w:ascii="Arial" w:cs="Arial" w:eastAsia="Arial" w:hAnsi="Arial"/>
                <w:sz w:val="17"/>
                <w:szCs w:val="17"/>
                <w:color w:val="auto"/>
              </w:rPr>
              <w:t>Financial Statements (Unaudited)</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798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Condensed Consolidated Balance Sheets at June 30, 2021 and December 31, 2020</w:t>
            </w:r>
          </w:p>
        </w:tc>
        <w:tc>
          <w:tcPr>
            <w:tcW w:w="140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8"/>
              </w:rPr>
              <w:t>Condensed Consolidated Statements of Operations for the Three and Six Months Ended June 30, 2021 and</w:t>
            </w:r>
          </w:p>
        </w:tc>
        <w:tc>
          <w:tcPr>
            <w:tcW w:w="1400" w:type="dxa"/>
            <w:vAlign w:val="bottom"/>
            <w:vMerge w:val="restart"/>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2020</w:t>
            </w:r>
          </w:p>
        </w:tc>
        <w:tc>
          <w:tcPr>
            <w:tcW w:w="2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5"/>
              </w:rPr>
              <w:t>Condensed Consolidated Statements of Comprehensive Income for the Three and Six Months Ended June 30,</w:t>
            </w:r>
          </w:p>
        </w:tc>
        <w:tc>
          <w:tcPr>
            <w:tcW w:w="1400" w:type="dxa"/>
            <w:vAlign w:val="bottom"/>
            <w:vMerge w:val="restart"/>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2021 and 2020</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8"/>
              </w:rPr>
              <w:t>Condensed Consolidated Statements of Stockholders' Equity for the Three and Six Months Ended June 30,</w:t>
            </w:r>
          </w:p>
        </w:tc>
        <w:tc>
          <w:tcPr>
            <w:tcW w:w="1400" w:type="dxa"/>
            <w:vAlign w:val="bottom"/>
            <w:vMerge w:val="restart"/>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2021 and 2020</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Condensed Consolidated Statements of Cash Flows for the Six Months Ended June 30, 2021 and 2020</w:t>
            </w:r>
          </w:p>
        </w:tc>
        <w:tc>
          <w:tcPr>
            <w:tcW w:w="140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Notes to Condensed Consolidated Financial Statements</w:t>
              </w:r>
            </w:hyperlink>
          </w:p>
        </w:tc>
        <w:tc>
          <w:tcPr>
            <w:tcW w:w="1400" w:type="dxa"/>
            <w:vAlign w:val="bottom"/>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3"/>
          </w:tcPr>
          <w:p>
            <w:pPr>
              <w:spacing w:after="0"/>
              <w:rPr>
                <w:rFonts w:ascii="Arial" w:cs="Arial" w:eastAsia="Arial" w:hAnsi="Arial"/>
                <w:sz w:val="17"/>
                <w:szCs w:val="17"/>
                <w:color w:val="0000FF"/>
              </w:rPr>
            </w:pPr>
            <w:hyperlink w:anchor="page25">
              <w:r>
                <w:rPr>
                  <w:rFonts w:ascii="Arial" w:cs="Arial" w:eastAsia="Arial" w:hAnsi="Arial"/>
                  <w:sz w:val="17"/>
                  <w:szCs w:val="17"/>
                  <w:color w:val="0000FF"/>
                </w:rPr>
                <w:t>Management’s Discussion and Analysis of Financial Condition and Results of Operations</w:t>
              </w:r>
            </w:hyperlink>
          </w:p>
        </w:tc>
        <w:tc>
          <w:tcPr>
            <w:tcW w:w="1400" w:type="dxa"/>
            <w:vAlign w:val="bottom"/>
          </w:tcPr>
          <w:p>
            <w:pPr>
              <w:jc w:val="right"/>
              <w:spacing w:after="0"/>
              <w:rPr>
                <w:rFonts w:ascii="Arial" w:cs="Arial" w:eastAsia="Arial" w:hAnsi="Arial"/>
                <w:sz w:val="17"/>
                <w:szCs w:val="17"/>
                <w:color w:val="0000FF"/>
              </w:rPr>
            </w:pPr>
            <w:hyperlink w:anchor="page25">
              <w:r>
                <w:rPr>
                  <w:rFonts w:ascii="Arial" w:cs="Arial" w:eastAsia="Arial" w:hAnsi="Arial"/>
                  <w:sz w:val="17"/>
                  <w:szCs w:val="17"/>
                  <w:color w:val="0000FF"/>
                </w:rPr>
                <w:t>25</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3.</w:t>
            </w:r>
          </w:p>
        </w:tc>
        <w:tc>
          <w:tcPr>
            <w:tcW w:w="7980" w:type="dxa"/>
            <w:vAlign w:val="bottom"/>
            <w:gridSpan w:val="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Quantitative and Qualitative Disclosures About Market Risk</w:t>
              </w:r>
            </w:hyperlink>
          </w:p>
        </w:tc>
        <w:tc>
          <w:tcPr>
            <w:tcW w:w="140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4.</w:t>
            </w:r>
          </w:p>
        </w:tc>
        <w:tc>
          <w:tcPr>
            <w:tcW w:w="7980" w:type="dxa"/>
            <w:vAlign w:val="bottom"/>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Controls and Procedures</w:t>
              </w:r>
            </w:hyperlink>
          </w:p>
        </w:tc>
        <w:tc>
          <w:tcPr>
            <w:tcW w:w="140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7980" w:type="dxa"/>
            <w:vAlign w:val="bottom"/>
            <w:gridSpan w:val="3"/>
          </w:tcPr>
          <w:p>
            <w:pPr>
              <w:spacing w:after="0"/>
              <w:rPr>
                <w:rFonts w:ascii="Arial" w:cs="Arial" w:eastAsia="Arial" w:hAnsi="Arial"/>
                <w:sz w:val="17"/>
                <w:szCs w:val="17"/>
                <w:b w:val="1"/>
                <w:bCs w:val="1"/>
                <w:color w:val="0000FF"/>
              </w:rPr>
            </w:pPr>
            <w:hyperlink w:anchor="page38">
              <w:r>
                <w:rPr>
                  <w:rFonts w:ascii="Arial" w:cs="Arial" w:eastAsia="Arial" w:hAnsi="Arial"/>
                  <w:sz w:val="17"/>
                  <w:szCs w:val="17"/>
                  <w:b w:val="1"/>
                  <w:bCs w:val="1"/>
                  <w:color w:val="0000FF"/>
                </w:rPr>
                <w:t>Other Information</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Item 1.</w:t>
            </w:r>
          </w:p>
        </w:tc>
        <w:tc>
          <w:tcPr>
            <w:tcW w:w="1160" w:type="dxa"/>
            <w:vAlign w:val="bottom"/>
          </w:tcPr>
          <w:p>
            <w:pPr>
              <w:spacing w:after="0"/>
              <w:rPr>
                <w:sz w:val="20"/>
                <w:szCs w:val="20"/>
                <w:color w:val="auto"/>
              </w:rPr>
            </w:pPr>
          </w:p>
        </w:tc>
        <w:tc>
          <w:tcPr>
            <w:tcW w:w="1380" w:type="dxa"/>
            <w:vAlign w:val="bottom"/>
            <w:tcBorders>
              <w:top w:val="single" w:sz="8" w:color="0000FF"/>
            </w:tcBorders>
          </w:tcPr>
          <w:p>
            <w:pPr>
              <w:spacing w:after="0"/>
              <w:rPr>
                <w:rFonts w:ascii="Arial" w:cs="Arial" w:eastAsia="Arial" w:hAnsi="Arial"/>
                <w:sz w:val="17"/>
                <w:szCs w:val="17"/>
                <w:color w:val="0000FF"/>
                <w:w w:val="96"/>
              </w:rPr>
            </w:pPr>
            <w:hyperlink w:anchor="page38">
              <w:r>
                <w:rPr>
                  <w:rFonts w:ascii="Arial" w:cs="Arial" w:eastAsia="Arial" w:hAnsi="Arial"/>
                  <w:sz w:val="17"/>
                  <w:szCs w:val="17"/>
                  <w:color w:val="0000FF"/>
                  <w:w w:val="96"/>
                </w:rPr>
                <w:t>Legal Proceedings</w:t>
              </w:r>
            </w:hyperlink>
          </w:p>
        </w:tc>
        <w:tc>
          <w:tcPr>
            <w:tcW w:w="6600" w:type="dxa"/>
            <w:vAlign w:val="bottom"/>
            <w:gridSpan w:val="2"/>
          </w:tcPr>
          <w:p>
            <w:pPr>
              <w:spacing w:after="0"/>
              <w:rPr>
                <w:sz w:val="20"/>
                <w:szCs w:val="20"/>
                <w:color w:val="auto"/>
              </w:rPr>
            </w:pPr>
          </w:p>
        </w:tc>
        <w:tc>
          <w:tcPr>
            <w:tcW w:w="140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Item1A.</w:t>
            </w:r>
          </w:p>
        </w:tc>
        <w:tc>
          <w:tcPr>
            <w:tcW w:w="7980" w:type="dxa"/>
            <w:vAlign w:val="bottom"/>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Risk Factors</w:t>
              </w:r>
            </w:hyperlink>
          </w:p>
        </w:tc>
        <w:tc>
          <w:tcPr>
            <w:tcW w:w="140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Unregistered Sales of Equity Securities and Use of Proceeds</w:t>
              </w:r>
            </w:hyperlink>
          </w:p>
        </w:tc>
        <w:tc>
          <w:tcPr>
            <w:tcW w:w="140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6.</w:t>
            </w:r>
          </w:p>
        </w:tc>
        <w:tc>
          <w:tcPr>
            <w:tcW w:w="7980" w:type="dxa"/>
            <w:vAlign w:val="bottom"/>
            <w:gridSpan w:val="3"/>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Exhibits</w:t>
              </w:r>
            </w:hyperlink>
          </w:p>
        </w:tc>
        <w:tc>
          <w:tcPr>
            <w:tcW w:w="1400" w:type="dxa"/>
            <w:vAlign w:val="bottom"/>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39</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Signature</w:t>
              </w:r>
            </w:hyperlink>
          </w:p>
        </w:tc>
        <w:tc>
          <w:tcPr>
            <w:tcW w:w="1400" w:type="dxa"/>
            <w:vAlign w:val="bottom"/>
          </w:tcPr>
          <w:p>
            <w:pPr>
              <w:jc w:val="right"/>
              <w:spacing w:after="0"/>
              <w:rPr>
                <w:rFonts w:ascii="Arial" w:cs="Arial" w:eastAsia="Arial" w:hAnsi="Arial"/>
                <w:sz w:val="17"/>
                <w:szCs w:val="17"/>
                <w:color w:val="0000FF"/>
              </w:rPr>
            </w:pPr>
            <w:hyperlink w:anchor="page39">
              <w:r>
                <w:rPr>
                  <w:rFonts w:ascii="Arial" w:cs="Arial" w:eastAsia="Arial" w:hAnsi="Arial"/>
                  <w:sz w:val="17"/>
                  <w:szCs w:val="17"/>
                  <w:color w:val="0000FF"/>
                </w:rPr>
                <w:t>40</w:t>
              </w:r>
            </w:hyperlink>
          </w:p>
        </w:tc>
        <w:tc>
          <w:tcPr>
            <w:tcW w:w="0" w:type="dxa"/>
            <w:vAlign w:val="bottom"/>
          </w:tcPr>
          <w:p>
            <w:pPr>
              <w:spacing w:after="0"/>
              <w:rPr>
                <w:sz w:val="1"/>
                <w:szCs w:val="1"/>
                <w:color w:val="auto"/>
              </w:rPr>
            </w:pPr>
          </w:p>
        </w:tc>
      </w:tr>
      <w:tr>
        <w:trPr>
          <w:trHeight w:val="814"/>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ind w:left="3720"/>
              <w:spacing w:after="0"/>
              <w:rPr>
                <w:sz w:val="20"/>
                <w:szCs w:val="20"/>
                <w:color w:val="auto"/>
              </w:rPr>
            </w:pPr>
            <w:r>
              <w:rPr>
                <w:rFonts w:ascii="Arial" w:cs="Arial" w:eastAsia="Arial" w:hAnsi="Arial"/>
                <w:sz w:val="17"/>
                <w:szCs w:val="17"/>
                <w:color w:val="auto"/>
              </w:rPr>
              <w:t>2</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u w:val="single" w:color="auto"/>
          <w:color w:val="auto"/>
        </w:rPr>
        <w:t>Item1.</w:t>
      </w:r>
      <w:r>
        <w:rPr>
          <w:sz w:val="20"/>
          <w:szCs w:val="20"/>
          <w:color w:val="auto"/>
        </w:rPr>
        <w:tab/>
      </w:r>
      <w:r>
        <w:rPr>
          <w:rFonts w:ascii="Arial" w:cs="Arial" w:eastAsia="Arial" w:hAnsi="Arial"/>
          <w:sz w:val="15"/>
          <w:szCs w:val="15"/>
          <w:b w:val="1"/>
          <w:bCs w:val="1"/>
          <w:u w:val="single" w:color="auto"/>
          <w:color w:val="auto"/>
        </w:rPr>
        <w:t>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51"/>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386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396,097</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14,687</w:t>
            </w:r>
          </w:p>
        </w:tc>
        <w:tc>
          <w:tcPr>
            <w:tcW w:w="0" w:type="dxa"/>
            <w:vAlign w:val="bottom"/>
          </w:tcPr>
          <w:p>
            <w:pPr>
              <w:spacing w:after="0"/>
              <w:rPr>
                <w:sz w:val="1"/>
                <w:szCs w:val="1"/>
                <w:color w:val="auto"/>
              </w:rPr>
            </w:pPr>
          </w:p>
        </w:tc>
      </w:tr>
      <w:tr>
        <w:trPr>
          <w:trHeight w:val="177"/>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INVESTMENT SECURITIES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410,784</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Accounts receivable, net of allowance for doubtful accounts of $14,590 at June 30, 2021 and $21,490 at December 31, 2020</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120,782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124,093</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314,928</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38,285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29,480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37,979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41,492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973,354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920,777</w:t>
            </w:r>
          </w:p>
        </w:tc>
        <w:tc>
          <w:tcPr>
            <w:tcW w:w="0" w:type="dxa"/>
            <w:vAlign w:val="bottom"/>
          </w:tcPr>
          <w:p>
            <w:pPr>
              <w:spacing w:after="0"/>
              <w:rPr>
                <w:sz w:val="1"/>
                <w:szCs w:val="1"/>
                <w:color w:val="auto"/>
              </w:rPr>
            </w:pPr>
          </w:p>
        </w:tc>
      </w:tr>
      <w:tr>
        <w:trPr>
          <w:trHeight w:val="138"/>
        </w:trPr>
        <w:tc>
          <w:tcPr>
            <w:tcW w:w="8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458,785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466,628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46,571</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LONG-TERM INVESTMENT SECURITIES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12,974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33,001</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189,620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197,231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31,034</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58,051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55,475</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1,802,842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71,864</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85,283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97,021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liability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Contingent earn-out liability</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26,300</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183,664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195,488</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47,835</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LIABILITY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16,440</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COMMITMENTS AND CONTINGENCIES (Note 18)</w:t>
            </w: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Convertible preferred stock, $1.00 par value Authorized—500 shares; Issued and outstanding — none</w:t>
            </w: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824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w w:val="88"/>
              </w:rPr>
              <w:t>Common stock, $0.10 par value — Authorized, 80,000 shares; Issued — 21,219 shares at June 30, 2021 and 21,058 shares at December 31, 2020</w:t>
            </w:r>
          </w:p>
        </w:tc>
        <w:tc>
          <w:tcPr>
            <w:tcW w:w="2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outstanding — 21,208 shares at June 30, 2021 and 21,058 shares at December 31, 2020</w:t>
            </w: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705,582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693,068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at cost (11,223 and 209 shares, respectively)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860,781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808,652</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1,557,265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1,502,265</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1,802,842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2020 balances were derived from audited consolidated financial statements.</w:t>
      </w:r>
    </w:p>
    <w:p>
      <w:pPr>
        <w:spacing w:after="0" w:line="85"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37"/>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580" w:type="dxa"/>
            <w:vAlign w:val="bottom"/>
            <w:gridSpan w:val="5"/>
          </w:tcPr>
          <w:p>
            <w:pPr>
              <w:jc w:val="center"/>
              <w:spacing w:after="0"/>
              <w:rPr>
                <w:sz w:val="20"/>
                <w:szCs w:val="20"/>
                <w:color w:val="auto"/>
              </w:rPr>
            </w:pPr>
            <w:r>
              <w:rPr>
                <w:rFonts w:ascii="Arial" w:cs="Arial" w:eastAsia="Arial" w:hAnsi="Arial"/>
                <w:sz w:val="17"/>
                <w:szCs w:val="17"/>
                <w:b w:val="1"/>
                <w:bCs w:val="1"/>
                <w:color w:val="auto"/>
              </w:rPr>
              <w:t>ICU MEDICAL, INC.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7580" w:type="dxa"/>
            <w:vAlign w:val="bottom"/>
            <w:gridSpan w:val="9"/>
          </w:tcPr>
          <w:p>
            <w:pPr>
              <w:jc w:val="center"/>
              <w:ind w:left="1134"/>
              <w:spacing w:after="0"/>
              <w:rPr>
                <w:sz w:val="20"/>
                <w:szCs w:val="20"/>
                <w:color w:val="auto"/>
              </w:rPr>
            </w:pPr>
            <w:r>
              <w:rPr>
                <w:rFonts w:ascii="Arial" w:cs="Arial" w:eastAsia="Arial" w:hAnsi="Arial"/>
                <w:sz w:val="17"/>
                <w:szCs w:val="17"/>
                <w:b w:val="1"/>
                <w:bCs w:val="1"/>
                <w:color w:val="auto"/>
                <w:w w:val="99"/>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160" w:type="dxa"/>
            <w:vAlign w:val="bottom"/>
            <w:gridSpan w:val="4"/>
          </w:tcPr>
          <w:p>
            <w:pPr>
              <w:jc w:val="center"/>
              <w:ind w:left="394"/>
              <w:spacing w:after="0"/>
              <w:rPr>
                <w:sz w:val="20"/>
                <w:szCs w:val="20"/>
                <w:color w:val="auto"/>
              </w:rPr>
            </w:pPr>
            <w:r>
              <w:rPr>
                <w:rFonts w:ascii="Arial" w:cs="Arial" w:eastAsia="Arial" w:hAnsi="Arial"/>
                <w:sz w:val="17"/>
                <w:szCs w:val="17"/>
                <w:color w:val="auto"/>
                <w:w w:val="89"/>
              </w:rPr>
              <w:t>(In thousands, except per share data)</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1"/>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24"/>
                <w:szCs w:val="24"/>
                <w:color w:val="auto"/>
              </w:rPr>
            </w:pPr>
          </w:p>
        </w:tc>
        <w:tc>
          <w:tcPr>
            <w:tcW w:w="24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Six months ended</w:t>
            </w:r>
          </w:p>
        </w:tc>
      </w:tr>
      <w:tr>
        <w:trPr>
          <w:trHeight w:val="220"/>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631,986</w:t>
            </w:r>
          </w:p>
        </w:tc>
      </w:tr>
      <w:tr>
        <w:trPr>
          <w:trHeight w:val="220"/>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1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198,148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197,095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403,514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404,287</w:t>
            </w:r>
          </w:p>
        </w:tc>
      </w:tr>
      <w:tr>
        <w:trPr>
          <w:trHeight w:val="21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1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123,529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236,209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227,699</w:t>
            </w:r>
          </w:p>
        </w:tc>
      </w:tr>
      <w:tr>
        <w:trPr>
          <w:trHeight w:val="20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139,547</w:t>
            </w:r>
          </w:p>
        </w:tc>
      </w:tr>
      <w:tr>
        <w:trPr>
          <w:trHeight w:val="220"/>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22,094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21,025</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Restructuring, strategic transaction and integration</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18,789</w:t>
            </w:r>
          </w:p>
        </w:tc>
      </w:tr>
      <w:tr>
        <w:trPr>
          <w:trHeight w:val="220"/>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2,700</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89,059</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86,728</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175,169</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182,086</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45,613</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(967)</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(3,427)</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34,832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20,838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61,924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41,219</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(5,477)</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28,398</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18,908</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52,129</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35,742</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38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NET INCOME PER SHARE</w:t>
            </w:r>
          </w:p>
        </w:tc>
        <w:tc>
          <w:tcPr>
            <w:tcW w:w="1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0"/>
        </w:trPr>
        <w:tc>
          <w:tcPr>
            <w:tcW w:w="380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2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2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20,831</w:t>
            </w:r>
          </w:p>
        </w:tc>
      </w:tr>
      <w:tr>
        <w:trPr>
          <w:trHeight w:val="220"/>
        </w:trPr>
        <w:tc>
          <w:tcPr>
            <w:tcW w:w="3800" w:type="dxa"/>
            <w:vAlign w:val="bottom"/>
            <w:gridSpan w:val="2"/>
          </w:tcPr>
          <w:p>
            <w:pPr>
              <w:ind w:left="340"/>
              <w:spacing w:after="0"/>
              <w:rPr>
                <w:sz w:val="20"/>
                <w:szCs w:val="20"/>
                <w:color w:val="auto"/>
              </w:rPr>
            </w:pPr>
            <w:r>
              <w:rPr>
                <w:rFonts w:ascii="Arial" w:cs="Arial" w:eastAsia="Arial" w:hAnsi="Arial"/>
                <w:sz w:val="17"/>
                <w:szCs w:val="17"/>
                <w:color w:val="auto"/>
              </w:rPr>
              <w:t>Diluted</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21,703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21,718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21,545</w:t>
            </w: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300" w:type="dxa"/>
            <w:vAlign w:val="bottom"/>
            <w:gridSpan w:val="4"/>
          </w:tcPr>
          <w:p>
            <w:pPr>
              <w:jc w:val="right"/>
              <w:ind w:right="166"/>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40" w:type="dxa"/>
            <w:vAlign w:val="bottom"/>
          </w:tcPr>
          <w:p>
            <w:pPr>
              <w:spacing w:after="0"/>
              <w:rPr>
                <w:sz w:val="16"/>
                <w:szCs w:val="16"/>
                <w:color w:val="auto"/>
              </w:rPr>
            </w:pPr>
          </w:p>
        </w:tc>
      </w:tr>
      <w:tr>
        <w:trPr>
          <w:trHeight w:val="204"/>
        </w:trPr>
        <w:tc>
          <w:tcPr>
            <w:tcW w:w="55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200"/>
        </w:trPr>
        <w:tc>
          <w:tcPr>
            <w:tcW w:w="55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w w:val="84"/>
              </w:rPr>
              <w:t>2020</w:t>
            </w:r>
          </w:p>
        </w:tc>
      </w:tr>
      <w:tr>
        <w:trPr>
          <w:trHeight w:val="20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40" w:type="dxa"/>
            <w:vAlign w:val="bottom"/>
            <w:shd w:val="clear" w:color="auto" w:fill="CCEEFF"/>
          </w:tcPr>
          <w:p>
            <w:pPr>
              <w:jc w:val="right"/>
              <w:ind w:right="685"/>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5"/>
              </w:rPr>
              <w:t>28,398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5"/>
              </w:rPr>
              <w:t>18,908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52,129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35,742</w:t>
            </w: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68"/>
        </w:trPr>
        <w:tc>
          <w:tcPr>
            <w:tcW w:w="550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4"/>
              </w:rPr>
              <w:t>Cash flow hedge adjustments, net of taxes of $(111) and $356 for the three</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550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3"/>
              </w:rPr>
              <w:t>months ended June 30, 2021 and 2020, respectively, and $(409) and $(577)</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9"/>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 the six months ended June 30, 2021 and 2020, respectively</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20"/>
        </w:trPr>
        <w:tc>
          <w:tcPr>
            <w:tcW w:w="5500" w:type="dxa"/>
            <w:vAlign w:val="bottom"/>
          </w:tcPr>
          <w:p>
            <w:pPr>
              <w:ind w:left="140"/>
              <w:spacing w:after="0"/>
              <w:rPr>
                <w:sz w:val="20"/>
                <w:szCs w:val="20"/>
                <w:color w:val="auto"/>
              </w:rPr>
            </w:pPr>
            <w:r>
              <w:rPr>
                <w:rFonts w:ascii="Arial" w:cs="Arial" w:eastAsia="Arial" w:hAnsi="Arial"/>
                <w:sz w:val="17"/>
                <w:szCs w:val="17"/>
                <w:color w:val="auto"/>
                <w:w w:val="96"/>
              </w:rPr>
              <w:t>Foreign currency translation adjustment, net of taxes of $— for all periods</w:t>
            </w:r>
          </w:p>
        </w:tc>
        <w:tc>
          <w:tcPr>
            <w:tcW w:w="84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4,604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(5,872)</w:t>
            </w:r>
          </w:p>
        </w:tc>
      </w:tr>
      <w:tr>
        <w:trPr>
          <w:trHeight w:val="220"/>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adjustments, net of taxes of $— for all periods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 net of taxes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(7,776)</w:t>
            </w:r>
          </w:p>
        </w:tc>
      </w:tr>
      <w:tr>
        <w:trPr>
          <w:trHeight w:val="22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INCOME</w:t>
            </w:r>
          </w:p>
        </w:tc>
        <w:tc>
          <w:tcPr>
            <w:tcW w:w="84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5"/>
              </w:rPr>
              <w:t>29,360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5"/>
              </w:rPr>
              <w:t>24,642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44,700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4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7"/>
              </w:rPr>
              <w:t>Treasury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60" w:type="dxa"/>
            <w:vAlign w:val="bottom"/>
            <w:gridSpan w:val="4"/>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6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21,058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693,068</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808,652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1,502,265</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left="291"/>
              <w:spacing w:after="0"/>
              <w:rPr>
                <w:sz w:val="20"/>
                <w:szCs w:val="20"/>
                <w:color w:val="auto"/>
              </w:rPr>
            </w:pPr>
            <w:r>
              <w:rPr>
                <w:rFonts w:ascii="Arial" w:cs="Arial" w:eastAsia="Arial" w:hAnsi="Arial"/>
                <w:sz w:val="14"/>
                <w:szCs w:val="14"/>
                <w:color w:val="auto"/>
                <w:w w:val="90"/>
              </w:rPr>
              <w:t>(7,723)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23,731</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701,586</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gridSpan w:val="2"/>
            <w:shd w:val="clear" w:color="auto" w:fill="CCEEFF"/>
          </w:tcPr>
          <w:p>
            <w:pPr>
              <w:jc w:val="center"/>
              <w:ind w:left="291"/>
              <w:spacing w:after="0"/>
              <w:rPr>
                <w:sz w:val="20"/>
                <w:szCs w:val="20"/>
                <w:color w:val="auto"/>
              </w:rPr>
            </w:pPr>
            <w:r>
              <w:rPr>
                <w:rFonts w:ascii="Arial" w:cs="Arial" w:eastAsia="Arial" w:hAnsi="Arial"/>
                <w:sz w:val="14"/>
                <w:szCs w:val="14"/>
                <w:b w:val="1"/>
                <w:bCs w:val="1"/>
                <w:color w:val="auto"/>
                <w:w w:val="90"/>
              </w:rPr>
              <w:t>(5,410)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832,383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(9,913)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1,520,768</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3,237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6,681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6,681</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28,398</w:t>
            </w:r>
          </w:p>
        </w:tc>
        <w:tc>
          <w:tcPr>
            <w:tcW w:w="0" w:type="dxa"/>
            <w:vAlign w:val="bottom"/>
          </w:tcPr>
          <w:p>
            <w:pPr>
              <w:spacing w:after="0"/>
              <w:rPr>
                <w:sz w:val="1"/>
                <w:szCs w:val="1"/>
                <w:color w:val="auto"/>
              </w:rPr>
            </w:pPr>
          </w:p>
        </w:tc>
      </w:tr>
      <w:tr>
        <w:trPr>
          <w:trHeight w:val="202"/>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705,582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gridSpan w:val="2"/>
            <w:shd w:val="clear" w:color="auto" w:fill="CCEEFF"/>
          </w:tcPr>
          <w:p>
            <w:pPr>
              <w:jc w:val="center"/>
              <w:ind w:left="291"/>
              <w:spacing w:after="0"/>
              <w:rPr>
                <w:sz w:val="20"/>
                <w:szCs w:val="20"/>
                <w:color w:val="auto"/>
              </w:rPr>
            </w:pPr>
            <w:r>
              <w:rPr>
                <w:rFonts w:ascii="Arial" w:cs="Arial" w:eastAsia="Arial" w:hAnsi="Arial"/>
                <w:sz w:val="14"/>
                <w:szCs w:val="14"/>
                <w:b w:val="1"/>
                <w:bCs w:val="1"/>
                <w:color w:val="auto"/>
                <w:w w:val="90"/>
              </w:rPr>
              <w:t>(2,269)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860,781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1,557,265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20" w:type="dxa"/>
            <w:vAlign w:val="bottom"/>
          </w:tcPr>
          <w:p>
            <w:pPr>
              <w:spacing w:after="0"/>
              <w:rPr>
                <w:sz w:val="20"/>
                <w:szCs w:val="20"/>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44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1"/>
                <w:szCs w:val="11"/>
                <w:color w:val="auto"/>
              </w:rPr>
            </w:pPr>
          </w:p>
        </w:tc>
        <w:tc>
          <w:tcPr>
            <w:tcW w:w="96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6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20,742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668,947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center"/>
              <w:ind w:left="311"/>
              <w:spacing w:after="0"/>
              <w:rPr>
                <w:sz w:val="20"/>
                <w:szCs w:val="20"/>
                <w:color w:val="auto"/>
              </w:rPr>
            </w:pPr>
            <w:r>
              <w:rPr>
                <w:rFonts w:ascii="Arial" w:cs="Arial" w:eastAsia="Arial" w:hAnsi="Arial"/>
                <w:sz w:val="14"/>
                <w:szCs w:val="14"/>
                <w:b w:val="1"/>
                <w:bCs w:val="1"/>
                <w:color w:val="auto"/>
                <w:w w:val="91"/>
              </w:rPr>
              <w:t>(157)</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721,782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1,377,244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10,758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6,939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6,939</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16,834</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665,679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(1,573)</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738,616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(28,912)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1,375,893</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11"/>
              <w:spacing w:after="0"/>
              <w:rPr>
                <w:sz w:val="20"/>
                <w:szCs w:val="20"/>
                <w:color w:val="auto"/>
              </w:rPr>
            </w:pPr>
            <w:r>
              <w:rPr>
                <w:rFonts w:ascii="Arial" w:cs="Arial" w:eastAsia="Arial" w:hAnsi="Arial"/>
                <w:sz w:val="14"/>
                <w:szCs w:val="14"/>
                <w:color w:val="auto"/>
                <w:w w:val="91"/>
              </w:rPr>
              <w:t>(387)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18,908</w:t>
            </w:r>
          </w:p>
        </w:tc>
        <w:tc>
          <w:tcPr>
            <w:tcW w:w="0" w:type="dxa"/>
            <w:vAlign w:val="bottom"/>
          </w:tcPr>
          <w:p>
            <w:pPr>
              <w:spacing w:after="0"/>
              <w:rPr>
                <w:sz w:val="1"/>
                <w:szCs w:val="1"/>
                <w:color w:val="auto"/>
              </w:rPr>
            </w:pPr>
          </w:p>
        </w:tc>
      </w:tr>
      <w:tr>
        <w:trPr>
          <w:trHeight w:val="202"/>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June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675,497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center"/>
              <w:ind w:left="311"/>
              <w:spacing w:after="0"/>
              <w:rPr>
                <w:sz w:val="20"/>
                <w:szCs w:val="20"/>
                <w:color w:val="auto"/>
              </w:rPr>
            </w:pPr>
            <w:r>
              <w:rPr>
                <w:rFonts w:ascii="Arial" w:cs="Arial" w:eastAsia="Arial" w:hAnsi="Arial"/>
                <w:sz w:val="14"/>
                <w:szCs w:val="14"/>
                <w:b w:val="1"/>
                <w:bCs w:val="1"/>
                <w:color w:val="auto"/>
                <w:w w:val="91"/>
              </w:rPr>
              <w:t>(140)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757,524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1,411,797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left="340" w:right="2560"/>
        <w:spacing w:after="0" w:line="282" w:lineRule="auto"/>
        <w:rPr>
          <w:sz w:val="20"/>
          <w:szCs w:val="20"/>
          <w:color w:val="auto"/>
        </w:rPr>
      </w:pPr>
      <w:r>
        <w:rPr>
          <w:rFonts w:ascii="Arial" w:cs="Arial" w:eastAsia="Arial" w:hAnsi="Arial"/>
          <w:sz w:val="17"/>
          <w:szCs w:val="17"/>
          <w:b w:val="1"/>
          <w:bCs w:val="1"/>
          <w:color w:val="auto"/>
        </w:rPr>
        <w:t xml:space="preserve">ICU MEDICAL, INC. AND SUBSIDIARIES CONDENSED CONSOLIDATED STATEMENTS OF CASH FLOWS (Unaudited) </w:t>
      </w:r>
      <w:r>
        <w:rPr>
          <w:rFonts w:ascii="Arial" w:cs="Arial" w:eastAsia="Arial" w:hAnsi="Arial"/>
          <w:sz w:val="17"/>
          <w:szCs w:val="17"/>
          <w:color w:val="auto"/>
        </w:rPr>
        <w:t>(In thousands)</w:t>
      </w:r>
    </w:p>
    <w:p>
      <w:pPr>
        <w:spacing w:after="0" w:line="270"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Six months ended</w:t>
      </w:r>
    </w:p>
    <w:p>
      <w:pPr>
        <w:ind w:left="9500"/>
        <w:spacing w:after="0"/>
        <w:rPr>
          <w:sz w:val="20"/>
          <w:szCs w:val="20"/>
          <w:color w:val="auto"/>
        </w:rPr>
      </w:pPr>
      <w:r>
        <w:rPr>
          <w:rFonts w:ascii="Arial" w:cs="Arial" w:eastAsia="Arial" w:hAnsi="Arial"/>
          <w:sz w:val="14"/>
          <w:szCs w:val="14"/>
          <w:b w:val="1"/>
          <w:bCs w:val="1"/>
          <w:color w:val="auto"/>
        </w:rPr>
        <w:t>June 30,</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7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52,129</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35,742</w:t>
            </w: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44,319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42,575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right-of-use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Provision for doubtful accounts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warranty and returns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Stock compensation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12,703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12,349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disposal of property and equipment and other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Bond premium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issuance costs amortization</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Change in fair value of contingent earn-out</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2,700</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Product-related charges</w:t>
            </w: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Usage of spare parts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5,045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8,481</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(7,223)</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(23,305)</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(17,068)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(15,257)</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w:t>
            </w:r>
          </w:p>
        </w:tc>
      </w:tr>
      <w:tr>
        <w:trPr>
          <w:trHeight w:val="171"/>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106,082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68,740</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(29,693)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(38,517)</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asset</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Intangible asset additions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(4,104)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investment securities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(7,082)</w:t>
            </w: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sale of investment securities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16,400</w:t>
            </w:r>
          </w:p>
        </w:tc>
      </w:tr>
      <w:tr>
        <w:trPr>
          <w:trHeight w:val="177"/>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(36,660)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(33,156)</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short-term debt</w:t>
            </w:r>
          </w:p>
        </w:tc>
        <w:tc>
          <w:tcPr>
            <w:tcW w:w="9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6,799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finance leases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(12,561)</w:t>
            </w:r>
          </w:p>
        </w:tc>
      </w:tr>
      <w:tr>
        <w:trPr>
          <w:trHeight w:val="177"/>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provided by financing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144,122</w:t>
            </w:r>
          </w:p>
        </w:tc>
      </w:tr>
      <w:tr>
        <w:trPr>
          <w:trHeight w:val="17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(2,242)</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CASH AND CASH EQUIVALENTS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177,464</w:t>
            </w:r>
          </w:p>
        </w:tc>
      </w:tr>
      <w:tr>
        <w:trPr>
          <w:trHeight w:val="17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396,097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268,670</w:t>
            </w:r>
          </w:p>
        </w:tc>
      </w:tr>
      <w:tr>
        <w:trPr>
          <w:trHeight w:val="20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462,037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446,134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ICU MEDICAL, INC. AND SUBSIDIARIES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CONDENSED CONSOLIDATED STATEMENTS OF CASH FLOWS (Unaudited) - CONTINUED</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center"/>
              <w:ind w:right="282"/>
              <w:spacing w:after="0"/>
              <w:rPr>
                <w:sz w:val="20"/>
                <w:szCs w:val="20"/>
                <w:color w:val="auto"/>
              </w:rPr>
            </w:pPr>
            <w:r>
              <w:rPr>
                <w:rFonts w:ascii="Arial" w:cs="Arial" w:eastAsia="Arial" w:hAnsi="Arial"/>
                <w:sz w:val="17"/>
                <w:szCs w:val="17"/>
                <w:b w:val="1"/>
                <w:bCs w:val="1"/>
                <w:color w:val="auto"/>
                <w:w w:val="88"/>
              </w:rPr>
              <w:t>Six months ended</w:t>
            </w:r>
          </w:p>
        </w:tc>
      </w:tr>
      <w:tr>
        <w:trPr>
          <w:trHeight w:val="220"/>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7"/>
                <w:szCs w:val="17"/>
                <w:b w:val="1"/>
                <w:bCs w:val="1"/>
                <w:color w:val="auto"/>
                <w:w w:val="91"/>
              </w:rPr>
              <w:t>June 30,</w:t>
            </w:r>
          </w:p>
        </w:tc>
        <w:tc>
          <w:tcPr>
            <w:tcW w:w="980" w:type="dxa"/>
            <w:vAlign w:val="bottom"/>
            <w:tcBorders>
              <w:bottom w:val="single" w:sz="8" w:color="auto"/>
            </w:tcBorders>
          </w:tcPr>
          <w:p>
            <w:pPr>
              <w:spacing w:after="0"/>
              <w:rPr>
                <w:sz w:val="19"/>
                <w:szCs w:val="19"/>
                <w:color w:val="auto"/>
              </w:rPr>
            </w:pPr>
          </w:p>
        </w:tc>
      </w:tr>
      <w:tr>
        <w:trPr>
          <w:trHeight w:val="197"/>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2020</w:t>
            </w: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1"/>
        </w:trPr>
        <w:tc>
          <w:tcPr>
            <w:tcW w:w="8300" w:type="dxa"/>
            <w:vAlign w:val="bottom"/>
          </w:tcPr>
          <w:p>
            <w:pPr>
              <w:ind w:left="80"/>
              <w:spacing w:after="0"/>
              <w:rPr>
                <w:sz w:val="20"/>
                <w:szCs w:val="20"/>
                <w:color w:val="auto"/>
              </w:rPr>
            </w:pPr>
            <w:r>
              <w:rPr>
                <w:rFonts w:ascii="Arial" w:cs="Arial" w:eastAsia="Arial" w:hAnsi="Arial"/>
                <w:sz w:val="16"/>
                <w:szCs w:val="16"/>
                <w:color w:val="auto"/>
              </w:rPr>
              <w:t>Accounts payable for property and equipment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9,775</w:t>
            </w:r>
          </w:p>
        </w:tc>
      </w:tr>
    </w:tbl>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4"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2020.</w:t>
      </w:r>
    </w:p>
    <w:p>
      <w:pPr>
        <w:spacing w:after="0" w:line="180" w:lineRule="exact"/>
        <w:rPr>
          <w:sz w:val="20"/>
          <w:szCs w:val="20"/>
          <w:color w:val="auto"/>
        </w:rPr>
      </w:pPr>
    </w:p>
    <w:p>
      <w:pPr>
        <w:ind w:right="100" w:firstLine="620"/>
        <w:spacing w:after="0" w:line="285"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44" w:lineRule="exact"/>
        <w:rPr>
          <w:sz w:val="20"/>
          <w:szCs w:val="20"/>
          <w:color w:val="auto"/>
        </w:rPr>
      </w:pPr>
    </w:p>
    <w:p>
      <w:pPr>
        <w:ind w:firstLine="172"/>
        <w:spacing w:after="0" w:line="274" w:lineRule="auto"/>
        <w:rPr>
          <w:sz w:val="20"/>
          <w:szCs w:val="20"/>
          <w:color w:val="auto"/>
        </w:rPr>
      </w:pPr>
      <w:r>
        <w:rPr>
          <w:rFonts w:ascii="Arial" w:cs="Arial" w:eastAsia="Arial" w:hAnsi="Arial"/>
          <w:sz w:val="16"/>
          <w:szCs w:val="16"/>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The impact of this ASU on our contracts has not been material.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Restructuring, Strategic Transaction and Integration</w:t>
      </w:r>
    </w:p>
    <w:p>
      <w:pPr>
        <w:spacing w:after="0" w:line="250" w:lineRule="exact"/>
        <w:rPr>
          <w:sz w:val="20"/>
          <w:szCs w:val="20"/>
          <w:color w:val="auto"/>
        </w:rPr>
      </w:pPr>
    </w:p>
    <w:p>
      <w:pPr>
        <w:ind w:right="140" w:firstLine="172"/>
        <w:spacing w:after="0" w:line="283" w:lineRule="auto"/>
        <w:rPr>
          <w:sz w:val="20"/>
          <w:szCs w:val="20"/>
          <w:color w:val="auto"/>
        </w:rPr>
      </w:pPr>
      <w:r>
        <w:rPr>
          <w:rFonts w:ascii="Arial" w:cs="Arial" w:eastAsia="Arial" w:hAnsi="Arial"/>
          <w:sz w:val="17"/>
          <w:szCs w:val="17"/>
          <w:color w:val="auto"/>
        </w:rPr>
        <w:t>Restructuring, strategic transaction and integration expenses were $3.8 million and $6.6 million for the three and six months ended June 30, 2021 respectively, as compared to $6.5 million and $18.8 million for the three and six months ended June 30,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w:t>
      </w:r>
    </w:p>
    <w:p>
      <w:pPr>
        <w:spacing w:after="0" w:line="244" w:lineRule="exact"/>
        <w:rPr>
          <w:sz w:val="20"/>
          <w:szCs w:val="20"/>
          <w:color w:val="auto"/>
        </w:rPr>
      </w:pPr>
    </w:p>
    <w:p>
      <w:pPr>
        <w:ind w:right="240" w:firstLine="172"/>
        <w:spacing w:after="0" w:line="261" w:lineRule="auto"/>
        <w:rPr>
          <w:sz w:val="20"/>
          <w:szCs w:val="20"/>
          <w:color w:val="auto"/>
        </w:rPr>
      </w:pPr>
      <w:r>
        <w:rPr>
          <w:rFonts w:ascii="Arial" w:cs="Arial" w:eastAsia="Arial" w:hAnsi="Arial"/>
          <w:sz w:val="17"/>
          <w:szCs w:val="17"/>
          <w:color w:val="auto"/>
        </w:rPr>
        <w:t>During the three and six months ended June 30, 2021 restructuring charges were $0.1 million and $0.1 million, respectively. During the three and six months ended June 30, 2020 restructuring charges were $0.9 million and $8.1 million, respectively. Restructuring charges for the three and six months ended June 30, 2021 were primarily related to severance charges. Restructuring charges for the three and six months ended June 30, 2020 were primarily related to severance charges and costs related to office and other facility closures. Restructuring charges are included in the above restructuring, strategic transaction and integration expenses in our condensed consolidated statement of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details of changes in our restructuring-related accrual for the period ended June 30, 2021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Accrued Balance</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Charges</w:t>
            </w:r>
          </w:p>
        </w:tc>
        <w:tc>
          <w:tcPr>
            <w:tcW w:w="2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Payments</w:t>
            </w:r>
          </w:p>
        </w:tc>
        <w:tc>
          <w:tcPr>
            <w:tcW w:w="26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6"/>
                <w:szCs w:val="16"/>
                <w:color w:val="auto"/>
              </w:rPr>
            </w:pPr>
          </w:p>
        </w:tc>
        <w:tc>
          <w:tcPr>
            <w:tcW w:w="1420" w:type="dxa"/>
            <w:vAlign w:val="bottom"/>
          </w:tcPr>
          <w:p>
            <w:pPr>
              <w:jc w:val="right"/>
              <w:ind w:right="157"/>
              <w:spacing w:after="0"/>
              <w:rPr>
                <w:sz w:val="20"/>
                <w:szCs w:val="20"/>
                <w:color w:val="auto"/>
              </w:rPr>
            </w:pPr>
            <w:r>
              <w:rPr>
                <w:rFonts w:ascii="Arial" w:cs="Arial" w:eastAsia="Arial" w:hAnsi="Arial"/>
                <w:sz w:val="16"/>
                <w:szCs w:val="16"/>
                <w:b w:val="1"/>
                <w:bCs w:val="1"/>
                <w:color w:val="auto"/>
                <w:w w:val="89"/>
              </w:rPr>
              <w:t>Accrued Balance</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January 1, 2021</w:t>
            </w:r>
          </w:p>
        </w:tc>
        <w:tc>
          <w:tcPr>
            <w:tcW w:w="3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Incurred</w:t>
            </w:r>
          </w:p>
        </w:tc>
        <w:tc>
          <w:tcPr>
            <w:tcW w:w="2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Translation</w:t>
            </w:r>
          </w:p>
        </w:tc>
        <w:tc>
          <w:tcPr>
            <w:tcW w:w="160" w:type="dxa"/>
            <w:vAlign w:val="bottom"/>
          </w:tcPr>
          <w:p>
            <w:pPr>
              <w:spacing w:after="0"/>
              <w:rPr>
                <w:sz w:val="17"/>
                <w:szCs w:val="17"/>
                <w:color w:val="auto"/>
              </w:rPr>
            </w:pPr>
          </w:p>
        </w:tc>
        <w:tc>
          <w:tcPr>
            <w:tcW w:w="1420" w:type="dxa"/>
            <w:vAlign w:val="bottom"/>
          </w:tcPr>
          <w:p>
            <w:pPr>
              <w:jc w:val="right"/>
              <w:ind w:right="257"/>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Severance pay and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7"/>
                <w:szCs w:val="17"/>
                <w:color w:val="auto"/>
              </w:rPr>
              <w:t>Facility closure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6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1,602</w:t>
            </w:r>
          </w:p>
        </w:tc>
        <w:tc>
          <w:tcPr>
            <w:tcW w:w="0" w:type="dxa"/>
            <w:vAlign w:val="bottom"/>
          </w:tcPr>
          <w:p>
            <w:pPr>
              <w:spacing w:after="0"/>
              <w:rPr>
                <w:sz w:val="1"/>
                <w:szCs w:val="1"/>
                <w:color w:val="auto"/>
              </w:rPr>
            </w:pPr>
          </w:p>
        </w:tc>
      </w:tr>
      <w:tr>
        <w:trPr>
          <w:trHeight w:val="238"/>
        </w:trPr>
        <w:tc>
          <w:tcPr>
            <w:tcW w:w="30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4" w:lineRule="exact"/>
        <w:rPr>
          <w:sz w:val="20"/>
          <w:szCs w:val="20"/>
          <w:color w:val="auto"/>
        </w:rPr>
      </w:pPr>
    </w:p>
    <w:p>
      <w:pPr>
        <w:ind w:firstLine="169"/>
        <w:spacing w:after="0" w:line="258" w:lineRule="auto"/>
        <w:rPr>
          <w:sz w:val="20"/>
          <w:szCs w:val="20"/>
          <w:color w:val="auto"/>
        </w:rPr>
      </w:pPr>
      <w:r>
        <w:rPr>
          <w:rFonts w:ascii="Arial" w:cs="Arial" w:eastAsia="Arial" w:hAnsi="Arial"/>
          <w:sz w:val="17"/>
          <w:szCs w:val="17"/>
          <w:color w:val="auto"/>
        </w:rPr>
        <w:t>We incurred and expensed $3.7 million and $6.5 million in strategic transaction and integration expenses during the three and six months ended June 30, 2021, as compared to $5.6 million and $10.7 million during the three and six months ended June 30, 2020, respectively, which are included in restructuring, strategic transaction and integration expenses in our condensed consolidated statement of operations. The strategic transaction and integration expenses during the three and six months ended June 30, 2021 were primarily related to integration costs associated with acquisitions, the Hospira Infusion Systems ("HIS") earn-out dispute with Pfizer and one-time costs incurred to comply with regulatory initiatives. The strategic transaction and integration expenses during the three and six months ended June 30, 2020 were primarily related to the integration of the HIS business acquired in 2017 from Pfizer, which included the migration of IT systems at our Austin facility.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Revenue</w:t>
      </w:r>
    </w:p>
    <w:p>
      <w:pPr>
        <w:spacing w:after="0" w:line="250" w:lineRule="exact"/>
        <w:rPr>
          <w:sz w:val="20"/>
          <w:szCs w:val="20"/>
          <w:color w:val="auto"/>
        </w:rPr>
      </w:pPr>
    </w:p>
    <w:p>
      <w:pPr>
        <w:ind w:right="20" w:firstLine="172"/>
        <w:spacing w:after="0" w:line="285" w:lineRule="auto"/>
        <w:rPr>
          <w:sz w:val="20"/>
          <w:szCs w:val="20"/>
          <w:color w:val="auto"/>
        </w:rPr>
      </w:pPr>
      <w:r>
        <w:rPr>
          <w:rFonts w:ascii="Arial" w:cs="Arial" w:eastAsia="Arial" w:hAnsi="Arial"/>
          <w:sz w:val="16"/>
          <w:szCs w:val="16"/>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186" w:lineRule="exact"/>
        <w:rPr>
          <w:sz w:val="20"/>
          <w:szCs w:val="20"/>
          <w:color w:val="auto"/>
        </w:rPr>
      </w:pPr>
    </w:p>
    <w:p>
      <w:pPr>
        <w:ind w:right="120" w:firstLine="172"/>
        <w:spacing w:after="0" w:line="298" w:lineRule="auto"/>
        <w:rPr>
          <w:sz w:val="20"/>
          <w:szCs w:val="20"/>
          <w:color w:val="auto"/>
        </w:rPr>
      </w:pPr>
      <w:r>
        <w:rPr>
          <w:rFonts w:ascii="Arial" w:cs="Arial" w:eastAsia="Arial" w:hAnsi="Arial"/>
          <w:sz w:val="15"/>
          <w:szCs w:val="15"/>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181" w:lineRule="exact"/>
        <w:rPr>
          <w:sz w:val="20"/>
          <w:szCs w:val="20"/>
          <w:color w:val="auto"/>
        </w:rPr>
      </w:pPr>
    </w:p>
    <w:p>
      <w:pPr>
        <w:ind w:right="300" w:firstLine="169"/>
        <w:spacing w:after="0" w:line="261" w:lineRule="auto"/>
        <w:rPr>
          <w:sz w:val="20"/>
          <w:szCs w:val="20"/>
          <w:color w:val="auto"/>
        </w:rPr>
      </w:pPr>
      <w:r>
        <w:rPr>
          <w:rFonts w:ascii="Arial" w:cs="Arial" w:eastAsia="Arial" w:hAnsi="Arial"/>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disaggregated</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represents our revenues disaggregated by geography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three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six months</w:t>
            </w:r>
          </w:p>
        </w:tc>
        <w:tc>
          <w:tcPr>
            <w:tcW w:w="1120" w:type="dxa"/>
            <w:vAlign w:val="bottom"/>
          </w:tcPr>
          <w:p>
            <w:pPr>
              <w:spacing w:after="0"/>
              <w:rPr>
                <w:sz w:val="16"/>
                <w:szCs w:val="16"/>
                <w:color w:val="auto"/>
              </w:rPr>
            </w:pPr>
          </w:p>
        </w:tc>
      </w:tr>
      <w:tr>
        <w:trPr>
          <w:trHeight w:val="220"/>
        </w:trPr>
        <w:tc>
          <w:tcPr>
            <w:tcW w:w="3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ended June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ended June 30,</w:t>
            </w:r>
          </w:p>
        </w:tc>
        <w:tc>
          <w:tcPr>
            <w:tcW w:w="1120" w:type="dxa"/>
            <w:vAlign w:val="bottom"/>
            <w:tcBorders>
              <w:bottom w:val="single" w:sz="8" w:color="auto"/>
            </w:tcBorders>
          </w:tcPr>
          <w:p>
            <w:pPr>
              <w:spacing w:after="0"/>
              <w:rPr>
                <w:sz w:val="19"/>
                <w:szCs w:val="19"/>
                <w:color w:val="auto"/>
              </w:rPr>
            </w:pPr>
          </w:p>
        </w:tc>
      </w:tr>
      <w:tr>
        <w:trPr>
          <w:trHeight w:val="21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Geography</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2020</w:t>
            </w:r>
          </w:p>
        </w:tc>
      </w:tr>
      <w:tr>
        <w:trPr>
          <w:trHeight w:val="213"/>
        </w:trPr>
        <w:tc>
          <w:tcPr>
            <w:tcW w:w="3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 the Middle East and Africa</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72,560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66,511</w:t>
            </w:r>
          </w:p>
        </w:tc>
      </w:tr>
      <w:tr>
        <w:trPr>
          <w:trHeight w:val="220"/>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59,249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115,145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127,093</w:t>
            </w:r>
          </w:p>
        </w:tc>
      </w:tr>
      <w:tr>
        <w:trPr>
          <w:trHeight w:val="21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187,705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193,604</w:t>
            </w:r>
          </w:p>
        </w:tc>
      </w:tr>
      <w:tr>
        <w:trPr>
          <w:trHeight w:val="220"/>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United States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224,667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452,018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438,382</w:t>
            </w:r>
          </w:p>
        </w:tc>
      </w:tr>
      <w:tr>
        <w:trPr>
          <w:trHeight w:val="23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321,677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303,379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639,723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631,986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represents our revenues disaggregated by product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three months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six months</w:t>
            </w:r>
          </w:p>
        </w:tc>
        <w:tc>
          <w:tcPr>
            <w:tcW w:w="1120" w:type="dxa"/>
            <w:vAlign w:val="bottom"/>
          </w:tcPr>
          <w:p>
            <w:pPr>
              <w:spacing w:after="0"/>
              <w:rPr>
                <w:sz w:val="16"/>
                <w:szCs w:val="16"/>
                <w:color w:val="auto"/>
              </w:rPr>
            </w:pPr>
          </w:p>
        </w:tc>
      </w:tr>
      <w:tr>
        <w:trPr>
          <w:trHeight w:val="220"/>
        </w:trPr>
        <w:tc>
          <w:tcPr>
            <w:tcW w:w="37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ended June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ended June 30,</w:t>
            </w:r>
          </w:p>
        </w:tc>
        <w:tc>
          <w:tcPr>
            <w:tcW w:w="1120" w:type="dxa"/>
            <w:vAlign w:val="bottom"/>
            <w:tcBorders>
              <w:bottom w:val="single" w:sz="8" w:color="auto"/>
            </w:tcBorders>
          </w:tcPr>
          <w:p>
            <w:pPr>
              <w:spacing w:after="0"/>
              <w:rPr>
                <w:sz w:val="19"/>
                <w:szCs w:val="19"/>
                <w:color w:val="auto"/>
              </w:rPr>
            </w:pPr>
          </w:p>
        </w:tc>
      </w:tr>
      <w:tr>
        <w:trPr>
          <w:trHeight w:val="21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Product line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2020</w:t>
            </w:r>
          </w:p>
        </w:tc>
      </w:tr>
      <w:tr>
        <w:trPr>
          <w:trHeight w:val="213"/>
        </w:trPr>
        <w:tc>
          <w:tcPr>
            <w:tcW w:w="3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Infusion Consumables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262,569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234,500</w:t>
            </w:r>
          </w:p>
        </w:tc>
      </w:tr>
      <w:tr>
        <w:trPr>
          <w:trHeight w:val="220"/>
        </w:trPr>
        <w:tc>
          <w:tcPr>
            <w:tcW w:w="3780" w:type="dxa"/>
            <w:vAlign w:val="bottom"/>
          </w:tcPr>
          <w:p>
            <w:pPr>
              <w:ind w:left="140"/>
              <w:spacing w:after="0"/>
              <w:rPr>
                <w:sz w:val="20"/>
                <w:szCs w:val="20"/>
                <w:color w:val="auto"/>
              </w:rPr>
            </w:pPr>
            <w:r>
              <w:rPr>
                <w:rFonts w:ascii="Arial" w:cs="Arial" w:eastAsia="Arial" w:hAnsi="Arial"/>
                <w:sz w:val="17"/>
                <w:szCs w:val="17"/>
                <w:color w:val="auto"/>
              </w:rPr>
              <w:t>Infusion Systems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84,661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91,088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168,995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179,468</w:t>
            </w:r>
          </w:p>
        </w:tc>
      </w:tr>
      <w:tr>
        <w:trPr>
          <w:trHeight w:val="220"/>
        </w:trPr>
        <w:tc>
          <w:tcPr>
            <w:tcW w:w="3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IV Solutions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182,597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193,469</w:t>
            </w:r>
          </w:p>
        </w:tc>
      </w:tr>
      <w:tr>
        <w:trPr>
          <w:trHeight w:val="220"/>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Critical Care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24,549</w:t>
            </w:r>
          </w:p>
        </w:tc>
      </w:tr>
      <w:tr>
        <w:trPr>
          <w:trHeight w:val="23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321,677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303,379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639,723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631,986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our changes in the contract balances for the six months ended June 30, 2021 and 2020 (in thousands):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Contract Liabilities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January 1,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4,754</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4,355</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(2,212)</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Ending balance, June 30, 2021</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(4,968)</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9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9020" w:type="dxa"/>
            <w:vAlign w:val="bottom"/>
          </w:tcPr>
          <w:p>
            <w:pPr>
              <w:ind w:left="20"/>
              <w:spacing w:after="0"/>
              <w:rPr>
                <w:sz w:val="20"/>
                <w:szCs w:val="20"/>
                <w:color w:val="auto"/>
              </w:rPr>
            </w:pPr>
            <w:r>
              <w:rPr>
                <w:rFonts w:ascii="Arial" w:cs="Arial" w:eastAsia="Arial" w:hAnsi="Arial"/>
                <w:sz w:val="17"/>
                <w:szCs w:val="17"/>
                <w:color w:val="auto"/>
              </w:rPr>
              <w:t>Beginning balance, January 1, 2020</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(4,855)</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recognized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(10,347)</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recognized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3,340</w:t>
            </w:r>
          </w:p>
        </w:tc>
      </w:tr>
      <w:tr>
        <w:trPr>
          <w:trHeight w:val="220"/>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(3,643)</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 June 30, 2020</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 w:firstLine="163"/>
        <w:spacing w:after="0" w:line="263" w:lineRule="auto"/>
        <w:rPr>
          <w:sz w:val="20"/>
          <w:szCs w:val="20"/>
          <w:color w:val="auto"/>
        </w:rPr>
      </w:pPr>
      <w:r>
        <w:rPr>
          <w:rFonts w:ascii="Arial" w:cs="Arial" w:eastAsia="Arial" w:hAnsi="Arial"/>
          <w:sz w:val="17"/>
          <w:szCs w:val="17"/>
          <w:color w:val="auto"/>
        </w:rPr>
        <w:t>As of June 30, 2021, revenue from remaining performance obligations related to implementation of software and equipment is $3.7 million. We expect to recognize substantially all of this revenue within the next three to six months dependent on implementation restrictions due to the novel coronavirus and its variants ("COVID-19"). Revenue from remaining performance obligations related to annual software licenses is $1.3 million. We expect to recognize substantially all of this revenue over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Leases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44" w:lineRule="exact"/>
        <w:rPr>
          <w:sz w:val="20"/>
          <w:szCs w:val="20"/>
          <w:color w:val="auto"/>
        </w:rPr>
      </w:pPr>
    </w:p>
    <w:p>
      <w:pPr>
        <w:ind w:right="160" w:firstLine="172"/>
        <w:spacing w:after="0" w:line="263" w:lineRule="auto"/>
        <w:rPr>
          <w:sz w:val="20"/>
          <w:szCs w:val="20"/>
          <w:color w:val="auto"/>
        </w:rPr>
      </w:pPr>
      <w:r>
        <w:rPr>
          <w:rFonts w:ascii="Arial" w:cs="Arial" w:eastAsia="Arial" w:hAnsi="Arial"/>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03" w:lineRule="exact"/>
        <w:rPr>
          <w:sz w:val="20"/>
          <w:szCs w:val="20"/>
          <w:color w:val="auto"/>
        </w:rPr>
      </w:pPr>
    </w:p>
    <w:p>
      <w:pPr>
        <w:ind w:right="200" w:firstLine="172"/>
        <w:spacing w:after="0" w:line="309" w:lineRule="auto"/>
        <w:rPr>
          <w:sz w:val="20"/>
          <w:szCs w:val="20"/>
          <w:color w:val="auto"/>
        </w:rPr>
      </w:pPr>
      <w:r>
        <w:rPr>
          <w:rFonts w:ascii="Arial" w:cs="Arial" w:eastAsia="Arial" w:hAnsi="Arial"/>
          <w:sz w:val="15"/>
          <w:szCs w:val="15"/>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stated lease payments, which may include fixed rental increases. Lease expense for minimum lease payments is recognized on a straight-line basis over the lease term.</w:t>
      </w:r>
    </w:p>
    <w:p>
      <w:pPr>
        <w:spacing w:after="0" w:line="159" w:lineRule="exact"/>
        <w:rPr>
          <w:sz w:val="20"/>
          <w:szCs w:val="20"/>
          <w:color w:val="auto"/>
        </w:rPr>
      </w:pPr>
    </w:p>
    <w:p>
      <w:pPr>
        <w:ind w:right="200" w:firstLine="172"/>
        <w:spacing w:after="0" w:line="320" w:lineRule="auto"/>
        <w:rPr>
          <w:sz w:val="20"/>
          <w:szCs w:val="20"/>
          <w:color w:val="auto"/>
        </w:rPr>
      </w:pPr>
      <w:r>
        <w:rPr>
          <w:rFonts w:ascii="Arial" w:cs="Arial" w:eastAsia="Arial" w:hAnsi="Arial"/>
          <w:sz w:val="15"/>
          <w:szCs w:val="15"/>
          <w:color w:val="auto"/>
        </w:rPr>
        <w:t>Our leases are for corporate, research and development and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components of our lease cost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600" w:type="dxa"/>
            <w:vAlign w:val="bottom"/>
            <w:gridSpan w:val="4"/>
          </w:tcPr>
          <w:p>
            <w:pPr>
              <w:jc w:val="right"/>
              <w:ind w:right="174"/>
              <w:spacing w:after="0"/>
              <w:rPr>
                <w:sz w:val="20"/>
                <w:szCs w:val="20"/>
                <w:color w:val="auto"/>
              </w:rPr>
            </w:pPr>
            <w:r>
              <w:rPr>
                <w:rFonts w:ascii="Arial" w:cs="Arial" w:eastAsia="Arial" w:hAnsi="Arial"/>
                <w:sz w:val="17"/>
                <w:szCs w:val="17"/>
                <w:b w:val="1"/>
                <w:bCs w:val="1"/>
                <w:color w:val="auto"/>
              </w:rPr>
              <w:t>For the three months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For the six months</w:t>
            </w:r>
          </w:p>
        </w:tc>
      </w:tr>
      <w:tr>
        <w:trPr>
          <w:trHeight w:val="220"/>
        </w:trPr>
        <w:tc>
          <w:tcPr>
            <w:tcW w:w="49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7"/>
                <w:szCs w:val="17"/>
                <w:b w:val="1"/>
                <w:bCs w:val="1"/>
                <w:color w:val="auto"/>
                <w:w w:val="93"/>
              </w:rPr>
              <w:t>ended June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ended June 30</w:t>
            </w:r>
          </w:p>
        </w:tc>
        <w:tc>
          <w:tcPr>
            <w:tcW w:w="960" w:type="dxa"/>
            <w:vAlign w:val="bottom"/>
            <w:tcBorders>
              <w:bottom w:val="single" w:sz="8" w:color="auto"/>
            </w:tcBorders>
          </w:tcPr>
          <w:p>
            <w:pPr>
              <w:spacing w:after="0"/>
              <w:rPr>
                <w:sz w:val="19"/>
                <w:szCs w:val="19"/>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w w:val="95"/>
              </w:rPr>
              <w:t>2020</w:t>
            </w: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5,567</w:t>
            </w:r>
          </w:p>
        </w:tc>
      </w:tr>
      <w:tr>
        <w:trPr>
          <w:trHeight w:val="142"/>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interest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142"/>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amortization of ROU asset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142"/>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142"/>
        </w:trPr>
        <w:tc>
          <w:tcPr>
            <w:tcW w:w="49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40" w:firstLine="620"/>
        <w:spacing w:after="0" w:line="353" w:lineRule="auto"/>
        <w:rPr>
          <w:sz w:val="20"/>
          <w:szCs w:val="20"/>
          <w:color w:val="auto"/>
        </w:rPr>
      </w:pPr>
      <w:r>
        <w:rPr>
          <w:rFonts w:ascii="Arial" w:cs="Arial" w:eastAsia="Arial" w:hAnsi="Arial"/>
          <w:sz w:val="15"/>
          <w:szCs w:val="15"/>
          <w:color w:val="auto"/>
        </w:rPr>
        <w:t>Interest expense on our finance leases is included in other income (expense), net in our condensed consolidated statement of operations. The amortization of the operating and finance ROU asset is included in selling, general and administrative expenses in our condensed consolidated statement of operations.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supplemental cash flow information related to our leases (in thousands):</w:t>
      </w:r>
    </w:p>
    <w:p>
      <w:pPr>
        <w:spacing w:after="0" w:line="127" w:lineRule="exact"/>
        <w:rPr>
          <w:sz w:val="20"/>
          <w:szCs w:val="20"/>
          <w:color w:val="auto"/>
        </w:rPr>
      </w:pPr>
    </w:p>
    <w:p>
      <w:pPr>
        <w:jc w:val="center"/>
        <w:ind w:left="8120"/>
        <w:spacing w:after="0"/>
        <w:rPr>
          <w:sz w:val="20"/>
          <w:szCs w:val="20"/>
          <w:color w:val="auto"/>
        </w:rPr>
      </w:pPr>
      <w:r>
        <w:rPr>
          <w:rFonts w:ascii="Arial" w:cs="Arial" w:eastAsia="Arial" w:hAnsi="Arial"/>
          <w:sz w:val="17"/>
          <w:szCs w:val="17"/>
          <w:b w:val="1"/>
          <w:bCs w:val="1"/>
          <w:color w:val="auto"/>
        </w:rPr>
        <w:t>For the six months ended</w:t>
      </w:r>
    </w:p>
    <w:p>
      <w:pPr>
        <w:jc w:val="center"/>
        <w:ind w:left="8180"/>
        <w:spacing w:after="0"/>
        <w:rPr>
          <w:sz w:val="20"/>
          <w:szCs w:val="20"/>
          <w:color w:val="auto"/>
        </w:rPr>
      </w:pPr>
      <w:r>
        <w:rPr>
          <w:rFonts w:ascii="Arial" w:cs="Arial" w:eastAsia="Arial" w:hAnsi="Arial"/>
          <w:sz w:val="17"/>
          <w:szCs w:val="17"/>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20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814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5,657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4,706</w:t>
            </w:r>
          </w:p>
        </w:tc>
      </w:tr>
      <w:tr>
        <w:trPr>
          <w:trHeight w:val="220"/>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58"/>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814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20,175</w:t>
            </w:r>
          </w:p>
        </w:tc>
      </w:tr>
      <w:tr>
        <w:trPr>
          <w:trHeight w:val="220"/>
        </w:trPr>
        <w:tc>
          <w:tcPr>
            <w:tcW w:w="8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2,815</w:t>
            </w:r>
          </w:p>
        </w:tc>
      </w:tr>
    </w:tbl>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the supplemental balance sheet information related to our operating leases (in thousands, except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580" w:type="dxa"/>
            <w:vAlign w:val="bottom"/>
          </w:tcPr>
          <w:p>
            <w:pPr>
              <w:jc w:val="right"/>
              <w:ind w:right="217"/>
              <w:spacing w:after="0"/>
              <w:rPr>
                <w:sz w:val="20"/>
                <w:szCs w:val="20"/>
                <w:color w:val="auto"/>
              </w:rPr>
            </w:pPr>
            <w:r>
              <w:rPr>
                <w:rFonts w:ascii="Arial" w:cs="Arial" w:eastAsia="Arial" w:hAnsi="Arial"/>
                <w:sz w:val="16"/>
                <w:szCs w:val="16"/>
                <w:b w:val="1"/>
                <w:bCs w:val="1"/>
                <w:color w:val="auto"/>
              </w:rPr>
              <w:t>As of</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tcPr>
          <w:p>
            <w:pPr>
              <w:jc w:val="right"/>
              <w:ind w:right="916"/>
              <w:spacing w:after="0"/>
              <w:rPr>
                <w:sz w:val="20"/>
                <w:szCs w:val="20"/>
                <w:color w:val="auto"/>
              </w:rPr>
            </w:pPr>
            <w:r>
              <w:rPr>
                <w:rFonts w:ascii="Arial" w:cs="Arial" w:eastAsia="Arial" w:hAnsi="Arial"/>
                <w:sz w:val="16"/>
                <w:szCs w:val="16"/>
                <w:b w:val="1"/>
                <w:bCs w:val="1"/>
                <w:color w:val="auto"/>
              </w:rPr>
              <w:t>As of</w:t>
            </w:r>
          </w:p>
        </w:tc>
      </w:tr>
      <w:tr>
        <w:trPr>
          <w:trHeight w:val="204"/>
        </w:trPr>
        <w:tc>
          <w:tcPr>
            <w:tcW w:w="65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w w:val="99"/>
              </w:rPr>
              <w:t>December 31, 2020</w:t>
            </w:r>
          </w:p>
        </w:tc>
      </w:tr>
      <w:tr>
        <w:trPr>
          <w:trHeight w:val="202"/>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580" w:type="dxa"/>
            <w:vAlign w:val="bottom"/>
          </w:tcPr>
          <w:p>
            <w:pPr>
              <w:jc w:val="right"/>
              <w:ind w:right="139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w w:val="88"/>
              </w:rPr>
              <w:t>43,315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ind w:right="136"/>
              <w:spacing w:after="0"/>
              <w:rPr>
                <w:sz w:val="20"/>
                <w:szCs w:val="20"/>
                <w:color w:val="auto"/>
              </w:rPr>
            </w:pPr>
            <w:r>
              <w:rPr>
                <w:rFonts w:ascii="Arial" w:cs="Arial" w:eastAsia="Arial" w:hAnsi="Arial"/>
                <w:sz w:val="17"/>
                <w:szCs w:val="17"/>
                <w:color w:val="auto"/>
              </w:rPr>
              <w:t>46,571</w:t>
            </w:r>
          </w:p>
        </w:tc>
      </w:tr>
      <w:tr>
        <w:trPr>
          <w:trHeight w:val="258"/>
        </w:trPr>
        <w:tc>
          <w:tcPr>
            <w:tcW w:w="65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1580" w:type="dxa"/>
            <w:vAlign w:val="bottom"/>
          </w:tcPr>
          <w:p>
            <w:pPr>
              <w:jc w:val="right"/>
              <w:ind w:right="139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134"/>
              <w:spacing w:after="0"/>
              <w:rPr>
                <w:sz w:val="20"/>
                <w:szCs w:val="20"/>
                <w:color w:val="auto"/>
              </w:rPr>
            </w:pPr>
            <w:r>
              <w:rPr>
                <w:rFonts w:ascii="Arial" w:cs="Arial" w:eastAsia="Arial" w:hAnsi="Arial"/>
                <w:sz w:val="17"/>
                <w:szCs w:val="17"/>
                <w:color w:val="auto"/>
              </w:rPr>
              <w:t>8,846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ind w:right="136"/>
              <w:spacing w:after="0"/>
              <w:rPr>
                <w:sz w:val="20"/>
                <w:szCs w:val="20"/>
                <w:color w:val="auto"/>
              </w:rPr>
            </w:pPr>
            <w:r>
              <w:rPr>
                <w:rFonts w:ascii="Arial" w:cs="Arial" w:eastAsia="Arial" w:hAnsi="Arial"/>
                <w:sz w:val="17"/>
                <w:szCs w:val="17"/>
                <w:color w:val="auto"/>
              </w:rPr>
              <w:t>8,740</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8"/>
              </w:rPr>
              <w:t>37,636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41,019</w:t>
            </w:r>
          </w:p>
        </w:tc>
      </w:tr>
      <w:tr>
        <w:trPr>
          <w:trHeight w:val="213"/>
        </w:trPr>
        <w:tc>
          <w:tcPr>
            <w:tcW w:w="6540" w:type="dxa"/>
            <w:vAlign w:val="bottom"/>
          </w:tcPr>
          <w:p>
            <w:pPr>
              <w:ind w:left="140"/>
              <w:spacing w:after="0"/>
              <w:rPr>
                <w:sz w:val="20"/>
                <w:szCs w:val="20"/>
                <w:color w:val="auto"/>
              </w:rPr>
            </w:pPr>
            <w:r>
              <w:rPr>
                <w:rFonts w:ascii="Arial" w:cs="Arial" w:eastAsia="Arial" w:hAnsi="Arial"/>
                <w:sz w:val="17"/>
                <w:szCs w:val="17"/>
                <w:color w:val="auto"/>
              </w:rPr>
              <w:t>Total operating lease liabilities</w:t>
            </w:r>
          </w:p>
        </w:tc>
        <w:tc>
          <w:tcPr>
            <w:tcW w:w="1580" w:type="dxa"/>
            <w:vAlign w:val="bottom"/>
            <w:tcBorders>
              <w:bottom w:val="single" w:sz="8" w:color="auto"/>
            </w:tcBorders>
          </w:tcPr>
          <w:p>
            <w:pPr>
              <w:jc w:val="right"/>
              <w:ind w:right="1397"/>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8"/>
              </w:rPr>
              <w:t>46,482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49,759</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4"/>
        </w:trPr>
        <w:tc>
          <w:tcPr>
            <w:tcW w:w="65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0"/>
        </w:trPr>
        <w:tc>
          <w:tcPr>
            <w:tcW w:w="6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1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6.3 years</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years</w:t>
            </w:r>
          </w:p>
        </w:tc>
      </w:tr>
      <w:tr>
        <w:trPr>
          <w:trHeight w:val="258"/>
        </w:trPr>
        <w:tc>
          <w:tcPr>
            <w:tcW w:w="6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0"/>
        </w:trPr>
        <w:tc>
          <w:tcPr>
            <w:tcW w:w="654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1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5.02 %</w:t>
            </w: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finance leases (in thousands, except lease term and discount rate):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1620" w:type="dxa"/>
            <w:vAlign w:val="bottom"/>
          </w:tcPr>
          <w:p>
            <w:pPr>
              <w:jc w:val="right"/>
              <w:ind w:right="237"/>
              <w:spacing w:after="0"/>
              <w:rPr>
                <w:sz w:val="20"/>
                <w:szCs w:val="20"/>
                <w:color w:val="auto"/>
              </w:rPr>
            </w:pPr>
            <w:r>
              <w:rPr>
                <w:rFonts w:ascii="Arial" w:cs="Arial" w:eastAsia="Arial" w:hAnsi="Arial"/>
                <w:sz w:val="16"/>
                <w:szCs w:val="16"/>
                <w:b w:val="1"/>
                <w:bCs w:val="1"/>
                <w:color w:val="auto"/>
              </w:rPr>
              <w:t>As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jc w:val="right"/>
              <w:ind w:right="896"/>
              <w:spacing w:after="0"/>
              <w:rPr>
                <w:sz w:val="20"/>
                <w:szCs w:val="20"/>
                <w:color w:val="auto"/>
              </w:rPr>
            </w:pPr>
            <w:r>
              <w:rPr>
                <w:rFonts w:ascii="Arial" w:cs="Arial" w:eastAsia="Arial" w:hAnsi="Arial"/>
                <w:sz w:val="16"/>
                <w:szCs w:val="16"/>
                <w:b w:val="1"/>
                <w:bCs w:val="1"/>
                <w:color w:val="auto"/>
              </w:rPr>
              <w:t>As of</w:t>
            </w:r>
          </w:p>
        </w:tc>
      </w:tr>
      <w:tr>
        <w:trPr>
          <w:trHeight w:val="204"/>
        </w:trPr>
        <w:tc>
          <w:tcPr>
            <w:tcW w:w="66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w w:val="99"/>
              </w:rPr>
              <w:t>December 31, 2020</w:t>
            </w:r>
          </w:p>
        </w:tc>
      </w:tr>
      <w:tr>
        <w:trPr>
          <w:trHeight w:val="202"/>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leases</w:t>
            </w:r>
          </w:p>
        </w:tc>
        <w:tc>
          <w:tcPr>
            <w:tcW w:w="1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color w:val="auto"/>
              </w:rPr>
              <w:t>Financing lease right-of-use assets</w:t>
            </w:r>
          </w:p>
        </w:tc>
        <w:tc>
          <w:tcPr>
            <w:tcW w:w="1620" w:type="dxa"/>
            <w:vAlign w:val="bottom"/>
          </w:tcPr>
          <w:p>
            <w:pPr>
              <w:jc w:val="right"/>
              <w:ind w:right="1437"/>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w w:val="98"/>
              </w:rPr>
              <w:t>2,861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116"/>
              <w:spacing w:after="0"/>
              <w:rPr>
                <w:sz w:val="20"/>
                <w:szCs w:val="20"/>
                <w:color w:val="auto"/>
              </w:rPr>
            </w:pPr>
            <w:r>
              <w:rPr>
                <w:rFonts w:ascii="Arial" w:cs="Arial" w:eastAsia="Arial" w:hAnsi="Arial"/>
                <w:sz w:val="17"/>
                <w:szCs w:val="17"/>
                <w:color w:val="auto"/>
              </w:rPr>
              <w:t>2,915</w:t>
            </w:r>
          </w:p>
        </w:tc>
      </w:tr>
      <w:tr>
        <w:trPr>
          <w:trHeight w:val="258"/>
        </w:trPr>
        <w:tc>
          <w:tcPr>
            <w:tcW w:w="66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1620" w:type="dxa"/>
            <w:vAlign w:val="bottom"/>
          </w:tcPr>
          <w:p>
            <w:pPr>
              <w:jc w:val="right"/>
              <w:ind w:right="1437"/>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116"/>
              <w:spacing w:after="0"/>
              <w:rPr>
                <w:sz w:val="20"/>
                <w:szCs w:val="20"/>
                <w:color w:val="auto"/>
              </w:rPr>
            </w:pPr>
            <w:r>
              <w:rPr>
                <w:rFonts w:ascii="Arial" w:cs="Arial" w:eastAsia="Arial" w:hAnsi="Arial"/>
                <w:sz w:val="17"/>
                <w:szCs w:val="17"/>
                <w:color w:val="auto"/>
              </w:rPr>
              <w:t>554</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98"/>
              </w:rPr>
              <w:t>2,284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2,388</w:t>
            </w:r>
          </w:p>
        </w:tc>
      </w:tr>
      <w:tr>
        <w:trPr>
          <w:trHeight w:val="213"/>
        </w:trPr>
        <w:tc>
          <w:tcPr>
            <w:tcW w:w="6600" w:type="dxa"/>
            <w:vAlign w:val="bottom"/>
          </w:tcPr>
          <w:p>
            <w:pPr>
              <w:ind w:left="140"/>
              <w:spacing w:after="0"/>
              <w:rPr>
                <w:sz w:val="20"/>
                <w:szCs w:val="20"/>
                <w:color w:val="auto"/>
              </w:rPr>
            </w:pPr>
            <w:r>
              <w:rPr>
                <w:rFonts w:ascii="Arial" w:cs="Arial" w:eastAsia="Arial" w:hAnsi="Arial"/>
                <w:sz w:val="17"/>
                <w:szCs w:val="17"/>
                <w:color w:val="auto"/>
              </w:rPr>
              <w:t>Total financing lease liabilities</w:t>
            </w:r>
          </w:p>
        </w:tc>
        <w:tc>
          <w:tcPr>
            <w:tcW w:w="1620" w:type="dxa"/>
            <w:vAlign w:val="bottom"/>
            <w:tcBorders>
              <w:bottom w:val="single" w:sz="8" w:color="auto"/>
            </w:tcBorders>
          </w:tcPr>
          <w:p>
            <w:pPr>
              <w:jc w:val="right"/>
              <w:ind w:right="143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8"/>
              </w:rPr>
              <w:t>2,908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2,942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0"/>
        </w:trPr>
        <w:tc>
          <w:tcPr>
            <w:tcW w:w="6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leases</w:t>
            </w:r>
          </w:p>
        </w:tc>
        <w:tc>
          <w:tcPr>
            <w:tcW w:w="16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5.9 years</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years</w:t>
            </w:r>
          </w:p>
        </w:tc>
      </w:tr>
      <w:tr>
        <w:trPr>
          <w:trHeight w:val="258"/>
        </w:trPr>
        <w:tc>
          <w:tcPr>
            <w:tcW w:w="66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6600" w:type="dxa"/>
            <w:vAlign w:val="bottom"/>
          </w:tcPr>
          <w:p>
            <w:pPr>
              <w:ind w:left="220"/>
              <w:spacing w:after="0"/>
              <w:rPr>
                <w:sz w:val="20"/>
                <w:szCs w:val="20"/>
                <w:color w:val="auto"/>
              </w:rPr>
            </w:pPr>
            <w:r>
              <w:rPr>
                <w:rFonts w:ascii="Arial" w:cs="Arial" w:eastAsia="Arial" w:hAnsi="Arial"/>
                <w:sz w:val="17"/>
                <w:szCs w:val="17"/>
                <w:color w:val="auto"/>
              </w:rPr>
              <w:t>Financing leases</w:t>
            </w:r>
          </w:p>
        </w:tc>
        <w:tc>
          <w:tcPr>
            <w:tcW w:w="1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4.27 %</w:t>
            </w:r>
          </w:p>
        </w:tc>
      </w:tr>
    </w:tbl>
    <w:p>
      <w:pPr>
        <w:spacing w:after="0" w:line="28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June 30, 2021, the maturities of our operating and financing lease liabilities for each of the next five years is approximately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Operating Leases</w:t>
            </w:r>
          </w:p>
        </w:tc>
        <w:tc>
          <w:tcPr>
            <w:tcW w:w="320" w:type="dxa"/>
            <w:vAlign w:val="bottom"/>
          </w:tcPr>
          <w:p>
            <w:pPr>
              <w:spacing w:after="0"/>
              <w:rPr>
                <w:sz w:val="19"/>
                <w:szCs w:val="19"/>
                <w:color w:val="auto"/>
              </w:rPr>
            </w:pPr>
          </w:p>
        </w:tc>
        <w:tc>
          <w:tcPr>
            <w:tcW w:w="1880" w:type="dxa"/>
            <w:vAlign w:val="bottom"/>
          </w:tcPr>
          <w:p>
            <w:pPr>
              <w:jc w:val="right"/>
              <w:ind w:right="454"/>
              <w:spacing w:after="0"/>
              <w:rPr>
                <w:sz w:val="20"/>
                <w:szCs w:val="20"/>
                <w:color w:val="auto"/>
              </w:rPr>
            </w:pPr>
            <w:r>
              <w:rPr>
                <w:rFonts w:ascii="Arial" w:cs="Arial" w:eastAsia="Arial" w:hAnsi="Arial"/>
                <w:sz w:val="17"/>
                <w:szCs w:val="17"/>
                <w:b w:val="1"/>
                <w:bCs w:val="1"/>
                <w:color w:val="auto"/>
              </w:rPr>
              <w:t>Finance Leases</w:t>
            </w:r>
          </w:p>
        </w:tc>
      </w:tr>
      <w:tr>
        <w:trPr>
          <w:trHeight w:val="21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2022</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733</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8,348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419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13"/>
        </w:trPr>
        <w:tc>
          <w:tcPr>
            <w:tcW w:w="6740" w:type="dxa"/>
            <w:vAlign w:val="bottom"/>
          </w:tcPr>
          <w:p>
            <w:pPr>
              <w:ind w:left="140"/>
              <w:spacing w:after="0"/>
              <w:rPr>
                <w:sz w:val="20"/>
                <w:szCs w:val="20"/>
                <w:color w:val="auto"/>
              </w:rPr>
            </w:pPr>
            <w:r>
              <w:rPr>
                <w:rFonts w:ascii="Arial" w:cs="Arial" w:eastAsia="Arial" w:hAnsi="Arial"/>
                <w:sz w:val="17"/>
                <w:szCs w:val="17"/>
                <w:color w:val="auto"/>
              </w:rPr>
              <w:t>Total Lease Payments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53,922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3,275</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13"/>
        </w:trPr>
        <w:tc>
          <w:tcPr>
            <w:tcW w:w="6740" w:type="dxa"/>
            <w:vAlign w:val="bottom"/>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2,908</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Net Income Per Share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firstLine="620"/>
        <w:spacing w:after="0" w:line="278"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There were 12,107 and 57,091 anti-dilutive securities for the three months ended June 30, 2021 and 2020, respectively. There were 12,080 and 15,045 anti-dilutive securities for the six months ended June 30, 2021 and 2020, respectively.</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w w:val="84"/>
              </w:rPr>
              <w:t>2020</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35,742</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line="168" w:lineRule="exact"/>
              <w:rPr>
                <w:sz w:val="20"/>
                <w:szCs w:val="20"/>
                <w:color w:val="auto"/>
              </w:rPr>
            </w:pPr>
            <w:r>
              <w:rPr>
                <w:rFonts w:ascii="Arial" w:cs="Arial" w:eastAsia="Arial" w:hAnsi="Arial"/>
                <w:sz w:val="17"/>
                <w:szCs w:val="17"/>
                <w:color w:val="auto"/>
              </w:rPr>
              <w:t>Weighted-average number of common shares outstanding (for basic</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21,200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20,880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21,176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20,831</w:t>
            </w:r>
          </w:p>
        </w:tc>
        <w:tc>
          <w:tcPr>
            <w:tcW w:w="0" w:type="dxa"/>
            <w:vAlign w:val="bottom"/>
          </w:tcPr>
          <w:p>
            <w:pPr>
              <w:spacing w:after="0"/>
              <w:rPr>
                <w:sz w:val="1"/>
                <w:szCs w:val="1"/>
                <w:color w:val="auto"/>
              </w:rPr>
            </w:pPr>
          </w:p>
        </w:tc>
      </w:tr>
      <w:tr>
        <w:trPr>
          <w:trHeight w:val="219"/>
        </w:trPr>
        <w:tc>
          <w:tcPr>
            <w:tcW w:w="5500" w:type="dxa"/>
            <w:vAlign w:val="bottom"/>
          </w:tcPr>
          <w:p>
            <w:pPr>
              <w:ind w:left="20"/>
              <w:spacing w:after="0"/>
              <w:rPr>
                <w:sz w:val="20"/>
                <w:szCs w:val="20"/>
                <w:color w:val="auto"/>
              </w:rPr>
            </w:pPr>
            <w:r>
              <w:rPr>
                <w:rFonts w:ascii="Arial" w:cs="Arial" w:eastAsia="Arial" w:hAnsi="Arial"/>
                <w:sz w:val="17"/>
                <w:szCs w:val="17"/>
                <w:color w:val="auto"/>
              </w:rPr>
              <w:t>calculation)</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148"/>
        </w:trPr>
        <w:tc>
          <w:tcPr>
            <w:tcW w:w="5500" w:type="dxa"/>
            <w:vAlign w:val="bottom"/>
          </w:tcPr>
          <w:p>
            <w:pPr>
              <w:ind w:left="20"/>
              <w:spacing w:after="0" w:line="149" w:lineRule="exact"/>
              <w:rPr>
                <w:sz w:val="20"/>
                <w:szCs w:val="20"/>
                <w:color w:val="auto"/>
              </w:rPr>
            </w:pPr>
            <w:r>
              <w:rPr>
                <w:rFonts w:ascii="Arial" w:cs="Arial" w:eastAsia="Arial" w:hAnsi="Arial"/>
                <w:sz w:val="17"/>
                <w:szCs w:val="17"/>
                <w:color w:val="auto"/>
                <w:w w:val="95"/>
              </w:rPr>
              <w:t>Weighted-average common and common equivalent shares outstanding (for</w:t>
            </w: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21,703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21,506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21,718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21,545</w:t>
            </w:r>
          </w:p>
        </w:tc>
        <w:tc>
          <w:tcPr>
            <w:tcW w:w="0" w:type="dxa"/>
            <w:vAlign w:val="bottom"/>
          </w:tcPr>
          <w:p>
            <w:pPr>
              <w:spacing w:after="0"/>
              <w:rPr>
                <w:sz w:val="1"/>
                <w:szCs w:val="1"/>
                <w:color w:val="auto"/>
              </w:rPr>
            </w:pPr>
          </w:p>
        </w:tc>
      </w:tr>
      <w:tr>
        <w:trPr>
          <w:trHeight w:val="193"/>
        </w:trPr>
        <w:tc>
          <w:tcPr>
            <w:tcW w:w="5500" w:type="dxa"/>
            <w:vAlign w:val="bottom"/>
          </w:tcPr>
          <w:p>
            <w:pPr>
              <w:ind w:left="20"/>
              <w:spacing w:after="0" w:line="194" w:lineRule="exact"/>
              <w:rPr>
                <w:sz w:val="20"/>
                <w:szCs w:val="20"/>
                <w:color w:val="auto"/>
              </w:rPr>
            </w:pPr>
            <w:r>
              <w:rPr>
                <w:rFonts w:ascii="Arial" w:cs="Arial" w:eastAsia="Arial" w:hAnsi="Arial"/>
                <w:sz w:val="17"/>
                <w:szCs w:val="17"/>
                <w:color w:val="auto"/>
              </w:rPr>
              <w:t>diluted calculation)</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 basic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Derivatives and Hedging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w:t>
      </w:r>
    </w:p>
    <w:p>
      <w:pPr>
        <w:spacing w:after="0" w:line="244" w:lineRule="exact"/>
        <w:rPr>
          <w:sz w:val="20"/>
          <w:szCs w:val="20"/>
          <w:color w:val="auto"/>
        </w:rPr>
      </w:pPr>
    </w:p>
    <w:p>
      <w:pPr>
        <w:ind w:right="360" w:firstLine="215"/>
        <w:spacing w:after="0" w:line="283" w:lineRule="auto"/>
        <w:rPr>
          <w:sz w:val="20"/>
          <w:szCs w:val="20"/>
          <w:color w:val="auto"/>
        </w:rPr>
      </w:pPr>
      <w:r>
        <w:rPr>
          <w:rFonts w:ascii="Arial" w:cs="Arial" w:eastAsia="Arial" w:hAnsi="Arial"/>
          <w:sz w:val="17"/>
          <w:szCs w:val="17"/>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5" w:lineRule="exact"/>
        <w:rPr>
          <w:sz w:val="20"/>
          <w:szCs w:val="20"/>
          <w:color w:val="auto"/>
        </w:rPr>
      </w:pPr>
    </w:p>
    <w:p>
      <w:pPr>
        <w:ind w:right="40" w:firstLine="169"/>
        <w:spacing w:after="0" w:line="259" w:lineRule="auto"/>
        <w:rPr>
          <w:sz w:val="20"/>
          <w:szCs w:val="20"/>
          <w:color w:val="auto"/>
        </w:rPr>
      </w:pPr>
      <w:r>
        <w:rPr>
          <w:rFonts w:ascii="Arial" w:cs="Arial" w:eastAsia="Arial" w:hAnsi="Arial"/>
          <w:sz w:val="17"/>
          <w:szCs w:val="17"/>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instruments are recorded at fair value on the condensed consolidated balance sheets and are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w:t>
      </w:r>
    </w:p>
    <w:p>
      <w:pPr>
        <w:spacing w:after="0" w:line="207" w:lineRule="exact"/>
        <w:rPr>
          <w:sz w:val="20"/>
          <w:szCs w:val="20"/>
          <w:color w:val="auto"/>
        </w:rPr>
      </w:pPr>
    </w:p>
    <w:p>
      <w:pPr>
        <w:ind w:right="60" w:firstLine="172"/>
        <w:spacing w:after="0" w:line="263" w:lineRule="auto"/>
        <w:rPr>
          <w:sz w:val="20"/>
          <w:szCs w:val="20"/>
          <w:color w:val="auto"/>
        </w:rPr>
      </w:pPr>
      <w:r>
        <w:rPr>
          <w:rFonts w:ascii="Arial" w:cs="Arial" w:eastAsia="Arial" w:hAnsi="Arial"/>
          <w:sz w:val="17"/>
          <w:szCs w:val="17"/>
          <w:color w:val="auto"/>
        </w:rPr>
        <w:t>In March 2020, we entered into a one-year cross-currency par forward contract that extends our current hedge of a portion of our Mexico forecasted expenses denominated in Pesos ("MXN"). The total notional amount of this outstanding derivative as of June 30, 2021 was approximately 218.4 million MXN. The term of the one-year contract is November 3, 2020 to December 1, 2021. The derivative instrument matures in equal monthly amounts at a fixed forward rate of 24.26 MXN/USD.</w:t>
      </w:r>
    </w:p>
    <w:p>
      <w:pPr>
        <w:spacing w:after="0" w:line="203" w:lineRule="exact"/>
        <w:rPr>
          <w:sz w:val="20"/>
          <w:szCs w:val="20"/>
          <w:color w:val="auto"/>
        </w:rPr>
      </w:pPr>
    </w:p>
    <w:p>
      <w:pPr>
        <w:ind w:right="120" w:firstLine="172"/>
        <w:spacing w:after="0" w:line="268" w:lineRule="auto"/>
        <w:rPr>
          <w:sz w:val="20"/>
          <w:szCs w:val="20"/>
          <w:color w:val="auto"/>
        </w:rPr>
      </w:pPr>
      <w:r>
        <w:rPr>
          <w:rFonts w:ascii="Arial" w:cs="Arial" w:eastAsia="Arial" w:hAnsi="Arial"/>
          <w:sz w:val="17"/>
          <w:szCs w:val="17"/>
          <w:color w:val="auto"/>
        </w:rPr>
        <w:t>In November 2018, we entered into a one-year cross-currency par forward contract that hedges of a portion of our Mexico forecasted expenses denominated in MXN. The term of the one-year hedge was November 1, 2019 to November 3, 2020. The derivative instrument matured in equal monthly amounts at a fixed forward rate of 22.109 MXN/USD.</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the fair values of our derivative instruments included within the Condensed Consolidated Balance Sheets as of June 30, 2021 and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(in thousands):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4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Derivatives</w:t>
            </w: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3700" w:type="dxa"/>
            <w:vAlign w:val="bottom"/>
            <w:gridSpan w:val="2"/>
          </w:tcPr>
          <w:p>
            <w:pPr>
              <w:jc w:val="center"/>
              <w:ind w:right="160"/>
              <w:spacing w:after="0" w:line="151" w:lineRule="exact"/>
              <w:rPr>
                <w:sz w:val="20"/>
                <w:szCs w:val="20"/>
                <w:color w:val="auto"/>
              </w:rPr>
            </w:pPr>
            <w:r>
              <w:rPr>
                <w:rFonts w:ascii="Arial" w:cs="Arial" w:eastAsia="Arial" w:hAnsi="Arial"/>
                <w:sz w:val="16"/>
                <w:szCs w:val="16"/>
                <w:b w:val="1"/>
                <w:bCs w:val="1"/>
                <w:color w:val="auto"/>
                <w:w w:val="85"/>
              </w:rPr>
              <w:t>Condensed Consolidated Balance Sheet</w:t>
            </w:r>
          </w:p>
        </w:tc>
        <w:tc>
          <w:tcPr>
            <w:tcW w:w="340" w:type="dxa"/>
            <w:vAlign w:val="bottom"/>
          </w:tcPr>
          <w:p>
            <w:pPr>
              <w:spacing w:after="0"/>
              <w:rPr>
                <w:sz w:val="13"/>
                <w:szCs w:val="13"/>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3"/>
                <w:szCs w:val="13"/>
                <w:color w:val="auto"/>
              </w:rPr>
            </w:pPr>
          </w:p>
        </w:tc>
        <w:tc>
          <w:tcPr>
            <w:tcW w:w="154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Location</w:t>
            </w:r>
          </w:p>
        </w:tc>
        <w:tc>
          <w:tcPr>
            <w:tcW w:w="3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w w:val="99"/>
              </w:rPr>
              <w:t>Derivatives designated as cash flow hedging instruments</w:t>
            </w:r>
          </w:p>
        </w:tc>
        <w:tc>
          <w:tcPr>
            <w:tcW w:w="3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gridSpan w:val="3"/>
          </w:tcPr>
          <w:p>
            <w:pPr>
              <w:ind w:left="140"/>
              <w:spacing w:after="0"/>
              <w:rPr>
                <w:sz w:val="20"/>
                <w:szCs w:val="20"/>
                <w:color w:val="auto"/>
              </w:rPr>
            </w:pPr>
            <w:r>
              <w:rPr>
                <w:rFonts w:ascii="Arial" w:cs="Arial" w:eastAsia="Arial" w:hAnsi="Arial"/>
                <w:sz w:val="16"/>
                <w:szCs w:val="16"/>
                <w:color w:val="auto"/>
              </w:rPr>
              <w:t>Foreign exchange forward contract:</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w w:val="87"/>
              </w:rPr>
              <w:t>Prepaid expenses and other current assets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3"/>
        </w:trPr>
        <w:tc>
          <w:tcPr>
            <w:tcW w:w="7740" w:type="dxa"/>
            <w:vAlign w:val="bottom"/>
            <w:gridSpan w:val="3"/>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60" w:firstLine="169"/>
        <w:spacing w:after="0" w:line="283" w:lineRule="auto"/>
        <w:rPr>
          <w:sz w:val="20"/>
          <w:szCs w:val="20"/>
          <w:color w:val="auto"/>
        </w:rPr>
      </w:pPr>
      <w:r>
        <w:rPr>
          <w:rFonts w:ascii="Arial" w:cs="Arial" w:eastAsia="Arial" w:hAnsi="Arial"/>
          <w:sz w:val="17"/>
          <w:szCs w:val="17"/>
          <w:color w:val="auto"/>
        </w:rPr>
        <w:t>The following table presents the amounts affecting the Condensed Consolidated Statements of Operations for the three and six months ended June 30, 2021 and 2020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80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0"/>
              </w:rPr>
              <w:t>Line Item in the</w:t>
            </w:r>
          </w:p>
        </w:tc>
        <w:tc>
          <w:tcPr>
            <w:tcW w:w="256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86"/>
              </w:rPr>
              <w:t>Three months ended</w:t>
            </w:r>
          </w:p>
        </w:tc>
        <w:tc>
          <w:tcPr>
            <w:tcW w:w="280" w:type="dxa"/>
            <w:vAlign w:val="bottom"/>
          </w:tcPr>
          <w:p>
            <w:pPr>
              <w:spacing w:after="0"/>
              <w:rPr>
                <w:sz w:val="16"/>
                <w:szCs w:val="16"/>
                <w:color w:val="auto"/>
              </w:rPr>
            </w:pPr>
          </w:p>
        </w:tc>
        <w:tc>
          <w:tcPr>
            <w:tcW w:w="2340" w:type="dxa"/>
            <w:vAlign w:val="bottom"/>
            <w:gridSpan w:val="4"/>
          </w:tcPr>
          <w:p>
            <w:pPr>
              <w:jc w:val="center"/>
              <w:ind w:right="242"/>
              <w:spacing w:after="0"/>
              <w:rPr>
                <w:sz w:val="20"/>
                <w:szCs w:val="20"/>
                <w:color w:val="auto"/>
              </w:rPr>
            </w:pPr>
            <w:r>
              <w:rPr>
                <w:rFonts w:ascii="Arial" w:cs="Arial" w:eastAsia="Arial" w:hAnsi="Arial"/>
                <w:sz w:val="16"/>
                <w:szCs w:val="16"/>
                <w:b w:val="1"/>
                <w:bCs w:val="1"/>
                <w:color w:val="auto"/>
                <w:w w:val="85"/>
              </w:rPr>
              <w:t>Six months ended</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2800" w:type="dxa"/>
            <w:vAlign w:val="bottom"/>
            <w:gridSpan w:val="3"/>
            <w:vMerge w:val="continue"/>
          </w:tcPr>
          <w:p>
            <w:pPr>
              <w:spacing w:after="0"/>
              <w:rPr>
                <w:sz w:val="13"/>
                <w:szCs w:val="13"/>
                <w:color w:val="auto"/>
              </w:rPr>
            </w:pPr>
          </w:p>
        </w:tc>
        <w:tc>
          <w:tcPr>
            <w:tcW w:w="1480" w:type="dxa"/>
            <w:vAlign w:val="bottom"/>
            <w:gridSpan w:val="3"/>
          </w:tcPr>
          <w:p>
            <w:pPr>
              <w:jc w:val="center"/>
              <w:ind w:left="562"/>
              <w:spacing w:after="0" w:line="155" w:lineRule="exact"/>
              <w:rPr>
                <w:sz w:val="20"/>
                <w:szCs w:val="20"/>
                <w:color w:val="auto"/>
              </w:rPr>
            </w:pPr>
            <w:r>
              <w:rPr>
                <w:rFonts w:ascii="Arial" w:cs="Arial" w:eastAsia="Arial" w:hAnsi="Arial"/>
                <w:sz w:val="16"/>
                <w:szCs w:val="16"/>
                <w:b w:val="1"/>
                <w:bCs w:val="1"/>
                <w:color w:val="auto"/>
                <w:w w:val="87"/>
              </w:rPr>
              <w:t>June 30,</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center"/>
              <w:ind w:left="542"/>
              <w:spacing w:after="0" w:line="155" w:lineRule="exact"/>
              <w:rPr>
                <w:sz w:val="20"/>
                <w:szCs w:val="20"/>
                <w:color w:val="auto"/>
              </w:rPr>
            </w:pPr>
            <w:r>
              <w:rPr>
                <w:rFonts w:ascii="Arial" w:cs="Arial" w:eastAsia="Arial" w:hAnsi="Arial"/>
                <w:sz w:val="16"/>
                <w:szCs w:val="16"/>
                <w:b w:val="1"/>
                <w:bCs w:val="1"/>
                <w:color w:val="auto"/>
                <w:w w:val="84"/>
              </w:rPr>
              <w:t>June 30,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3260" w:type="dxa"/>
            <w:vAlign w:val="bottom"/>
          </w:tcPr>
          <w:p>
            <w:pPr>
              <w:spacing w:after="0"/>
              <w:rPr>
                <w:sz w:val="4"/>
                <w:szCs w:val="4"/>
                <w:color w:val="auto"/>
              </w:rPr>
            </w:pPr>
          </w:p>
        </w:tc>
        <w:tc>
          <w:tcPr>
            <w:tcW w:w="2500" w:type="dxa"/>
            <w:vAlign w:val="bottom"/>
            <w:gridSpan w:val="2"/>
            <w:vMerge w:val="restart"/>
          </w:tcPr>
          <w:p>
            <w:pPr>
              <w:jc w:val="center"/>
              <w:ind w:right="100"/>
              <w:spacing w:after="0" w:line="155" w:lineRule="exact"/>
              <w:rPr>
                <w:sz w:val="20"/>
                <w:szCs w:val="20"/>
                <w:color w:val="auto"/>
              </w:rPr>
            </w:pPr>
            <w:r>
              <w:rPr>
                <w:rFonts w:ascii="Arial" w:cs="Arial" w:eastAsia="Arial" w:hAnsi="Arial"/>
                <w:sz w:val="16"/>
                <w:szCs w:val="16"/>
                <w:b w:val="1"/>
                <w:bCs w:val="1"/>
                <w:color w:val="auto"/>
                <w:w w:val="84"/>
              </w:rPr>
              <w:t>Condensed Consolidated</w:t>
            </w: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25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restart"/>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17"/>
                <w:szCs w:val="17"/>
                <w:color w:val="auto"/>
              </w:rPr>
            </w:pPr>
          </w:p>
        </w:tc>
        <w:tc>
          <w:tcPr>
            <w:tcW w:w="28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6"/>
              </w:rPr>
              <w:t>Statements of Operations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i w:val="1"/>
                <w:iCs w:val="1"/>
                <w:color w:val="auto"/>
              </w:rPr>
              <w:t>Derivatives designated as cash flow hedging</w:t>
            </w:r>
          </w:p>
        </w:tc>
        <w:tc>
          <w:tcPr>
            <w:tcW w:w="2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instruments</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60" w:type="dxa"/>
            <w:vAlign w:val="bottom"/>
          </w:tcPr>
          <w:p>
            <w:pPr>
              <w:ind w:left="140"/>
              <w:spacing w:after="0"/>
              <w:rPr>
                <w:sz w:val="20"/>
                <w:szCs w:val="20"/>
                <w:color w:val="auto"/>
              </w:rPr>
            </w:pPr>
            <w:r>
              <w:rPr>
                <w:rFonts w:ascii="Arial" w:cs="Arial" w:eastAsia="Arial" w:hAnsi="Arial"/>
                <w:sz w:val="16"/>
                <w:szCs w:val="16"/>
                <w:color w:val="auto"/>
              </w:rPr>
              <w:t>Foreign exchange forward contracts</w:t>
            </w:r>
          </w:p>
        </w:tc>
        <w:tc>
          <w:tcPr>
            <w:tcW w:w="2800" w:type="dxa"/>
            <w:vAlign w:val="bottom"/>
            <w:gridSpan w:val="3"/>
          </w:tcPr>
          <w:p>
            <w:pPr>
              <w:ind w:left="1220"/>
              <w:spacing w:after="0"/>
              <w:rPr>
                <w:sz w:val="20"/>
                <w:szCs w:val="20"/>
                <w:color w:val="auto"/>
              </w:rPr>
            </w:pPr>
            <w:r>
              <w:rPr>
                <w:rFonts w:ascii="Arial" w:cs="Arial" w:eastAsia="Arial" w:hAnsi="Arial"/>
                <w:sz w:val="16"/>
                <w:szCs w:val="16"/>
                <w:color w:val="auto"/>
              </w:rPr>
              <w:t>Cost of goods sold  $</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recognized the following gains (losses) on our foreign exchange contracts designated as a cash flow hedge (in thousands):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4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7"/>
              </w:rPr>
              <w:t>Amount of Gain Recognized in</w:t>
            </w:r>
          </w:p>
        </w:tc>
        <w:tc>
          <w:tcPr>
            <w:tcW w:w="100" w:type="dxa"/>
            <w:vAlign w:val="bottom"/>
          </w:tcPr>
          <w:p>
            <w:pPr>
              <w:spacing w:after="0"/>
              <w:rPr>
                <w:sz w:val="16"/>
                <w:szCs w:val="16"/>
                <w:color w:val="auto"/>
              </w:rPr>
            </w:pPr>
          </w:p>
        </w:tc>
        <w:tc>
          <w:tcPr>
            <w:tcW w:w="502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87"/>
              </w:rPr>
              <w:t>Amount of Gain (Loss) Reclassified From Accumulated Other</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244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87"/>
              </w:rPr>
              <w:t>Other Comprehensive Income on</w:t>
            </w:r>
          </w:p>
        </w:tc>
        <w:tc>
          <w:tcPr>
            <w:tcW w:w="100" w:type="dxa"/>
            <w:vAlign w:val="bottom"/>
          </w:tcPr>
          <w:p>
            <w:pPr>
              <w:spacing w:after="0"/>
              <w:rPr>
                <w:sz w:val="13"/>
                <w:szCs w:val="13"/>
                <w:color w:val="auto"/>
              </w:rPr>
            </w:pPr>
          </w:p>
        </w:tc>
        <w:tc>
          <w:tcPr>
            <w:tcW w:w="50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266"/>
              <w:spacing w:after="0"/>
              <w:rPr>
                <w:sz w:val="20"/>
                <w:szCs w:val="20"/>
                <w:color w:val="auto"/>
              </w:rPr>
            </w:pPr>
            <w:r>
              <w:rPr>
                <w:rFonts w:ascii="Arial" w:cs="Arial" w:eastAsia="Arial" w:hAnsi="Arial"/>
                <w:sz w:val="16"/>
                <w:szCs w:val="16"/>
                <w:b w:val="1"/>
                <w:bCs w:val="1"/>
                <w:color w:val="auto"/>
                <w:w w:val="88"/>
              </w:rPr>
              <w:t>Derivatives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6"/>
                <w:szCs w:val="16"/>
                <w:b w:val="1"/>
                <w:bCs w:val="1"/>
                <w:color w:val="auto"/>
                <w:w w:val="86"/>
              </w:rPr>
              <w:t>Comprehensive Income into Income</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600" w:type="dxa"/>
            <w:vAlign w:val="bottom"/>
          </w:tcPr>
          <w:p>
            <w:pPr>
              <w:spacing w:after="0"/>
              <w:rPr>
                <w:sz w:val="24"/>
                <w:szCs w:val="24"/>
                <w:color w:val="auto"/>
              </w:rPr>
            </w:pPr>
          </w:p>
        </w:tc>
        <w:tc>
          <w:tcPr>
            <w:tcW w:w="2000" w:type="dxa"/>
            <w:vAlign w:val="bottom"/>
            <w:gridSpan w:val="4"/>
          </w:tcPr>
          <w:p>
            <w:pPr>
              <w:jc w:val="center"/>
              <w:ind w:left="322"/>
              <w:spacing w:after="0"/>
              <w:rPr>
                <w:sz w:val="20"/>
                <w:szCs w:val="20"/>
                <w:color w:val="auto"/>
              </w:rPr>
            </w:pPr>
            <w:r>
              <w:rPr>
                <w:rFonts w:ascii="Arial" w:cs="Arial" w:eastAsia="Arial" w:hAnsi="Arial"/>
                <w:sz w:val="16"/>
                <w:szCs w:val="16"/>
                <w:b w:val="1"/>
                <w:bCs w:val="1"/>
                <w:color w:val="auto"/>
                <w:w w:val="86"/>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w w:val="96"/>
              </w:rPr>
              <w:t>Three months ended</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266"/>
              <w:spacing w:after="0"/>
              <w:rPr>
                <w:sz w:val="20"/>
                <w:szCs w:val="20"/>
                <w:color w:val="auto"/>
              </w:rPr>
            </w:pPr>
            <w:r>
              <w:rPr>
                <w:rFonts w:ascii="Arial" w:cs="Arial" w:eastAsia="Arial" w:hAnsi="Arial"/>
                <w:sz w:val="16"/>
                <w:szCs w:val="16"/>
                <w:b w:val="1"/>
                <w:bCs w:val="1"/>
                <w:color w:val="auto"/>
                <w:w w:val="87"/>
              </w:rPr>
              <w:t>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2"/>
          </w:tcPr>
          <w:p>
            <w:pPr>
              <w:jc w:val="center"/>
              <w:ind w:right="100"/>
              <w:spacing w:after="0" w:line="140" w:lineRule="exact"/>
              <w:rPr>
                <w:sz w:val="20"/>
                <w:szCs w:val="20"/>
                <w:color w:val="auto"/>
              </w:rPr>
            </w:pPr>
            <w:r>
              <w:rPr>
                <w:rFonts w:ascii="Arial" w:cs="Arial" w:eastAsia="Arial" w:hAnsi="Arial"/>
                <w:sz w:val="16"/>
                <w:szCs w:val="16"/>
                <w:b w:val="1"/>
                <w:bCs w:val="1"/>
                <w:color w:val="auto"/>
                <w:w w:val="86"/>
              </w:rPr>
              <w:t>Location of Gain (Loss) Reclassified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3"/>
          </w:tcPr>
          <w:p>
            <w:pPr>
              <w:jc w:val="center"/>
              <w:ind w:right="288"/>
              <w:spacing w:after="0" w:line="155" w:lineRule="exact"/>
              <w:rPr>
                <w:sz w:val="20"/>
                <w:szCs w:val="20"/>
                <w:color w:val="auto"/>
              </w:rPr>
            </w:pPr>
            <w:r>
              <w:rPr>
                <w:rFonts w:ascii="Arial" w:cs="Arial" w:eastAsia="Arial" w:hAnsi="Arial"/>
                <w:sz w:val="16"/>
                <w:szCs w:val="16"/>
                <w:b w:val="1"/>
                <w:bCs w:val="1"/>
                <w:color w:val="auto"/>
                <w:w w:val="89"/>
              </w:rPr>
              <w:t>From Accumulated Other</w:t>
            </w:r>
          </w:p>
        </w:tc>
        <w:tc>
          <w:tcPr>
            <w:tcW w:w="86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3"/>
          </w:tcPr>
          <w:p>
            <w:pPr>
              <w:jc w:val="center"/>
              <w:ind w:right="268"/>
              <w:spacing w:after="0"/>
              <w:rPr>
                <w:sz w:val="20"/>
                <w:szCs w:val="20"/>
                <w:color w:val="auto"/>
              </w:rPr>
            </w:pPr>
            <w:r>
              <w:rPr>
                <w:rFonts w:ascii="Arial" w:cs="Arial" w:eastAsia="Arial" w:hAnsi="Arial"/>
                <w:sz w:val="16"/>
                <w:szCs w:val="16"/>
                <w:b w:val="1"/>
                <w:bCs w:val="1"/>
                <w:color w:val="auto"/>
                <w:w w:val="86"/>
              </w:rPr>
              <w:t>Comprehensive Income into Income</w:t>
            </w: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6"/>
                <w:szCs w:val="16"/>
                <w:color w:val="auto"/>
              </w:rPr>
              <w:t>Foreign exchange forward contract</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2"/>
              <w:spacing w:after="0"/>
              <w:rPr>
                <w:sz w:val="20"/>
                <w:szCs w:val="20"/>
                <w:color w:val="auto"/>
              </w:rPr>
            </w:pPr>
            <w:r>
              <w:rPr>
                <w:rFonts w:ascii="Arial" w:cs="Arial" w:eastAsia="Arial" w:hAnsi="Arial"/>
                <w:sz w:val="16"/>
                <w:szCs w:val="16"/>
                <w:color w:val="auto"/>
                <w:w w:val="97"/>
              </w:rPr>
              <w:t>441</w:t>
            </w:r>
          </w:p>
        </w:tc>
        <w:tc>
          <w:tcPr>
            <w:tcW w:w="100" w:type="dxa"/>
            <w:vAlign w:val="bottom"/>
          </w:tcPr>
          <w:p>
            <w:pPr>
              <w:spacing w:after="0"/>
              <w:rPr>
                <w:sz w:val="17"/>
                <w:szCs w:val="17"/>
                <w:color w:val="auto"/>
              </w:rPr>
            </w:pP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1,262</w:t>
            </w:r>
          </w:p>
        </w:tc>
        <w:tc>
          <w:tcPr>
            <w:tcW w:w="100" w:type="dxa"/>
            <w:vAlign w:val="bottom"/>
          </w:tcPr>
          <w:p>
            <w:pPr>
              <w:spacing w:after="0"/>
              <w:rPr>
                <w:sz w:val="17"/>
                <w:szCs w:val="17"/>
                <w:color w:val="auto"/>
              </w:rPr>
            </w:pPr>
          </w:p>
        </w:tc>
        <w:tc>
          <w:tcPr>
            <w:tcW w:w="3000" w:type="dxa"/>
            <w:vAlign w:val="bottom"/>
            <w:gridSpan w:val="3"/>
          </w:tcPr>
          <w:p>
            <w:pPr>
              <w:jc w:val="right"/>
              <w:ind w:right="88"/>
              <w:spacing w:after="0"/>
              <w:rPr>
                <w:sz w:val="20"/>
                <w:szCs w:val="20"/>
                <w:color w:val="auto"/>
              </w:rPr>
            </w:pPr>
            <w:r>
              <w:rPr>
                <w:rFonts w:ascii="Arial" w:cs="Arial" w:eastAsia="Arial" w:hAnsi="Arial"/>
                <w:sz w:val="16"/>
                <w:szCs w:val="16"/>
                <w:color w:val="auto"/>
              </w:rPr>
              <w:t>Cost of goods sold  $</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43"/>
        </w:trPr>
        <w:tc>
          <w:tcPr>
            <w:tcW w:w="36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derivatives designated as cash flow hedging</w:t>
            </w:r>
          </w:p>
        </w:tc>
        <w:tc>
          <w:tcPr>
            <w:tcW w:w="780" w:type="dxa"/>
            <w:vAlign w:val="bottom"/>
            <w:tcBorders>
              <w:top w:val="single" w:sz="8" w:color="auto"/>
            </w:tcBorders>
            <w:vMerge w:val="restart"/>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97"/>
              </w:rPr>
              <w:t>441</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60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1,262</w:t>
            </w:r>
          </w:p>
        </w:tc>
        <w:tc>
          <w:tcPr>
            <w:tcW w:w="2860" w:type="dxa"/>
            <w:vAlign w:val="bottom"/>
            <w:tcBorders>
              <w:top w:val="single" w:sz="8" w:color="CCEEFF"/>
            </w:tcBorders>
            <w:gridSpan w:val="3"/>
            <w:vMerge w:val="restart"/>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903</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instruments</w:t>
            </w: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286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24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6"/>
              </w:rPr>
              <w:t>Amount of Gain (Loss) Recognized</w:t>
            </w:r>
          </w:p>
        </w:tc>
        <w:tc>
          <w:tcPr>
            <w:tcW w:w="100" w:type="dxa"/>
            <w:vAlign w:val="bottom"/>
          </w:tcPr>
          <w:p>
            <w:pPr>
              <w:spacing w:after="0"/>
              <w:rPr>
                <w:sz w:val="16"/>
                <w:szCs w:val="16"/>
                <w:color w:val="auto"/>
              </w:rPr>
            </w:pPr>
          </w:p>
        </w:tc>
        <w:tc>
          <w:tcPr>
            <w:tcW w:w="504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87"/>
              </w:rPr>
              <w:t>Amount of Gain Reclassified From Accumulated Other Comprehensive</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242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87"/>
              </w:rPr>
              <w:t>in Other Comprehensive Income on</w:t>
            </w:r>
          </w:p>
        </w:tc>
        <w:tc>
          <w:tcPr>
            <w:tcW w:w="100" w:type="dxa"/>
            <w:vAlign w:val="bottom"/>
          </w:tcPr>
          <w:p>
            <w:pPr>
              <w:spacing w:after="0"/>
              <w:rPr>
                <w:sz w:val="13"/>
                <w:szCs w:val="13"/>
                <w:color w:val="auto"/>
              </w:rPr>
            </w:pPr>
          </w:p>
        </w:tc>
        <w:tc>
          <w:tcPr>
            <w:tcW w:w="50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Derivatives</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6"/>
                <w:szCs w:val="16"/>
                <w:b w:val="1"/>
                <w:bCs w:val="1"/>
                <w:color w:val="auto"/>
                <w:w w:val="87"/>
              </w:rPr>
              <w:t>Income into Income</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600" w:type="dxa"/>
            <w:vAlign w:val="bottom"/>
          </w:tcPr>
          <w:p>
            <w:pPr>
              <w:spacing w:after="0"/>
              <w:rPr>
                <w:sz w:val="24"/>
                <w:szCs w:val="24"/>
                <w:color w:val="auto"/>
              </w:rPr>
            </w:pPr>
          </w:p>
        </w:tc>
        <w:tc>
          <w:tcPr>
            <w:tcW w:w="24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4"/>
              </w:rPr>
              <w:t>Six months ended</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2"/>
          </w:tcPr>
          <w:p>
            <w:pPr>
              <w:jc w:val="center"/>
              <w:ind w:right="100"/>
              <w:spacing w:after="0" w:line="140" w:lineRule="exact"/>
              <w:rPr>
                <w:sz w:val="20"/>
                <w:szCs w:val="20"/>
                <w:color w:val="auto"/>
              </w:rPr>
            </w:pPr>
            <w:r>
              <w:rPr>
                <w:rFonts w:ascii="Arial" w:cs="Arial" w:eastAsia="Arial" w:hAnsi="Arial"/>
                <w:sz w:val="16"/>
                <w:szCs w:val="16"/>
                <w:b w:val="1"/>
                <w:bCs w:val="1"/>
                <w:color w:val="auto"/>
                <w:w w:val="87"/>
              </w:rPr>
              <w:t>Location of Gain Reclassified From</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3"/>
                <w:szCs w:val="13"/>
                <w:color w:val="auto"/>
              </w:rPr>
            </w:pPr>
          </w:p>
        </w:tc>
        <w:tc>
          <w:tcPr>
            <w:tcW w:w="3000" w:type="dxa"/>
            <w:vAlign w:val="bottom"/>
            <w:gridSpan w:val="3"/>
          </w:tcPr>
          <w:p>
            <w:pPr>
              <w:jc w:val="center"/>
              <w:ind w:right="262"/>
              <w:spacing w:after="0" w:line="155" w:lineRule="exact"/>
              <w:rPr>
                <w:sz w:val="20"/>
                <w:szCs w:val="20"/>
                <w:color w:val="auto"/>
              </w:rPr>
            </w:pPr>
            <w:r>
              <w:rPr>
                <w:rFonts w:ascii="Arial" w:cs="Arial" w:eastAsia="Arial" w:hAnsi="Arial"/>
                <w:sz w:val="16"/>
                <w:szCs w:val="16"/>
                <w:b w:val="1"/>
                <w:bCs w:val="1"/>
                <w:color w:val="auto"/>
                <w:w w:val="87"/>
              </w:rPr>
              <w:t>Accumulated Other Comprehensive</w:t>
            </w:r>
          </w:p>
        </w:tc>
        <w:tc>
          <w:tcPr>
            <w:tcW w:w="88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3"/>
          </w:tcPr>
          <w:p>
            <w:pPr>
              <w:jc w:val="center"/>
              <w:ind w:right="262"/>
              <w:spacing w:after="0"/>
              <w:rPr>
                <w:sz w:val="20"/>
                <w:szCs w:val="20"/>
                <w:color w:val="auto"/>
              </w:rPr>
            </w:pPr>
            <w:r>
              <w:rPr>
                <w:rFonts w:ascii="Arial" w:cs="Arial" w:eastAsia="Arial" w:hAnsi="Arial"/>
                <w:sz w:val="16"/>
                <w:szCs w:val="16"/>
                <w:b w:val="1"/>
                <w:bCs w:val="1"/>
                <w:color w:val="auto"/>
                <w:w w:val="86"/>
              </w:rPr>
              <w:t>Income into Income</w:t>
            </w: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6"/>
                <w:szCs w:val="16"/>
                <w:color w:val="auto"/>
              </w:rPr>
              <w:t>Foreign exchange forward contract</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7"/>
                <w:szCs w:val="17"/>
                <w:color w:val="auto"/>
              </w:rPr>
            </w:pPr>
          </w:p>
        </w:tc>
        <w:tc>
          <w:tcPr>
            <w:tcW w:w="3000" w:type="dxa"/>
            <w:vAlign w:val="bottom"/>
            <w:gridSpan w:val="3"/>
          </w:tcPr>
          <w:p>
            <w:pPr>
              <w:jc w:val="right"/>
              <w:ind w:right="62"/>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43"/>
        </w:trPr>
        <w:tc>
          <w:tcPr>
            <w:tcW w:w="36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derivatives designated as cash flow hedging</w:t>
            </w:r>
          </w:p>
        </w:tc>
        <w:tc>
          <w:tcPr>
            <w:tcW w:w="780" w:type="dxa"/>
            <w:vAlign w:val="bottom"/>
            <w:tcBorders>
              <w:top w:val="single" w:sz="8" w:color="auto"/>
            </w:tcBorders>
            <w:vMerge w:val="restart"/>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860" w:type="dxa"/>
            <w:vAlign w:val="bottom"/>
            <w:tcBorders>
              <w:top w:val="single" w:sz="8" w:color="CCEEFF"/>
            </w:tcBorders>
            <w:gridSpan w:val="3"/>
            <w:vMerge w:val="restart"/>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1,744</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instruments</w:t>
            </w: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86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380" w:firstLine="620"/>
        <w:spacing w:after="0" w:line="353" w:lineRule="auto"/>
        <w:rPr>
          <w:sz w:val="20"/>
          <w:szCs w:val="20"/>
          <w:color w:val="auto"/>
        </w:rPr>
      </w:pPr>
      <w:r>
        <w:rPr>
          <w:rFonts w:ascii="Arial" w:cs="Arial" w:eastAsia="Arial" w:hAnsi="Arial"/>
          <w:sz w:val="15"/>
          <w:szCs w:val="15"/>
          <w:color w:val="auto"/>
        </w:rPr>
        <w:t>As of June 30, 2021, we expect approximately $1.8 million of the deferred gains on the outstanding derivatives in accumulated other comprehensive income to be reclassified to net income during the next six months concurrent with the underlying hedged transactions also being reported in net income.</w:t>
      </w:r>
    </w:p>
    <w:p>
      <w:pPr>
        <w:spacing w:after="0" w:line="13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Fair Value Measurement</w:t>
      </w:r>
    </w:p>
    <w:p>
      <w:pPr>
        <w:spacing w:after="0" w:line="224" w:lineRule="exact"/>
        <w:rPr>
          <w:sz w:val="20"/>
          <w:szCs w:val="20"/>
          <w:color w:val="auto"/>
        </w:rPr>
      </w:pPr>
    </w:p>
    <w:p>
      <w:pPr>
        <w:ind w:right="400" w:firstLine="172"/>
        <w:spacing w:after="0" w:line="283"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8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23" w:lineRule="exact"/>
        <w:rPr>
          <w:rFonts w:ascii="Arial" w:cs="Arial" w:eastAsia="Arial" w:hAnsi="Arial"/>
          <w:sz w:val="17"/>
          <w:szCs w:val="17"/>
          <w:color w:val="auto"/>
        </w:rPr>
      </w:pPr>
    </w:p>
    <w:p>
      <w:pPr>
        <w:ind w:left="620" w:right="1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Earn-out Liability</w:t>
      </w:r>
    </w:p>
    <w:p>
      <w:pPr>
        <w:spacing w:after="0" w:line="244" w:lineRule="exact"/>
        <w:rPr>
          <w:sz w:val="20"/>
          <w:szCs w:val="20"/>
          <w:color w:val="auto"/>
        </w:rPr>
      </w:pPr>
    </w:p>
    <w:p>
      <w:pPr>
        <w:ind w:right="160" w:firstLine="172"/>
        <w:spacing w:after="0" w:line="279" w:lineRule="auto"/>
        <w:rPr>
          <w:sz w:val="20"/>
          <w:szCs w:val="20"/>
          <w:color w:val="auto"/>
        </w:rPr>
      </w:pPr>
      <w:r>
        <w:rPr>
          <w:rFonts w:ascii="Arial" w:cs="Arial" w:eastAsia="Arial" w:hAnsi="Arial"/>
          <w:sz w:val="15"/>
          <w:szCs w:val="15"/>
          <w:color w:val="auto"/>
        </w:rPr>
        <w:t>In 2017, we recognized an earn-out liability upon the acquisition of HIS from Pfizer. Pfizer was entitled to receive between $191.3 million and $225.0 million in additional cash consideration based on the achievement of certain performance targets for the combined company for the three years ending December 31,</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2019.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At each reporting date subsequent to the acquisition we remeasured the earn-out using the same methodology above and recognized any changes in value. As of December 31, 2019, we determined that we did not meet the necessary performance targets that would require payout of any of the HIS earn-out liability. Pfizer disputed our determination that the performance targets requiring payout of the HIS earn-out liability were not met, therefore the dispute is being resolved by binding arbitration. As of this filing, we expect the arbitrator to render a decision on this matter in August 2021. Given the uncertainty of any arbitration, it may be possible that we will incur a loss with regards to this matter. If we are unsuccessful in arbitration such that it is determined that we met the necessary performance targets for any of the HIS earn-out liability, we will be obligated to pay Pfizer between $191.3 million and $225.0 million in additional cash consideration.</w:t>
      </w:r>
    </w:p>
    <w:p>
      <w:pPr>
        <w:spacing w:after="0" w:line="188" w:lineRule="exact"/>
        <w:rPr>
          <w:sz w:val="20"/>
          <w:szCs w:val="20"/>
          <w:color w:val="auto"/>
        </w:rPr>
      </w:pPr>
    </w:p>
    <w:p>
      <w:pPr>
        <w:ind w:right="40" w:firstLine="620"/>
        <w:spacing w:after="0" w:line="285" w:lineRule="auto"/>
        <w:rPr>
          <w:sz w:val="20"/>
          <w:szCs w:val="20"/>
          <w:color w:val="auto"/>
        </w:rPr>
      </w:pPr>
      <w:r>
        <w:rPr>
          <w:rFonts w:ascii="Arial" w:cs="Arial" w:eastAsia="Arial" w:hAnsi="Arial"/>
          <w:sz w:val="16"/>
          <w:szCs w:val="16"/>
          <w:color w:val="auto"/>
        </w:rPr>
        <w:t>In the fourth quarter of 2019, we recognized an earn-out liability related to the acquisition of Pursuit Vascular, Inc. ("Pursuit"). Pursuit's former equity holders are entitled up to $50.0 million in additional cash consideration contingent upon the achievement of certain sales and gross profit targets for specific customers. The earn-out is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simulation model utilizes multiple input variables to determine the value of the earn-out liability including historical volatility, a risk free interest rate, counter party credit risk and projected future gross profit (see the simulation input table below related to Pursuit). The historical volatility is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As of June 30, 2021, the earn-out measurement period had ended. Based on the actual sales and gross profit achieved during the measurement period, we calculated the actual earn-out amount to be $26.3 million. Pursuit's former equity holders are entitled to an earn-out review period during which they may dispute the final earn-out amount. Assuming Pursuit's former equity holders accept out calculation, we expect to pay the $26.3 million earn-out during the third quarter of 2021. Our contingent earn-out liability is separately stated in our condensed consolidated balance sheets.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provide a reconciliation of the Level 3 earn-out liabilities measured at estimated fair value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Pursuit</w:t>
            </w:r>
          </w:p>
        </w:tc>
      </w:tr>
      <w:tr>
        <w:trPr>
          <w:trHeight w:val="210"/>
        </w:trPr>
        <w:tc>
          <w:tcPr>
            <w:tcW w:w="9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w w:val="93"/>
              </w:rPr>
              <w:t>Earn-out Liability</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2021</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483"/>
        </w:trPr>
        <w:tc>
          <w:tcPr>
            <w:tcW w:w="9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Pursuit</w:t>
            </w:r>
          </w:p>
        </w:tc>
      </w:tr>
      <w:tr>
        <w:trPr>
          <w:trHeight w:val="210"/>
        </w:trPr>
        <w:tc>
          <w:tcPr>
            <w:tcW w:w="9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w w:val="93"/>
              </w:rPr>
              <w:t>Earn-out Liability</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2,700</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June 30, 2020</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right="880" w:firstLine="169"/>
        <w:spacing w:after="0" w:line="283" w:lineRule="auto"/>
        <w:rPr>
          <w:sz w:val="20"/>
          <w:szCs w:val="20"/>
          <w:color w:val="auto"/>
        </w:rPr>
      </w:pPr>
      <w:r>
        <w:rPr>
          <w:rFonts w:ascii="Arial" w:cs="Arial" w:eastAsia="Arial" w:hAnsi="Arial"/>
          <w:sz w:val="17"/>
          <w:szCs w:val="17"/>
          <w:color w:val="auto"/>
        </w:rPr>
        <w:t>The following tables provide quantitative information about Level 3 inputs for fair value measurement of our earn-out liabilities during the earn-out measurement period: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Pursuit Earn-out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Simulation Input</w:t>
            </w:r>
          </w:p>
        </w:tc>
        <w:tc>
          <w:tcPr>
            <w:tcW w:w="100" w:type="dxa"/>
            <w:vAlign w:val="bottom"/>
            <w:vMerge w:val="restart"/>
          </w:tcPr>
          <w:p>
            <w:pPr>
              <w:spacing w:after="0"/>
              <w:rPr>
                <w:sz w:val="16"/>
                <w:szCs w:val="16"/>
                <w:color w:val="auto"/>
              </w:rPr>
            </w:pPr>
          </w:p>
        </w:tc>
        <w:tc>
          <w:tcPr>
            <w:tcW w:w="2420" w:type="dxa"/>
            <w:vAlign w:val="bottom"/>
            <w:gridSpan w:val="2"/>
          </w:tcPr>
          <w:p>
            <w:pPr>
              <w:ind w:left="980"/>
              <w:spacing w:after="0"/>
              <w:rPr>
                <w:sz w:val="20"/>
                <w:szCs w:val="20"/>
                <w:color w:val="auto"/>
              </w:rPr>
            </w:pPr>
            <w:r>
              <w:rPr>
                <w:rFonts w:ascii="Arial" w:cs="Arial" w:eastAsia="Arial" w:hAnsi="Arial"/>
                <w:sz w:val="16"/>
                <w:szCs w:val="16"/>
                <w:b w:val="1"/>
                <w:bCs w:val="1"/>
                <w:color w:val="auto"/>
              </w:rPr>
              <w:t>As of</w:t>
            </w:r>
          </w:p>
        </w:tc>
        <w:tc>
          <w:tcPr>
            <w:tcW w:w="2300" w:type="dxa"/>
            <w:vAlign w:val="bottom"/>
          </w:tcPr>
          <w:p>
            <w:pPr>
              <w:jc w:val="right"/>
              <w:ind w:right="922"/>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04"/>
        </w:trPr>
        <w:tc>
          <w:tcPr>
            <w:tcW w:w="6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3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7"/>
                <w:szCs w:val="17"/>
                <w:color w:val="auto"/>
              </w:rPr>
            </w:pPr>
          </w:p>
        </w:tc>
        <w:tc>
          <w:tcPr>
            <w:tcW w:w="230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Revenue/Gross Profit Volatility</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25.00 %</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0" w:type="dxa"/>
            <w:vAlign w:val="bottom"/>
          </w:tcPr>
          <w:p>
            <w:pPr>
              <w:spacing w:after="0"/>
              <w:rPr>
                <w:sz w:val="1"/>
                <w:szCs w:val="1"/>
                <w:color w:val="auto"/>
              </w:rPr>
            </w:pP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2320" w:type="dxa"/>
            <w:vAlign w:val="bottom"/>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12.50 %</w:t>
            </w: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 Free Rate</w:t>
            </w:r>
          </w:p>
        </w:tc>
        <w:tc>
          <w:tcPr>
            <w:tcW w:w="2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0" w:type="dxa"/>
            <w:vAlign w:val="bottom"/>
          </w:tcPr>
          <w:p>
            <w:pPr>
              <w:spacing w:after="0"/>
              <w:rPr>
                <w:sz w:val="1"/>
                <w:szCs w:val="1"/>
                <w:color w:val="auto"/>
              </w:rPr>
            </w:pPr>
          </w:p>
        </w:tc>
      </w:tr>
      <w:tr>
        <w:trPr>
          <w:trHeight w:val="201"/>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Counter Party Risk</w:t>
            </w:r>
          </w:p>
        </w:tc>
        <w:tc>
          <w:tcPr>
            <w:tcW w:w="232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6.30 %</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and Foreign Currency Contracts</w:t>
      </w:r>
    </w:p>
    <w:p>
      <w:pPr>
        <w:spacing w:after="0" w:line="244" w:lineRule="exact"/>
        <w:rPr>
          <w:sz w:val="20"/>
          <w:szCs w:val="20"/>
          <w:color w:val="auto"/>
        </w:rPr>
      </w:pPr>
    </w:p>
    <w:p>
      <w:pPr>
        <w:ind w:right="380" w:firstLine="169"/>
        <w:spacing w:after="0" w:line="283" w:lineRule="auto"/>
        <w:rPr>
          <w:sz w:val="20"/>
          <w:szCs w:val="20"/>
          <w:color w:val="auto"/>
        </w:rPr>
      </w:pPr>
      <w:r>
        <w:rPr>
          <w:rFonts w:ascii="Arial" w:cs="Arial" w:eastAsia="Arial" w:hAnsi="Arial"/>
          <w:sz w:val="17"/>
          <w:szCs w:val="17"/>
          <w:color w:val="auto"/>
        </w:rPr>
        <w:t>The fair value of our investments is estimated using observable market-based inputs such as quoted prices, interest rates and yield curves or Level 2 inputs, which consisted of corporate bonds.</w:t>
      </w:r>
    </w:p>
    <w:p>
      <w:pPr>
        <w:spacing w:after="0" w:line="185" w:lineRule="exact"/>
        <w:rPr>
          <w:sz w:val="20"/>
          <w:szCs w:val="20"/>
          <w:color w:val="auto"/>
        </w:rPr>
      </w:pPr>
    </w:p>
    <w:p>
      <w:pPr>
        <w:ind w:right="80" w:firstLine="169"/>
        <w:spacing w:after="0" w:line="315"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assets and liabilities measured at fair value on a recurring basis consisted of the following Level 1, 2 and 3 inputs as defined above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Available for sale securities: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Short-term</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Long-term</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Foreign exchange forwards:</w:t>
      </w:r>
    </w:p>
    <w:p>
      <w:pPr>
        <w:spacing w:after="0" w:line="24" w:lineRule="exact"/>
        <w:rPr>
          <w:sz w:val="20"/>
          <w:szCs w:val="20"/>
          <w:color w:val="auto"/>
        </w:rPr>
      </w:pPr>
    </w:p>
    <w:p>
      <w:pPr>
        <w:ind w:left="40" w:right="1700" w:firstLine="194"/>
        <w:spacing w:after="0" w:line="346" w:lineRule="auto"/>
        <w:rPr>
          <w:sz w:val="20"/>
          <w:szCs w:val="20"/>
          <w:color w:val="auto"/>
        </w:rPr>
      </w:pPr>
      <w:r>
        <w:rPr>
          <w:rFonts w:ascii="Arial" w:cs="Arial" w:eastAsia="Arial" w:hAnsi="Arial"/>
          <w:sz w:val="17"/>
          <w:szCs w:val="17"/>
          <w:color w:val="auto"/>
        </w:rPr>
        <w:t>Prepaid expenses and other current assets Total Assets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Liabilities: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Earn-out liability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Available for sale securities: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Short-term</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Long-term</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Foreign exchange forwards:</w:t>
      </w:r>
    </w:p>
    <w:p>
      <w:pPr>
        <w:spacing w:after="0" w:line="24" w:lineRule="exact"/>
        <w:rPr>
          <w:sz w:val="20"/>
          <w:szCs w:val="20"/>
          <w:color w:val="auto"/>
        </w:rPr>
      </w:pPr>
    </w:p>
    <w:p>
      <w:pPr>
        <w:ind w:left="40" w:right="1700" w:firstLine="194"/>
        <w:spacing w:after="0" w:line="346" w:lineRule="auto"/>
        <w:rPr>
          <w:sz w:val="20"/>
          <w:szCs w:val="20"/>
          <w:color w:val="auto"/>
        </w:rPr>
      </w:pPr>
      <w:r>
        <w:rPr>
          <w:rFonts w:ascii="Arial" w:cs="Arial" w:eastAsia="Arial" w:hAnsi="Arial"/>
          <w:sz w:val="17"/>
          <w:szCs w:val="17"/>
          <w:color w:val="auto"/>
        </w:rPr>
        <w:t>Prepaid expenses and other current assets Total Assets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Liabilities: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Earn-out liability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Fair value measurements at June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left="164"/>
              <w:spacing w:after="0" w:line="134" w:lineRule="exact"/>
              <w:rPr>
                <w:sz w:val="20"/>
                <w:szCs w:val="20"/>
                <w:color w:val="auto"/>
              </w:rPr>
            </w:pPr>
            <w:r>
              <w:rPr>
                <w:rFonts w:ascii="Arial" w:cs="Arial" w:eastAsia="Arial" w:hAnsi="Arial"/>
                <w:sz w:val="14"/>
                <w:szCs w:val="14"/>
                <w:b w:val="1"/>
                <w:bCs w:val="1"/>
                <w:color w:val="auto"/>
                <w:w w:val="87"/>
              </w:rPr>
              <w:t>Quoted prices</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Total carrying</w:t>
            </w: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91"/>
              </w:rPr>
              <w:t>markets for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7"/>
              </w:rPr>
              <w:t>identical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1"/>
                <w:szCs w:val="11"/>
                <w:color w:val="auto"/>
              </w:rPr>
            </w:pPr>
          </w:p>
        </w:tc>
        <w:tc>
          <w:tcPr>
            <w:tcW w:w="120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80"/>
        </w:trPr>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84"/>
              </w:rPr>
              <w:t>assets (level 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7"/>
              </w:rPr>
              <w:t>inputs (level 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640"/>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14,661</w:t>
            </w: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14,661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15,670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15,670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9"/>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1,849</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1,849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32,180</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32,180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Fair value measurements at December 31, 2020</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64"/>
              <w:spacing w:after="0" w:line="128" w:lineRule="exact"/>
              <w:rPr>
                <w:sz w:val="20"/>
                <w:szCs w:val="20"/>
                <w:color w:val="auto"/>
              </w:rPr>
            </w:pPr>
            <w:r>
              <w:rPr>
                <w:rFonts w:ascii="Arial" w:cs="Arial" w:eastAsia="Arial" w:hAnsi="Arial"/>
                <w:sz w:val="14"/>
                <w:szCs w:val="14"/>
                <w:b w:val="1"/>
                <w:bCs w:val="1"/>
                <w:color w:val="auto"/>
                <w:w w:val="87"/>
              </w:rPr>
              <w:t>Quoted prices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Total carrying</w:t>
            </w: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91"/>
              </w:rPr>
              <w:t>markets for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7"/>
              </w:rPr>
              <w:t>identical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1"/>
                <w:szCs w:val="11"/>
                <w:color w:val="auto"/>
              </w:rPr>
            </w:pPr>
          </w:p>
        </w:tc>
        <w:tc>
          <w:tcPr>
            <w:tcW w:w="120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80"/>
        </w:trPr>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84"/>
              </w:rPr>
              <w:t>assets (level 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7"/>
              </w:rPr>
              <w:t>inputs (level 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640"/>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14,687</w:t>
            </w: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14,687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12,974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9"/>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3,555</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3,555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31,216</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31,216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-3782060</wp:posOffset>
            </wp:positionV>
            <wp:extent cx="7121525"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-3502660</wp:posOffset>
            </wp:positionV>
            <wp:extent cx="712152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-3223895</wp:posOffset>
            </wp:positionV>
            <wp:extent cx="7121525" cy="139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-2945130</wp:posOffset>
            </wp:positionV>
            <wp:extent cx="7121525"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16383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-2715260</wp:posOffset>
            </wp:positionV>
            <wp:extent cx="7121525" cy="13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-2436495</wp:posOffset>
            </wp:positionV>
            <wp:extent cx="7121525"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16383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-1623695</wp:posOffset>
            </wp:positionV>
            <wp:extent cx="7121525" cy="139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-1344930</wp:posOffset>
            </wp:positionV>
            <wp:extent cx="7121525" cy="139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-1066165</wp:posOffset>
            </wp:positionV>
            <wp:extent cx="7121525"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-786765</wp:posOffset>
            </wp:positionV>
            <wp:extent cx="7121525"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16383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-459105</wp:posOffset>
            </wp:positionV>
            <wp:extent cx="7121525" cy="139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-179705</wp:posOffset>
            </wp:positionV>
            <wp:extent cx="7121525" cy="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40"/>
          </w:cols>
          <w:pgMar w:left="320" w:top="121"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Investment Securities</w:t>
      </w:r>
    </w:p>
    <w:p>
      <w:pPr>
        <w:spacing w:after="0" w:line="250" w:lineRule="exact"/>
        <w:rPr>
          <w:sz w:val="20"/>
          <w:szCs w:val="20"/>
          <w:color w:val="auto"/>
        </w:rPr>
      </w:pPr>
    </w:p>
    <w:p>
      <w:pPr>
        <w:ind w:firstLine="172"/>
        <w:spacing w:after="0" w:line="257" w:lineRule="auto"/>
        <w:rPr>
          <w:sz w:val="20"/>
          <w:szCs w:val="20"/>
          <w:color w:val="auto"/>
        </w:rPr>
      </w:pPr>
      <w:r>
        <w:rPr>
          <w:rFonts w:ascii="Arial" w:cs="Arial" w:eastAsia="Arial" w:hAnsi="Arial"/>
          <w:sz w:val="17"/>
          <w:szCs w:val="17"/>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(expense), net on our condensed consolidated statements of operations. There have been no realized gains or losses on their disposal. Realized gains and losses are accounted for on the specific identification method. The scheduled maturities of the debt securities are between 2021 and 2024. All short-term investment securities are callable within one year.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short investment securities consisted of the following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86"/>
              </w:rPr>
              <w:t>As of June 30, 2021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2060" w:type="dxa"/>
            <w:vAlign w:val="bottom"/>
            <w:gridSpan w:val="4"/>
          </w:tcPr>
          <w:p>
            <w:pPr>
              <w:jc w:val="center"/>
              <w:ind w:right="100"/>
              <w:spacing w:after="0" w:line="151" w:lineRule="exact"/>
              <w:rPr>
                <w:sz w:val="20"/>
                <w:szCs w:val="20"/>
                <w:color w:val="auto"/>
              </w:rPr>
            </w:pPr>
            <w:r>
              <w:rPr>
                <w:rFonts w:ascii="Arial" w:cs="Arial" w:eastAsia="Arial" w:hAnsi="Arial"/>
                <w:sz w:val="16"/>
                <w:szCs w:val="16"/>
                <w:b w:val="1"/>
                <w:bCs w:val="1"/>
                <w:color w:val="auto"/>
                <w:w w:val="88"/>
              </w:rPr>
              <w:t>Unrealized Holding Gains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6"/>
                <w:szCs w:val="16"/>
                <w:b w:val="1"/>
                <w:bCs w:val="1"/>
                <w:color w:val="auto"/>
                <w:w w:val="82"/>
              </w:rPr>
              <w:t>(Losses)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30,331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6"/>
              </w:rPr>
              <w:t>As of December 31, 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2060" w:type="dxa"/>
            <w:vAlign w:val="bottom"/>
            <w:gridSpan w:val="4"/>
          </w:tcPr>
          <w:p>
            <w:pPr>
              <w:jc w:val="center"/>
              <w:ind w:right="100"/>
              <w:spacing w:after="0" w:line="151" w:lineRule="exact"/>
              <w:rPr>
                <w:sz w:val="20"/>
                <w:szCs w:val="20"/>
                <w:color w:val="auto"/>
              </w:rPr>
            </w:pPr>
            <w:r>
              <w:rPr>
                <w:rFonts w:ascii="Arial" w:cs="Arial" w:eastAsia="Arial" w:hAnsi="Arial"/>
                <w:sz w:val="16"/>
                <w:szCs w:val="16"/>
                <w:b w:val="1"/>
                <w:bCs w:val="1"/>
                <w:color w:val="auto"/>
                <w:w w:val="88"/>
              </w:rPr>
              <w:t>Unrealized Holding Gains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6"/>
                <w:szCs w:val="16"/>
                <w:b w:val="1"/>
                <w:bCs w:val="1"/>
                <w:color w:val="auto"/>
                <w:w w:val="82"/>
              </w:rPr>
              <w:t>(Losses)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10:   Prepaid Expenses and Other Current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5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40" w:type="dxa"/>
            <w:vAlign w:val="bottom"/>
            <w:gridSpan w:val="4"/>
          </w:tcPr>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June 30,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1"/>
              </w:rPr>
              <w:t>December 31, 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17,705</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Deferred costs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4,341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property taxes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VAT/GST receivable</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3,519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charge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Foreign exchange forward contract</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1,849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2,064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37,979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Inventories</w:t>
      </w:r>
    </w:p>
    <w:p>
      <w:pPr>
        <w:spacing w:after="0" w:line="224" w:lineRule="exact"/>
        <w:rPr>
          <w:sz w:val="20"/>
          <w:szCs w:val="20"/>
          <w:color w:val="auto"/>
        </w:rPr>
      </w:pPr>
    </w:p>
    <w:p>
      <w:pPr>
        <w:ind w:right="60" w:firstLine="172"/>
        <w:spacing w:after="0" w:line="353" w:lineRule="auto"/>
        <w:rPr>
          <w:sz w:val="20"/>
          <w:szCs w:val="20"/>
          <w:color w:val="auto"/>
        </w:rPr>
      </w:pPr>
      <w:r>
        <w:rPr>
          <w:rFonts w:ascii="Arial" w:cs="Arial" w:eastAsia="Arial" w:hAnsi="Arial"/>
          <w:sz w:val="15"/>
          <w:szCs w:val="15"/>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7"/>
                <w:szCs w:val="17"/>
                <w:color w:val="auto"/>
              </w:rPr>
            </w:pPr>
          </w:p>
        </w:tc>
        <w:tc>
          <w:tcPr>
            <w:tcW w:w="1620" w:type="dxa"/>
            <w:vAlign w:val="bottom"/>
          </w:tcPr>
          <w:p>
            <w:pPr>
              <w:jc w:val="right"/>
              <w:ind w:right="196"/>
              <w:spacing w:after="0"/>
              <w:rPr>
                <w:sz w:val="20"/>
                <w:szCs w:val="20"/>
                <w:color w:val="auto"/>
              </w:rPr>
            </w:pPr>
            <w:r>
              <w:rPr>
                <w:rFonts w:ascii="Arial" w:cs="Arial" w:eastAsia="Arial" w:hAnsi="Arial"/>
                <w:sz w:val="16"/>
                <w:szCs w:val="16"/>
                <w:b w:val="1"/>
                <w:bCs w:val="1"/>
                <w:color w:val="auto"/>
                <w:w w:val="91"/>
              </w:rPr>
              <w:t>December 31, 2020</w:t>
            </w:r>
          </w:p>
        </w:tc>
      </w:tr>
      <w:tr>
        <w:trPr>
          <w:trHeight w:val="215"/>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126,499</w:t>
            </w:r>
          </w:p>
        </w:tc>
      </w:tr>
      <w:tr>
        <w:trPr>
          <w:trHeight w:val="220"/>
        </w:trPr>
        <w:tc>
          <w:tcPr>
            <w:tcW w:w="74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37,571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33,053</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155,376</w:t>
            </w:r>
          </w:p>
        </w:tc>
      </w:tr>
      <w:tr>
        <w:trPr>
          <w:trHeight w:val="213"/>
        </w:trPr>
        <w:tc>
          <w:tcPr>
            <w:tcW w:w="746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299,610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314,928</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Property and Equipment</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Arial" w:cs="Arial" w:eastAsia="Arial" w:hAnsi="Arial"/>
                <w:sz w:val="16"/>
                <w:szCs w:val="16"/>
                <w:b w:val="1"/>
                <w:bCs w:val="1"/>
                <w:color w:val="auto"/>
                <w:w w:val="92"/>
              </w:rPr>
              <w:t>December 31, 2020</w:t>
            </w:r>
          </w:p>
        </w:tc>
      </w:tr>
      <w:tr>
        <w:trPr>
          <w:trHeight w:val="21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301,573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291,331</w:t>
            </w: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Land, building and building improvements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242,163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241,199</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Molds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60,381</w:t>
            </w: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99,408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98,311</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7,767</w:t>
            </w:r>
          </w:p>
        </w:tc>
      </w:tr>
      <w:tr>
        <w:trPr>
          <w:trHeight w:val="220"/>
        </w:trPr>
        <w:tc>
          <w:tcPr>
            <w:tcW w:w="7340" w:type="dxa"/>
            <w:vAlign w:val="bottom"/>
          </w:tcPr>
          <w:p>
            <w:pPr>
              <w:ind w:left="20"/>
              <w:spacing w:after="0" w:line="220" w:lineRule="exact"/>
              <w:rPr>
                <w:sz w:val="20"/>
                <w:szCs w:val="20"/>
                <w:color w:val="auto"/>
              </w:rPr>
            </w:pPr>
            <w:r>
              <w:rPr>
                <w:rFonts w:ascii="Arial" w:cs="Arial" w:eastAsia="Arial" w:hAnsi="Arial"/>
                <w:sz w:val="17"/>
                <w:szCs w:val="17"/>
                <w:color w:val="auto"/>
              </w:rPr>
              <w:t>Instruments placed with customers</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97,095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90,383</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53,724</w:t>
            </w:r>
          </w:p>
        </w:tc>
      </w:tr>
      <w:tr>
        <w:trPr>
          <w:trHeight w:val="213"/>
        </w:trPr>
        <w:tc>
          <w:tcPr>
            <w:tcW w:w="7340" w:type="dxa"/>
            <w:vAlign w:val="bottom"/>
          </w:tcPr>
          <w:p>
            <w:pPr>
              <w:ind w:left="140"/>
              <w:spacing w:after="0"/>
              <w:rPr>
                <w:sz w:val="20"/>
                <w:szCs w:val="20"/>
                <w:color w:val="auto"/>
              </w:rPr>
            </w:pPr>
            <w:r>
              <w:rPr>
                <w:rFonts w:ascii="Arial" w:cs="Arial" w:eastAsia="Arial" w:hAnsi="Arial"/>
                <w:sz w:val="17"/>
                <w:szCs w:val="17"/>
                <w:color w:val="auto"/>
              </w:rPr>
              <w:t>Total property and equipment, cost</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865,581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843,096</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(406,796)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(376,468)</w:t>
            </w:r>
          </w:p>
        </w:tc>
      </w:tr>
      <w:tr>
        <w:trPr>
          <w:trHeight w:val="213"/>
        </w:trPr>
        <w:tc>
          <w:tcPr>
            <w:tcW w:w="73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458,785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466,628</w:t>
            </w: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02" w:lineRule="exact"/>
        <w:rPr>
          <w:sz w:val="20"/>
          <w:szCs w:val="20"/>
          <w:color w:val="auto"/>
        </w:rPr>
      </w:pPr>
    </w:p>
    <w:p>
      <w:pPr>
        <w:ind w:left="160" w:hanging="157"/>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21" w:lineRule="exact"/>
        <w:rPr>
          <w:sz w:val="20"/>
          <w:szCs w:val="20"/>
          <w:color w:val="auto"/>
        </w:rPr>
      </w:pPr>
    </w:p>
    <w:p>
      <w:pPr>
        <w:ind w:right="300" w:firstLine="172"/>
        <w:spacing w:after="0" w:line="283" w:lineRule="auto"/>
        <w:rPr>
          <w:sz w:val="20"/>
          <w:szCs w:val="20"/>
          <w:color w:val="auto"/>
        </w:rPr>
      </w:pPr>
      <w:r>
        <w:rPr>
          <w:rFonts w:ascii="Arial" w:cs="Arial" w:eastAsia="Arial" w:hAnsi="Arial"/>
          <w:sz w:val="17"/>
          <w:szCs w:val="17"/>
          <w:color w:val="auto"/>
        </w:rPr>
        <w:t>Depreciation expense was $16.3 million and $32.7 million for the three and six months ended June 30, 2021, respectively, as compared to $15.8 million and $31.0 million for the three and six months ended June 30, 2020,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00" w:type="dxa"/>
            <w:vAlign w:val="bottom"/>
            <w:gridSpan w:val="2"/>
          </w:tcPr>
          <w:p>
            <w:pPr>
              <w:spacing w:after="0"/>
              <w:rPr>
                <w:sz w:val="20"/>
                <w:szCs w:val="20"/>
                <w:color w:val="auto"/>
              </w:rPr>
            </w:pPr>
            <w:r>
              <w:rPr>
                <w:rFonts w:ascii="Arial" w:cs="Arial" w:eastAsia="Arial" w:hAnsi="Arial"/>
                <w:sz w:val="17"/>
                <w:szCs w:val="17"/>
                <w:b w:val="1"/>
                <w:bCs w:val="1"/>
                <w:color w:val="auto"/>
              </w:rPr>
              <w:t>Note 13: Goodwill and Intangible Assets, Net</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7"/>
                <w:szCs w:val="17"/>
                <w:i w:val="1"/>
                <w:iCs w:val="1"/>
                <w:color w:val="auto"/>
              </w:rPr>
              <w:t>Goodwill</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7"/>
                <w:szCs w:val="17"/>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Total</w:t>
            </w: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33,001</w:t>
            </w:r>
          </w:p>
        </w:tc>
      </w:tr>
      <w:tr>
        <w:trPr>
          <w:trHeight w:val="220"/>
        </w:trPr>
        <w:tc>
          <w:tcPr>
            <w:tcW w:w="20" w:type="dxa"/>
            <w:vAlign w:val="bottom"/>
          </w:tcPr>
          <w:p>
            <w:pPr>
              <w:spacing w:after="0"/>
              <w:rPr>
                <w:sz w:val="19"/>
                <w:szCs w:val="19"/>
                <w:color w:val="auto"/>
              </w:rPr>
            </w:pPr>
          </w:p>
        </w:tc>
        <w:tc>
          <w:tcPr>
            <w:tcW w:w="89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Currency translation</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r>
      <w:tr>
        <w:trPr>
          <w:trHeight w:val="238"/>
        </w:trPr>
        <w:tc>
          <w:tcPr>
            <w:tcW w:w="20" w:type="dxa"/>
            <w:vAlign w:val="bottom"/>
          </w:tcPr>
          <w:p>
            <w:pPr>
              <w:spacing w:after="0"/>
              <w:rPr>
                <w:sz w:val="20"/>
                <w:szCs w:val="20"/>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32,927</w:t>
            </w:r>
          </w:p>
        </w:tc>
      </w:tr>
      <w:tr>
        <w:trPr>
          <w:trHeight w:val="20"/>
        </w:trPr>
        <w:tc>
          <w:tcPr>
            <w:tcW w:w="2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Net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6"/>
                <w:szCs w:val="16"/>
                <w:b w:val="1"/>
                <w:bCs w:val="1"/>
                <w:color w:val="auto"/>
                <w:w w:val="89"/>
              </w:rPr>
              <w:t>Amortization</w:t>
            </w: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Life 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10,194</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4,367</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14,149</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109,716</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197"/>
        </w:trPr>
        <w:tc>
          <w:tcPr>
            <w:tcW w:w="5480" w:type="dxa"/>
            <w:vAlign w:val="bottom"/>
          </w:tcPr>
          <w:p>
            <w:pPr>
              <w:ind w:left="14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268,374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100,967</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167,407</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22,213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22,213</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290,587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189,620</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20" w:hanging="117"/>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December 31, 2020</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6"/>
                <w:szCs w:val="16"/>
                <w:b w:val="1"/>
                <w:bCs w:val="1"/>
                <w:color w:val="auto"/>
                <w:w w:val="89"/>
              </w:rPr>
              <w:t>Amortization</w:t>
            </w: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6"/>
                <w:szCs w:val="16"/>
                <w:b w:val="1"/>
                <w:bCs w:val="1"/>
                <w:color w:val="auto"/>
                <w:w w:val="87"/>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Life 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Amortization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115,966</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197"/>
        </w:trPr>
        <w:tc>
          <w:tcPr>
            <w:tcW w:w="5480" w:type="dxa"/>
            <w:vAlign w:val="bottom"/>
          </w:tcPr>
          <w:p>
            <w:pPr>
              <w:ind w:left="14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267,311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177,868</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19,363</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197,231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0" w:hanging="117"/>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Intangible assets with definite lives are amortized on a straight-line basis over their estimated useful lives. During the three and six months ended</w:t>
      </w:r>
    </w:p>
    <w:p>
      <w:pPr>
        <w:spacing w:after="0" w:line="2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June 30, 2021, respectively, intangible asset amortization expense was $5.8 million and $11.6 million, respectively, as compared to $5.8 million and $11.6 million for the three and six months ended June 30, 2020, respectively.</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2021 estimated annual amortization for our intangible assets for each of the next five years is approximately (in thousands):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ind w:left="3960"/>
              <w:spacing w:after="0"/>
              <w:rPr>
                <w:sz w:val="20"/>
                <w:szCs w:val="20"/>
                <w:color w:val="auto"/>
              </w:rPr>
            </w:pPr>
            <w:r>
              <w:rPr>
                <w:rFonts w:ascii="Arial" w:cs="Arial" w:eastAsia="Arial" w:hAnsi="Arial"/>
                <w:sz w:val="17"/>
                <w:szCs w:val="17"/>
                <w:b w:val="1"/>
                <w:bCs w:val="1"/>
                <w:color w:val="auto"/>
              </w:rPr>
              <w:t>ICU MEDICAL, INC. AND SUBSIDIARIES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20" w:type="dxa"/>
            <w:vAlign w:val="bottom"/>
            <w:gridSpan w:val="5"/>
          </w:tcPr>
          <w:p>
            <w:pPr>
              <w:ind w:left="2340"/>
              <w:spacing w:after="0"/>
              <w:rPr>
                <w:sz w:val="20"/>
                <w:szCs w:val="20"/>
                <w:color w:val="auto"/>
              </w:rPr>
            </w:pPr>
            <w:r>
              <w:rPr>
                <w:rFonts w:ascii="Arial" w:cs="Arial" w:eastAsia="Arial" w:hAnsi="Arial"/>
                <w:sz w:val="17"/>
                <w:szCs w:val="17"/>
                <w:b w:val="1"/>
                <w:bCs w:val="1"/>
                <w:color w:val="auto"/>
              </w:rPr>
              <w:t>NOTES TO CONDENSED CONSOLIDATED FINANCIAL STATEMENTS (Continued)</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6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2022</w:t>
            </w:r>
          </w:p>
        </w:tc>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22,877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2024</w:t>
            </w:r>
          </w:p>
        </w:tc>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2026</w:t>
            </w:r>
          </w:p>
        </w:tc>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15,188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Arial" w:cs="Arial" w:eastAsia="Arial" w:hAnsi="Arial"/>
                <w:sz w:val="17"/>
                <w:szCs w:val="17"/>
                <w:color w:val="auto"/>
              </w:rPr>
              <w:t>Total</w:t>
            </w: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b w:val="1"/>
                <w:bCs w:val="1"/>
                <w:color w:val="auto"/>
              </w:rPr>
              <w:t>Note 14:   Accrued Liabilities and Other Long-Term Liabilities</w:t>
            </w:r>
          </w:p>
        </w:tc>
        <w:tc>
          <w:tcPr>
            <w:tcW w:w="1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2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280" w:type="dxa"/>
            <w:vAlign w:val="bottom"/>
          </w:tcPr>
          <w:p>
            <w:pPr>
              <w:ind w:left="160"/>
              <w:spacing w:after="0"/>
              <w:rPr>
                <w:sz w:val="20"/>
                <w:szCs w:val="20"/>
                <w:color w:val="auto"/>
              </w:rPr>
            </w:pPr>
            <w:r>
              <w:rPr>
                <w:rFonts w:ascii="Arial" w:cs="Arial" w:eastAsia="Arial" w:hAnsi="Arial"/>
                <w:sz w:val="17"/>
                <w:szCs w:val="17"/>
                <w:color w:val="auto"/>
              </w:rPr>
              <w:t>Accrued liabilities consist of the following (in thousands):</w:t>
            </w:r>
          </w:p>
        </w:tc>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28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June 30, 2021</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5"/>
              </w:rPr>
              <w:t>December 31,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1780" w:type="dxa"/>
            <w:vAlign w:val="bottom"/>
            <w:shd w:val="clear" w:color="auto" w:fill="CCEEFF"/>
          </w:tcPr>
          <w:p>
            <w:pPr>
              <w:jc w:val="right"/>
              <w:ind w:right="159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27,023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liability-ST</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sales taxes</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accrual</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5,566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 taxes</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accrual</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Distribution fees</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Warranties and returns</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freight</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6,784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1780" w:type="dxa"/>
            <w:vAlign w:val="bottom"/>
            <w:tcBorders>
              <w:bottom w:val="single" w:sz="8" w:color="auto"/>
            </w:tcBorders>
          </w:tcPr>
          <w:p>
            <w:pPr>
              <w:jc w:val="right"/>
              <w:ind w:right="159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620"/>
              <w:spacing w:after="0"/>
              <w:rPr>
                <w:sz w:val="20"/>
                <w:szCs w:val="20"/>
                <w:color w:val="auto"/>
              </w:rPr>
            </w:pPr>
            <w:r>
              <w:rPr>
                <w:rFonts w:ascii="Arial" w:cs="Arial" w:eastAsia="Arial" w:hAnsi="Arial"/>
                <w:sz w:val="17"/>
                <w:szCs w:val="17"/>
                <w:color w:val="auto"/>
              </w:rPr>
              <w:t>Other long-term liabilities consist of the following (in thousands):</w:t>
            </w:r>
          </w:p>
        </w:tc>
        <w:tc>
          <w:tcPr>
            <w:tcW w:w="1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2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28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June 30, 2021</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5"/>
              </w:rPr>
              <w:t>December 31,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liability-LT</w:t>
            </w:r>
          </w:p>
        </w:tc>
        <w:tc>
          <w:tcPr>
            <w:tcW w:w="1780" w:type="dxa"/>
            <w:vAlign w:val="bottom"/>
            <w:shd w:val="clear" w:color="auto" w:fill="CCEEFF"/>
          </w:tcPr>
          <w:p>
            <w:pPr>
              <w:jc w:val="right"/>
              <w:ind w:right="159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Benefits</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rent</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Contract liabilities-LT</w:t>
            </w:r>
          </w:p>
        </w:tc>
        <w:tc>
          <w:tcPr>
            <w:tcW w:w="1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lease liability-LT</w:t>
            </w:r>
          </w:p>
        </w:tc>
        <w:tc>
          <w:tcPr>
            <w:tcW w:w="1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59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47,835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Income Taxes</w:t>
      </w:r>
    </w:p>
    <w:p>
      <w:pPr>
        <w:spacing w:after="0" w:line="224" w:lineRule="exact"/>
        <w:rPr>
          <w:sz w:val="20"/>
          <w:szCs w:val="20"/>
          <w:color w:val="auto"/>
        </w:rPr>
      </w:pPr>
    </w:p>
    <w:p>
      <w:pPr>
        <w:ind w:right="720" w:firstLine="620"/>
        <w:spacing w:after="0" w:line="283" w:lineRule="auto"/>
        <w:rPr>
          <w:sz w:val="20"/>
          <w:szCs w:val="20"/>
          <w:color w:val="auto"/>
        </w:rPr>
      </w:pPr>
      <w:r>
        <w:rPr>
          <w:rFonts w:ascii="Arial" w:cs="Arial" w:eastAsia="Arial" w:hAnsi="Arial"/>
          <w:sz w:val="17"/>
          <w:szCs w:val="17"/>
          <w:color w:val="auto"/>
        </w:rPr>
        <w:t>Income taxes were accrued at an estimated effective tax rate of 18% and 16% for the three and six months ended June 30, 2021, respectively, as compared to 9% and 13% for the three and six months ended June 30, 2020, respectively.</w:t>
      </w:r>
    </w:p>
    <w:p>
      <w:pPr>
        <w:spacing w:after="0" w:line="185" w:lineRule="exact"/>
        <w:rPr>
          <w:sz w:val="20"/>
          <w:szCs w:val="20"/>
          <w:color w:val="auto"/>
        </w:rPr>
      </w:pPr>
    </w:p>
    <w:p>
      <w:pPr>
        <w:ind w:right="40" w:firstLine="169"/>
        <w:spacing w:after="0" w:line="285" w:lineRule="auto"/>
        <w:rPr>
          <w:sz w:val="20"/>
          <w:szCs w:val="20"/>
          <w:color w:val="auto"/>
        </w:rPr>
      </w:pPr>
      <w:r>
        <w:rPr>
          <w:rFonts w:ascii="Arial" w:cs="Arial" w:eastAsia="Arial" w:hAnsi="Arial"/>
          <w:sz w:val="16"/>
          <w:szCs w:val="16"/>
          <w:color w:val="auto"/>
        </w:rPr>
        <w:t>The effective tax rate for the three and six months ended June 30, 2021 differs from the federal statutory rate of 21% principally because of the effect of the mix of U.S. and foreign incomes, state income taxes, global intangible low-taxed income ("GILTI"), foreign-derived intangible income ("FDII") and tax credits. The effective tax rate during the three and six months ended June 30, 2021 included a discrete tax benefit of $0.4 million and $2.2 million, respectively, related to excess tax benefits recognized on stock option exercises and the vesting of restricted stock units during the period.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firstLine="169"/>
        <w:spacing w:after="0" w:line="263" w:lineRule="auto"/>
        <w:rPr>
          <w:sz w:val="20"/>
          <w:szCs w:val="20"/>
          <w:color w:val="auto"/>
        </w:rPr>
      </w:pPr>
      <w:r>
        <w:rPr>
          <w:rFonts w:ascii="Arial" w:cs="Arial" w:eastAsia="Arial" w:hAnsi="Arial"/>
          <w:sz w:val="17"/>
          <w:szCs w:val="17"/>
          <w:color w:val="auto"/>
        </w:rPr>
        <w:t>The effective tax rate for the three and six months ended June 30, 2020 differs from the federal statutory rate of 21% principally because of the effect of the mix of U.S. and foreign incomes, state income taxes, GILTI, FDII and tax credits. The effective tax rate during the three and six months ended June 30, 2020 included a discrete tax benefit of $3.0 million and $3.5 million, respectively, related to excess tax benefits recognized on stock option exercises and the vesting of restricted stock units during the period.</w:t>
      </w:r>
    </w:p>
    <w:p>
      <w:pPr>
        <w:spacing w:after="0" w:line="19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Long-Term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Five-year Senior Secured Revolving Credit Facility ("Credit Facility")</w:t>
      </w:r>
    </w:p>
    <w:p>
      <w:pPr>
        <w:spacing w:after="0" w:line="244" w:lineRule="exact"/>
        <w:rPr>
          <w:sz w:val="20"/>
          <w:szCs w:val="20"/>
          <w:color w:val="auto"/>
        </w:rPr>
      </w:pPr>
    </w:p>
    <w:p>
      <w:pPr>
        <w:ind w:firstLine="172"/>
        <w:spacing w:after="0" w:line="263" w:lineRule="auto"/>
        <w:rPr>
          <w:sz w:val="20"/>
          <w:szCs w:val="20"/>
          <w:color w:val="auto"/>
        </w:rPr>
      </w:pPr>
      <w:r>
        <w:rPr>
          <w:rFonts w:ascii="Arial" w:cs="Arial" w:eastAsia="Arial" w:hAnsi="Arial"/>
          <w:sz w:val="17"/>
          <w:szCs w:val="17"/>
          <w:color w:val="auto"/>
        </w:rPr>
        <w:t>On November 8, 2017, we entered into a Credit Facility with various lenders for $150.0 million, with Wells Fargo Bank, N.A. as the administrative agent, swingline lender and issuing lender. During March 2020, as a result of market uncertainty caused by COVID-19, we preemptively borrowed $150.0 million on our Credit Facility as a conservative measure to manage any potential short-term liquidity risk. In September 2020, we fully repaid the borrowings under our Credit Facility.</w:t>
      </w:r>
    </w:p>
    <w:p>
      <w:pPr>
        <w:spacing w:after="0" w:line="203" w:lineRule="exact"/>
        <w:rPr>
          <w:sz w:val="20"/>
          <w:szCs w:val="20"/>
          <w:color w:val="auto"/>
        </w:rPr>
      </w:pPr>
    </w:p>
    <w:p>
      <w:pPr>
        <w:ind w:firstLine="163"/>
        <w:spacing w:after="0" w:line="263" w:lineRule="auto"/>
        <w:rPr>
          <w:sz w:val="20"/>
          <w:szCs w:val="20"/>
          <w:color w:val="auto"/>
        </w:rPr>
      </w:pPr>
      <w:r>
        <w:rPr>
          <w:rFonts w:ascii="Arial" w:cs="Arial" w:eastAsia="Arial" w:hAnsi="Arial"/>
          <w:sz w:val="17"/>
          <w:szCs w:val="17"/>
          <w:color w:val="auto"/>
        </w:rPr>
        <w:t>As of June 30, 2021, we had no borrowings and $150.0 million of availability under the Credit Facility. Principal payments on the revolving Credit Facility are made at our discretion with the unpaid amount due at maturity. The Credit Facility matures on November 8, 2022. Interest on borrowings under the Credit Facility, at our option, is based on the Base Rate plus applicable margin or the London Interbank Offered Rate ("LIBOR") plus applicable margin, see further details in Part II, Item 8, of our 2020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244" w:lineRule="exact"/>
        <w:rPr>
          <w:sz w:val="20"/>
          <w:szCs w:val="20"/>
          <w:color w:val="auto"/>
        </w:rPr>
      </w:pPr>
    </w:p>
    <w:p>
      <w:pPr>
        <w:ind w:firstLine="169"/>
        <w:spacing w:after="0" w:line="281"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9" w:lineRule="exact"/>
        <w:rPr>
          <w:sz w:val="20"/>
          <w:szCs w:val="20"/>
          <w:color w:val="auto"/>
        </w:rPr>
      </w:pPr>
    </w:p>
    <w:p>
      <w:pPr>
        <w:ind w:right="240" w:firstLine="169"/>
        <w:spacing w:after="0" w:line="268" w:lineRule="auto"/>
        <w:rPr>
          <w:sz w:val="20"/>
          <w:szCs w:val="20"/>
          <w:color w:val="auto"/>
        </w:rPr>
      </w:pPr>
      <w:r>
        <w:rPr>
          <w:rFonts w:ascii="Arial" w:cs="Arial" w:eastAsia="Arial" w:hAnsi="Arial"/>
          <w:sz w:val="17"/>
          <w:szCs w:val="17"/>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98" w:lineRule="exact"/>
        <w:rPr>
          <w:sz w:val="20"/>
          <w:szCs w:val="20"/>
          <w:color w:val="auto"/>
        </w:rPr>
      </w:pPr>
    </w:p>
    <w:p>
      <w:pPr>
        <w:ind w:right="100" w:firstLine="169"/>
        <w:spacing w:after="0" w:line="320" w:lineRule="auto"/>
        <w:rPr>
          <w:sz w:val="20"/>
          <w:szCs w:val="20"/>
          <w:color w:val="auto"/>
        </w:rPr>
      </w:pPr>
      <w:r>
        <w:rPr>
          <w:rFonts w:ascii="Arial" w:cs="Arial" w:eastAsia="Arial" w:hAnsi="Arial"/>
          <w:sz w:val="15"/>
          <w:szCs w:val="15"/>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were in compliance with all financial covenants as of June 30,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4" w:lineRule="exact"/>
        <w:rPr>
          <w:sz w:val="20"/>
          <w:szCs w:val="20"/>
          <w:color w:val="auto"/>
        </w:rPr>
      </w:pPr>
    </w:p>
    <w:p>
      <w:pPr>
        <w:ind w:right="40" w:firstLine="172"/>
        <w:spacing w:after="0" w:line="263" w:lineRule="auto"/>
        <w:rPr>
          <w:sz w:val="20"/>
          <w:szCs w:val="20"/>
          <w:color w:val="auto"/>
        </w:rPr>
      </w:pPr>
      <w:r>
        <w:rPr>
          <w:rFonts w:ascii="Arial" w:cs="Arial" w:eastAsia="Arial" w:hAnsi="Arial"/>
          <w:sz w:val="17"/>
          <w:szCs w:val="17"/>
          <w:color w:val="auto"/>
        </w:rPr>
        <w:t>In August 2019, our Board of Directors approved a new share purchase plan to purchase up to $100.0 million of our common stock. This plan replaced our existing plan and has no expiration date. During the six months ended June 30, 2021, we did not purchase any shares of our common stock under our stock purchase plans. As of June 30, 2021, all of the $100.0 million available for purchase was remaining under the plan. We are currently limited on share purchases in accordance with the terms and conditions of our Credit Facility (see Note 16: Long-Term Obligations).</w:t>
      </w:r>
    </w:p>
    <w:p>
      <w:pPr>
        <w:spacing w:after="0" w:line="203" w:lineRule="exact"/>
        <w:rPr>
          <w:sz w:val="20"/>
          <w:szCs w:val="20"/>
          <w:color w:val="auto"/>
        </w:rPr>
      </w:pPr>
    </w:p>
    <w:p>
      <w:pPr>
        <w:jc w:val="both"/>
        <w:ind w:right="80" w:firstLine="172"/>
        <w:spacing w:after="0" w:line="263" w:lineRule="auto"/>
        <w:rPr>
          <w:sz w:val="20"/>
          <w:szCs w:val="20"/>
          <w:color w:val="auto"/>
        </w:rPr>
      </w:pPr>
      <w:r>
        <w:rPr>
          <w:rFonts w:ascii="Arial" w:cs="Arial" w:eastAsia="Arial" w:hAnsi="Arial"/>
          <w:sz w:val="17"/>
          <w:szCs w:val="17"/>
          <w:color w:val="auto"/>
        </w:rPr>
        <w:t>For the six months ended June 30, 2021, we withheld 37,882 shares of our common stock from employee vested restricted stock units in consideration for $7.8 million in payments made on the employee's behalf for their minimum statutory income tax withholding obligations. For the six months ended June 30, 2020, we withheld 65,392 shares of our common stock from employee vested restricted stock units in consideration for $12.6 million in payments made on the employee's behalf for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their minimum statutory income tax withholding obligations. Treasury stock is used to issue shares for stock option exercises, restricted stock grants and employee stock purchase plan stock purchases.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 Income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components of accumulated other comprehensive (loss) income ("AOCI"), net of tax, were as follows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Unrealized Gains on</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vMerge w:val="continue"/>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Other Adjustments</w:t>
            </w:r>
          </w:p>
        </w:tc>
        <w:tc>
          <w:tcPr>
            <w:tcW w:w="360" w:type="dxa"/>
            <w:vAlign w:val="bottom"/>
          </w:tcPr>
          <w:p>
            <w:pPr>
              <w:spacing w:after="0"/>
              <w:rPr>
                <w:sz w:val="14"/>
                <w:szCs w:val="14"/>
                <w:color w:val="auto"/>
              </w:rPr>
            </w:pPr>
          </w:p>
        </w:tc>
        <w:tc>
          <w:tcPr>
            <w:tcW w:w="124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Cash Flow 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(7,752)</w:t>
            </w:r>
          </w:p>
        </w:tc>
        <w:tc>
          <w:tcPr>
            <w:tcW w:w="0" w:type="dxa"/>
            <w:vAlign w:val="bottom"/>
          </w:tcPr>
          <w:p>
            <w:pPr>
              <w:spacing w:after="0"/>
              <w:rPr>
                <w:sz w:val="1"/>
                <w:szCs w:val="1"/>
                <w:color w:val="auto"/>
              </w:rPr>
            </w:pP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(8,391)</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(9,913)</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1,649</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Unrealized Gains on</w:t>
            </w: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vMerge w:val="continue"/>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Other Adjustments</w:t>
            </w:r>
          </w:p>
        </w:tc>
        <w:tc>
          <w:tcPr>
            <w:tcW w:w="360" w:type="dxa"/>
            <w:vAlign w:val="bottom"/>
          </w:tcPr>
          <w:p>
            <w:pPr>
              <w:spacing w:after="0"/>
              <w:rPr>
                <w:sz w:val="14"/>
                <w:szCs w:val="14"/>
                <w:color w:val="auto"/>
              </w:rPr>
            </w:pPr>
          </w:p>
        </w:tc>
        <w:tc>
          <w:tcPr>
            <w:tcW w:w="124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Cash Flow 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(15,402)</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loss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(2,426)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(12,984)</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(10,477)</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(13,510)</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(28,912)</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income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5,568</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4,604</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1,126</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5,734</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(23,178)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Commitments and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44" w:lineRule="exact"/>
        <w:rPr>
          <w:sz w:val="20"/>
          <w:szCs w:val="20"/>
          <w:color w:val="auto"/>
        </w:rPr>
      </w:pPr>
    </w:p>
    <w:p>
      <w:pPr>
        <w:ind w:right="100" w:firstLine="620"/>
        <w:spacing w:after="0" w:line="268" w:lineRule="auto"/>
        <w:rPr>
          <w:sz w:val="20"/>
          <w:szCs w:val="20"/>
          <w:color w:val="auto"/>
        </w:rPr>
      </w:pPr>
      <w:r>
        <w:rPr>
          <w:rFonts w:ascii="Arial" w:cs="Arial" w:eastAsia="Arial" w:hAnsi="Arial"/>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18" w:lineRule="exact"/>
        <w:rPr>
          <w:sz w:val="20"/>
          <w:szCs w:val="20"/>
          <w:color w:val="auto"/>
        </w:rPr>
      </w:pPr>
    </w:p>
    <w:p>
      <w:pPr>
        <w:ind w:right="60" w:firstLine="172"/>
        <w:spacing w:after="0" w:line="263"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244" w:lineRule="exact"/>
        <w:rPr>
          <w:sz w:val="20"/>
          <w:szCs w:val="20"/>
          <w:color w:val="auto"/>
        </w:rPr>
      </w:pPr>
    </w:p>
    <w:p>
      <w:pPr>
        <w:jc w:val="both"/>
        <w:ind w:right="40" w:firstLine="172"/>
        <w:spacing w:after="0" w:line="261" w:lineRule="auto"/>
        <w:rPr>
          <w:sz w:val="20"/>
          <w:szCs w:val="20"/>
          <w:color w:val="auto"/>
        </w:rPr>
      </w:pPr>
      <w:r>
        <w:rPr>
          <w:rFonts w:ascii="Arial" w:cs="Arial" w:eastAsia="Arial" w:hAnsi="Arial"/>
          <w:sz w:val="17"/>
          <w:szCs w:val="17"/>
          <w:color w:val="auto"/>
        </w:rPr>
        <w:t>During November 2019, we acquired Pursuit. Total consideration for the acquisition includes a potential contractual earn-out of up to $50.0 million, to be paid to former Pursuit equity holders, calculated based upon the achievement of certain performance targets during the earn-out period. As of June 30, 2021, the earn-out measurement period has ended and based on the actual sales and gross profit achieved during the measurement period we calculated the actual earn-out to be $26.3 million. Pursuit's former equity holders are entitled to an earn-out review period, during which they may dispute the final earn-out amount (see Note 8: Fair Value Measurement).</w:t>
      </w:r>
    </w:p>
    <w:p>
      <w:pPr>
        <w:spacing w:after="0" w:line="203" w:lineRule="exact"/>
        <w:rPr>
          <w:sz w:val="20"/>
          <w:szCs w:val="20"/>
          <w:color w:val="auto"/>
        </w:rPr>
      </w:pPr>
    </w:p>
    <w:p>
      <w:pPr>
        <w:ind w:firstLine="620"/>
        <w:spacing w:after="0" w:line="262" w:lineRule="auto"/>
        <w:rPr>
          <w:sz w:val="20"/>
          <w:szCs w:val="20"/>
          <w:color w:val="auto"/>
        </w:rPr>
      </w:pPr>
      <w:r>
        <w:rPr>
          <w:rFonts w:ascii="Arial" w:cs="Arial" w:eastAsia="Arial" w:hAnsi="Arial"/>
          <w:sz w:val="16"/>
          <w:szCs w:val="16"/>
          <w:color w:val="auto"/>
        </w:rPr>
        <w:t>We had a contractual obligation in connection with our 2017 acquisition of HIS, which as of December 31, 2019 we determined did not meet the necessary performance targets that would require payout of any of the HIS earn-out liability. Pfizer disputed our determination that the performance targets requiring payout of the HIS earn-out liability were not me, therefore the dispute is being resolved by binding arbitration. As of this filing, we expect the arbitrator to render a decision on this matter in August 2021. Given the uncertainty of any arbitration, it may be possible that we will incur a loss with regards to this matter. If we are unsuccessful in arbitration such that it is determined that we met the necessary performance targets for any of the HIS earn-out liability, we will have to pay between $191.3 million and $225.0 million in additional cash consideration (see Note 8, Fair Value Measurements).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5: Leases).</w:t>
      </w: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5"/>
          <w:szCs w:val="15"/>
          <w:b w:val="1"/>
          <w:bCs w:val="1"/>
          <w:color w:val="auto"/>
        </w:rPr>
        <w:t>Collaborative and Other Arrangements</w:t>
      </w:r>
    </w:p>
    <w:p>
      <w:pPr>
        <w:spacing w:after="0" w:line="224" w:lineRule="exact"/>
        <w:rPr>
          <w:sz w:val="20"/>
          <w:szCs w:val="20"/>
          <w:color w:val="auto"/>
        </w:rPr>
      </w:pPr>
    </w:p>
    <w:p>
      <w:pPr>
        <w:ind w:right="20" w:firstLine="172"/>
        <w:spacing w:after="0" w:line="290" w:lineRule="auto"/>
        <w:rPr>
          <w:sz w:val="20"/>
          <w:szCs w:val="20"/>
          <w:color w:val="auto"/>
        </w:rPr>
      </w:pPr>
      <w:r>
        <w:rPr>
          <w:rFonts w:ascii="Arial" w:cs="Arial" w:eastAsia="Arial" w:hAnsi="Arial"/>
          <w:sz w:val="15"/>
          <w:szCs w:val="15"/>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w:t>
      </w:r>
    </w:p>
    <w:p>
      <w:pPr>
        <w:spacing w:after="0" w:line="1" w:lineRule="exact"/>
        <w:rPr>
          <w:sz w:val="20"/>
          <w:szCs w:val="20"/>
          <w:color w:val="auto"/>
        </w:rPr>
      </w:pPr>
    </w:p>
    <w:p>
      <w:pPr>
        <w:ind w:right="260" w:firstLine="3"/>
        <w:spacing w:after="0" w:line="267" w:lineRule="auto"/>
        <w:tabs>
          <w:tab w:leader="none" w:pos="206" w:val="left"/>
        </w:tabs>
        <w:numPr>
          <w:ilvl w:val="0"/>
          <w:numId w:val="7"/>
        </w:numPr>
        <w:rPr>
          <w:rFonts w:ascii="Arial" w:cs="Arial" w:eastAsia="Arial" w:hAnsi="Arial"/>
          <w:sz w:val="17"/>
          <w:szCs w:val="17"/>
          <w:color w:val="auto"/>
        </w:rPr>
      </w:pPr>
      <w:r>
        <w:rPr>
          <w:rFonts w:ascii="Arial" w:cs="Arial" w:eastAsia="Arial" w:hAnsi="Arial"/>
          <w:sz w:val="17"/>
          <w:szCs w:val="17"/>
          <w:color w:val="auto"/>
        </w:rPr>
        <w:t>amendments to our level of supply of products to Pfizer, (ii) certain changes to our manufacturing lines, (iii) updates to our supply price with added volume price tiers for annual periods and (iv) certain minimum purchase requirements for certain products.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224" w:lineRule="exact"/>
        <w:rPr>
          <w:sz w:val="20"/>
          <w:szCs w:val="20"/>
          <w:color w:val="auto"/>
        </w:rPr>
      </w:pPr>
    </w:p>
    <w:p>
      <w:pPr>
        <w:ind w:right="20" w:firstLine="169"/>
        <w:spacing w:after="0" w:line="353"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2020 included in our Annual Report on Form 10-K.</w:t>
      </w:r>
    </w:p>
    <w:p>
      <w:pPr>
        <w:spacing w:after="0" w:line="113" w:lineRule="exact"/>
        <w:rPr>
          <w:sz w:val="20"/>
          <w:szCs w:val="20"/>
          <w:color w:val="auto"/>
        </w:rPr>
      </w:pPr>
    </w:p>
    <w:p>
      <w:pPr>
        <w:ind w:right="520" w:firstLine="169"/>
        <w:spacing w:after="0" w:line="283" w:lineRule="auto"/>
        <w:rPr>
          <w:sz w:val="20"/>
          <w:szCs w:val="20"/>
          <w:color w:val="auto"/>
        </w:rPr>
      </w:pPr>
      <w:r>
        <w:rPr>
          <w:rFonts w:ascii="Arial" w:cs="Arial" w:eastAsia="Arial" w:hAnsi="Arial"/>
          <w:sz w:val="17"/>
          <w:szCs w:val="17"/>
          <w:color w:val="auto"/>
        </w:rPr>
        <w:t>When used in this report, the terms “we,” “us,” and “our” refer to ICU Medical, Inc ("ICU") and its subsidiaries included in our condensed consolidated financial statements unless context requires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50" w:lineRule="exact"/>
        <w:rPr>
          <w:sz w:val="20"/>
          <w:szCs w:val="20"/>
          <w:color w:val="auto"/>
        </w:rPr>
      </w:pPr>
    </w:p>
    <w:p>
      <w:pPr>
        <w:ind w:right="40" w:firstLine="169"/>
        <w:spacing w:after="0" w:line="285"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85" w:lineRule="exact"/>
        <w:rPr>
          <w:sz w:val="20"/>
          <w:szCs w:val="20"/>
          <w:color w:val="auto"/>
        </w:rPr>
      </w:pPr>
    </w:p>
    <w:p>
      <w:pPr>
        <w:ind w:right="380" w:firstLine="169"/>
        <w:spacing w:after="0" w:line="283" w:lineRule="auto"/>
        <w:rPr>
          <w:sz w:val="20"/>
          <w:szCs w:val="20"/>
          <w:color w:val="auto"/>
        </w:rPr>
      </w:pPr>
      <w:r>
        <w:rPr>
          <w:rFonts w:ascii="Arial" w:cs="Arial" w:eastAsia="Arial" w:hAnsi="Arial"/>
          <w:sz w:val="17"/>
          <w:szCs w:val="17"/>
          <w:color w:val="auto"/>
        </w:rPr>
        <w:t>We categorize our products into four main product lines: Infusion Consumables, Infusion Systems, IV Solutions and Critical Care. We have presented our financial results in accordance with these product lines, with our primary products in each line listed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Overview</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244" w:lineRule="exact"/>
        <w:rPr>
          <w:sz w:val="20"/>
          <w:szCs w:val="20"/>
          <w:color w:val="auto"/>
        </w:rPr>
      </w:pPr>
    </w:p>
    <w:p>
      <w:pPr>
        <w:ind w:right="280" w:firstLine="169"/>
        <w:spacing w:after="0" w:line="285" w:lineRule="auto"/>
        <w:rPr>
          <w:sz w:val="20"/>
          <w:szCs w:val="20"/>
          <w:color w:val="auto"/>
        </w:rPr>
      </w:pPr>
      <w:r>
        <w:rPr>
          <w:rFonts w:ascii="Arial" w:cs="Arial" w:eastAsia="Arial" w:hAnsi="Arial"/>
          <w:sz w:val="16"/>
          <w:szCs w:val="16"/>
          <w:color w:val="auto"/>
        </w:rPr>
        <w:t>The novel coronavirus and its variants (“COVID-19”) continues to have an impact on our business operations. Our manufacturing, distribution and pump service facilities continue to operate under our business continuity plan and our precautionary safety measures implemented to maximize the safety of our employees and mitigate disruption of our business are still in effect. For greater detail on the above mentioned safety measures and a discussion of how future results may potentially be impacted by COVID-19 see Part II, Item 7, of our 2020 Annual Report on Form 10-K.</w:t>
      </w:r>
    </w:p>
    <w:p>
      <w:pPr>
        <w:spacing w:after="0" w:line="186" w:lineRule="exact"/>
        <w:rPr>
          <w:sz w:val="20"/>
          <w:szCs w:val="20"/>
          <w:color w:val="auto"/>
        </w:rPr>
      </w:pPr>
    </w:p>
    <w:p>
      <w:pPr>
        <w:ind w:firstLine="620"/>
        <w:spacing w:after="0" w:line="263" w:lineRule="auto"/>
        <w:rPr>
          <w:sz w:val="20"/>
          <w:szCs w:val="20"/>
          <w:color w:val="auto"/>
        </w:rPr>
      </w:pPr>
      <w:r>
        <w:rPr>
          <w:rFonts w:ascii="Arial" w:cs="Arial" w:eastAsia="Arial" w:hAnsi="Arial"/>
          <w:sz w:val="17"/>
          <w:szCs w:val="17"/>
          <w:color w:val="auto"/>
        </w:rPr>
        <w:t>While we continually monitor the ongoing and evolving impact of the effect of the COVID-19 pandemic on our operations the overall impact will not be fully reflected in our results of operations until future periods. The duration and extent of the impact from the COVID-19 pandemic depends on future developments that cannot be fully predicted at this time, as such, the impact of the pandemic on our overall financial performance remain uncertain and cannot as yet be quantified.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4" w:lineRule="exact"/>
        <w:rPr>
          <w:sz w:val="20"/>
          <w:szCs w:val="20"/>
          <w:color w:val="auto"/>
        </w:rPr>
      </w:pPr>
    </w:p>
    <w:p>
      <w:pPr>
        <w:ind w:right="200" w:firstLine="620"/>
        <w:spacing w:after="0" w:line="283"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85" w:lineRule="exact"/>
        <w:rPr>
          <w:sz w:val="20"/>
          <w:szCs w:val="20"/>
          <w:color w:val="auto"/>
        </w:rPr>
      </w:pPr>
    </w:p>
    <w:p>
      <w:pPr>
        <w:ind w:left="1240" w:right="160" w:hanging="306"/>
        <w:spacing w:after="0" w:line="268" w:lineRule="auto"/>
        <w:tabs>
          <w:tab w:leader="none" w:pos="123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Clave™ needlefree products</w:t>
      </w:r>
      <w:r>
        <w:rPr>
          <w:rFonts w:ascii="Arial" w:cs="Arial" w:eastAsia="Arial" w:hAnsi="Arial"/>
          <w:sz w:val="17"/>
          <w:szCs w:val="17"/>
          <w:color w:val="auto"/>
        </w:rPr>
        <w:t>, including the MicroClave, MicroClave Clear, and NanoClave™ brand of connectors, accessories, extension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sets used for the administration of IV fluids and medications and the Neutron catheter patency device, used to help maintain patency of central venous catheters;</w:t>
      </w:r>
    </w:p>
    <w:p>
      <w:pPr>
        <w:spacing w:after="0" w:line="197" w:lineRule="exact"/>
        <w:rPr>
          <w:rFonts w:ascii="Arial" w:cs="Arial" w:eastAsia="Arial" w:hAnsi="Arial"/>
          <w:sz w:val="17"/>
          <w:szCs w:val="17"/>
          <w:i w:val="1"/>
          <w:iCs w:val="1"/>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disinfecting cap, used to protect and disinfect any needlefree connector, including competitive brands of connectors;</w:t>
      </w:r>
    </w:p>
    <w:p>
      <w:pPr>
        <w:spacing w:after="0" w:line="243" w:lineRule="exact"/>
        <w:rPr>
          <w:rFonts w:ascii="Arial" w:cs="Arial" w:eastAsia="Arial" w:hAnsi="Arial"/>
          <w:sz w:val="17"/>
          <w:szCs w:val="17"/>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ClearGuard HD </w:t>
      </w:r>
      <w:r>
        <w:rPr>
          <w:rFonts w:ascii="Arial" w:cs="Arial" w:eastAsia="Arial" w:hAnsi="Arial"/>
          <w:sz w:val="17"/>
          <w:szCs w:val="17"/>
          <w:color w:val="auto"/>
        </w:rPr>
        <w:t>antimicrobial barrier caps for hemodialysis catheters; and</w:t>
      </w:r>
    </w:p>
    <w:p>
      <w:pPr>
        <w:spacing w:after="0" w:line="236" w:lineRule="exact"/>
        <w:rPr>
          <w:rFonts w:ascii="Arial" w:cs="Arial" w:eastAsia="Arial" w:hAnsi="Arial"/>
          <w:sz w:val="17"/>
          <w:szCs w:val="17"/>
          <w:color w:val="auto"/>
        </w:rPr>
      </w:pPr>
    </w:p>
    <w:p>
      <w:pPr>
        <w:ind w:left="1240" w:hanging="30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Tego</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hemodialysis connector used to cap and protect hemodialysis central venous catheter hubs;</w:t>
      </w:r>
    </w:p>
    <w:p>
      <w:pPr>
        <w:spacing w:after="0" w:line="193" w:lineRule="exact"/>
        <w:rPr>
          <w:sz w:val="20"/>
          <w:szCs w:val="20"/>
          <w:color w:val="auto"/>
        </w:rPr>
      </w:pPr>
    </w:p>
    <w:p>
      <w:pPr>
        <w:ind w:right="120" w:firstLine="172"/>
        <w:spacing w:after="0" w:line="315"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chemotherapy, which, if released, can have harmful effects on the healthcare worker and environment. Our products are:</w:t>
      </w:r>
    </w:p>
    <w:p>
      <w:pPr>
        <w:spacing w:after="0" w:line="156" w:lineRule="exact"/>
        <w:rPr>
          <w:sz w:val="20"/>
          <w:szCs w:val="20"/>
          <w:color w:val="auto"/>
        </w:rPr>
      </w:pPr>
    </w:p>
    <w:p>
      <w:pPr>
        <w:ind w:left="1240" w:right="40" w:hanging="306"/>
        <w:spacing w:after="0" w:line="238"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ChemoLock</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CSTD which utilizes a proprietary needlefree connection method, is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4" w:lineRule="exact"/>
        <w:rPr>
          <w:rFonts w:ascii="Arial" w:cs="Arial" w:eastAsia="Arial" w:hAnsi="Arial"/>
          <w:sz w:val="17"/>
          <w:szCs w:val="17"/>
          <w:color w:val="auto"/>
        </w:rPr>
      </w:pPr>
    </w:p>
    <w:p>
      <w:pPr>
        <w:ind w:left="1240" w:right="40" w:hanging="306"/>
        <w:spacing w:after="0" w:line="242"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 drugs.</w:t>
      </w:r>
      <w:r>
        <w:rPr>
          <w:rFonts w:ascii="Arial" w:cs="Arial" w:eastAsia="Arial" w:hAnsi="Arial"/>
          <w:sz w:val="17"/>
          <w:szCs w:val="17"/>
          <w:i w:val="1"/>
          <w:iCs w:val="1"/>
          <w:color w:val="auto"/>
        </w:rPr>
        <w:t xml:space="preserve"> </w:t>
      </w:r>
      <w:r>
        <w:rPr>
          <w:rFonts w:ascii="Arial" w:cs="Arial" w:eastAsia="Arial" w:hAnsi="Arial"/>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40" w:right="20" w:hanging="306"/>
        <w:spacing w:after="0" w:line="242"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Diana</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drug compounding system, an automated sterile compounding system that incorporates ChemoClave and ChemoLock CSTD</w:t>
      </w:r>
      <w:r>
        <w:rPr>
          <w:rFonts w:ascii="Arial" w:cs="Arial" w:eastAsia="Arial" w:hAnsi="Arial"/>
          <w:sz w:val="17"/>
          <w:szCs w:val="17"/>
          <w:i w:val="1"/>
          <w:iCs w:val="1"/>
          <w:color w:val="auto"/>
        </w:rPr>
        <w:t xml:space="preserve"> </w:t>
      </w:r>
      <w:r>
        <w:rPr>
          <w:rFonts w:ascii="Arial" w:cs="Arial" w:eastAsia="Arial" w:hAnsi="Arial"/>
          <w:sz w:val="17"/>
          <w:szCs w:val="17"/>
          <w:color w:val="auto"/>
        </w:rPr>
        <w:t>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0" w:lineRule="exact"/>
        <w:rPr>
          <w:sz w:val="20"/>
          <w:szCs w:val="20"/>
          <w:color w:val="auto"/>
        </w:rPr>
      </w:pPr>
    </w:p>
    <w:p>
      <w:pPr>
        <w:ind w:right="60" w:firstLine="620"/>
        <w:spacing w:after="0" w:line="292" w:lineRule="auto"/>
        <w:rPr>
          <w:sz w:val="20"/>
          <w:szCs w:val="20"/>
          <w:color w:val="auto"/>
        </w:rPr>
      </w:pPr>
      <w:r>
        <w:rPr>
          <w:rFonts w:ascii="Arial" w:cs="Arial" w:eastAsia="Arial" w:hAnsi="Arial"/>
          <w:sz w:val="16"/>
          <w:szCs w:val="16"/>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offer a wide range of infusion pumps, dedicated IV sets and software. Our primary Infusion System products are dedicated IV sets and the following:</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Infusion Pump Hardware:</w:t>
      </w:r>
    </w:p>
    <w:p>
      <w:pPr>
        <w:spacing w:after="0" w:line="244" w:lineRule="exact"/>
        <w:rPr>
          <w:sz w:val="20"/>
          <w:szCs w:val="20"/>
          <w:color w:val="auto"/>
        </w:rPr>
      </w:pPr>
    </w:p>
    <w:p>
      <w:pPr>
        <w:ind w:left="1240" w:right="180" w:hanging="306"/>
        <w:spacing w:after="0" w:line="268"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 library</w:t>
      </w:r>
      <w:r>
        <w:rPr>
          <w:rFonts w:ascii="Arial" w:cs="Arial" w:eastAsia="Arial" w:hAnsi="Arial"/>
          <w:sz w:val="17"/>
          <w:szCs w:val="17"/>
          <w:i w:val="1"/>
          <w:iCs w:val="1"/>
          <w:color w:val="auto"/>
        </w:rPr>
        <w:t xml:space="preserve"> </w:t>
      </w:r>
      <w:r>
        <w:rPr>
          <w:rFonts w:ascii="Arial" w:cs="Arial" w:eastAsia="Arial" w:hAnsi="Arial"/>
          <w:sz w:val="17"/>
          <w:szCs w:val="17"/>
          <w:color w:val="auto"/>
        </w:rPr>
        <w:t>and wireless capability. Plum 360 was named the 2018, 2019 and 2020 Best in KLAS winner as top-performing IV smart pump and is the first medical device to be awarded UL Cybersecurity Assurance Program Certification; and</w:t>
      </w:r>
    </w:p>
    <w:p>
      <w:pPr>
        <w:spacing w:after="0" w:line="197" w:lineRule="exact"/>
        <w:rPr>
          <w:rFonts w:ascii="Arial" w:cs="Arial" w:eastAsia="Arial" w:hAnsi="Arial"/>
          <w:sz w:val="17"/>
          <w:szCs w:val="17"/>
          <w:color w:val="auto"/>
        </w:rPr>
      </w:pPr>
    </w:p>
    <w:p>
      <w:pPr>
        <w:ind w:left="1240" w:right="140" w:hanging="306"/>
        <w:spacing w:after="0" w:line="283"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IV-EHR interoperability since 2016.</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Mediation Safety Software:</w:t>
      </w:r>
    </w:p>
    <w:p>
      <w:pPr>
        <w:spacing w:after="0" w:line="244" w:lineRule="exact"/>
        <w:rPr>
          <w:sz w:val="20"/>
          <w:szCs w:val="20"/>
          <w:color w:val="auto"/>
        </w:rPr>
      </w:pPr>
    </w:p>
    <w:p>
      <w:pPr>
        <w:ind w:left="1240" w:hanging="306"/>
        <w:spacing w:after="0" w:line="263"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ICU Medical MedNet</w:t>
      </w:r>
      <w:r>
        <w:rPr>
          <w:rFonts w:ascii="Arial" w:cs="Arial" w:eastAsia="Arial" w:hAnsi="Arial"/>
          <w:sz w:val="17"/>
          <w:szCs w:val="17"/>
          <w:color w:val="auto"/>
        </w:rPr>
        <w:t>™: ICU Medical MedNet is an enterprise-class medication management platform for any sized healthcare system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Professional Services:</w:t>
      </w:r>
    </w:p>
    <w:p>
      <w:pPr>
        <w:spacing w:after="0" w:line="244" w:lineRule="exact"/>
        <w:rPr>
          <w:sz w:val="20"/>
          <w:szCs w:val="20"/>
          <w:color w:val="auto"/>
        </w:rPr>
      </w:pPr>
    </w:p>
    <w:p>
      <w:pPr>
        <w:ind w:left="1240" w:right="520" w:hanging="306"/>
        <w:spacing w:after="0" w:line="268" w:lineRule="auto"/>
        <w:tabs>
          <w:tab w:leader="none" w:pos="12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4" w:lineRule="exact"/>
        <w:rPr>
          <w:sz w:val="20"/>
          <w:szCs w:val="20"/>
          <w:color w:val="auto"/>
        </w:rPr>
      </w:pPr>
    </w:p>
    <w:p>
      <w:pPr>
        <w:ind w:right="140" w:firstLine="169"/>
        <w:spacing w:after="0" w:line="283" w:lineRule="auto"/>
        <w:rPr>
          <w:sz w:val="20"/>
          <w:szCs w:val="20"/>
          <w:color w:val="auto"/>
        </w:rPr>
      </w:pPr>
      <w:r>
        <w:rPr>
          <w:rFonts w:ascii="Arial" w:cs="Arial" w:eastAsia="Arial" w:hAnsi="Arial"/>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Therapy and Diluents:</w:t>
      </w:r>
    </w:p>
    <w:p>
      <w:pPr>
        <w:spacing w:after="0" w:line="244" w:lineRule="exact"/>
        <w:rPr>
          <w:sz w:val="20"/>
          <w:szCs w:val="20"/>
          <w:color w:val="auto"/>
        </w:rPr>
      </w:pPr>
    </w:p>
    <w:p>
      <w:pPr>
        <w:ind w:left="1240" w:right="300" w:hanging="306"/>
        <w:spacing w:after="0" w:line="283" w:lineRule="auto"/>
        <w:tabs>
          <w:tab w:leader="none" w:pos="12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Including Sodium Chloride, Dextrose, Balanced Electrolyte Solutions, Lactated Ringer's, Ringer's, Mannitol, Sodium Chloride/Dextrose and Sterile Water.</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Irrigation:</w:t>
      </w:r>
    </w:p>
    <w:p>
      <w:pPr>
        <w:spacing w:after="0" w:line="244" w:lineRule="exact"/>
        <w:rPr>
          <w:sz w:val="20"/>
          <w:szCs w:val="20"/>
          <w:color w:val="auto"/>
        </w:rPr>
      </w:pPr>
    </w:p>
    <w:p>
      <w:pPr>
        <w:ind w:left="1240" w:right="560" w:hanging="306"/>
        <w:spacing w:after="0" w:line="283" w:lineRule="auto"/>
        <w:tabs>
          <w:tab w:leader="none" w:pos="12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firstLine="172"/>
        <w:spacing w:after="0" w:line="268"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8" w:lineRule="exact"/>
        <w:rPr>
          <w:sz w:val="20"/>
          <w:szCs w:val="20"/>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Cogent™ 2-in-1 hemodynamic monitoring system;</w:t>
      </w:r>
    </w:p>
    <w:p>
      <w:pPr>
        <w:spacing w:after="0" w:line="23" w:lineRule="exact"/>
        <w:rPr>
          <w:rFonts w:ascii="Arial" w:cs="Arial" w:eastAsia="Arial" w:hAnsi="Arial"/>
          <w:sz w:val="17"/>
          <w:szCs w:val="17"/>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CardioFlo™ hemodynamic monitoring system;</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TDQ™ and OptiQ™ cardiac output monitoring catheters;</w:t>
      </w:r>
    </w:p>
    <w:p>
      <w:pPr>
        <w:spacing w:after="0" w:line="11" w:lineRule="exact"/>
        <w:rPr>
          <w:rFonts w:ascii="Arial" w:cs="Arial" w:eastAsia="Arial" w:hAnsi="Arial"/>
          <w:sz w:val="17"/>
          <w:szCs w:val="17"/>
          <w:color w:val="auto"/>
        </w:rPr>
      </w:pPr>
    </w:p>
    <w:p>
      <w:pPr>
        <w:ind w:left="1240" w:hanging="306"/>
        <w:spacing w:after="0" w:line="197"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TriOx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venous oximetry catheters;</w:t>
      </w: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Transpac™ blood pressure transducers; and</w:t>
      </w:r>
    </w:p>
    <w:p>
      <w:pPr>
        <w:spacing w:after="0" w:line="9" w:lineRule="exact"/>
        <w:rPr>
          <w:rFonts w:ascii="Arial" w:cs="Arial" w:eastAsia="Arial" w:hAnsi="Arial"/>
          <w:sz w:val="17"/>
          <w:szCs w:val="17"/>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SafeSet™ closed blood sampling and conservation system.</w:t>
      </w:r>
    </w:p>
    <w:p>
      <w:pPr>
        <w:spacing w:after="0" w:line="205" w:lineRule="exact"/>
        <w:rPr>
          <w:sz w:val="20"/>
          <w:szCs w:val="20"/>
          <w:color w:val="auto"/>
        </w:rPr>
      </w:pPr>
    </w:p>
    <w:p>
      <w:pPr>
        <w:ind w:right="20" w:firstLine="169"/>
        <w:spacing w:after="0" w:line="283" w:lineRule="auto"/>
        <w:rPr>
          <w:sz w:val="20"/>
          <w:szCs w:val="20"/>
          <w:color w:val="auto"/>
        </w:rPr>
      </w:pPr>
      <w:r>
        <w:rPr>
          <w:rFonts w:ascii="Arial" w:cs="Arial" w:eastAsia="Arial" w:hAnsi="Arial"/>
          <w:sz w:val="17"/>
          <w:szCs w:val="17"/>
          <w:color w:val="auto"/>
        </w:rPr>
        <w:t>The following table summarizes our total worldwide revenue by domestic and international markets by amount and as a percentage of total revenue (in millions, except percentages):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296"/>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right"/>
              <w:ind w:right="376"/>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4"/>
        </w:trPr>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6"/>
                <w:szCs w:val="16"/>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0"/>
        </w:trPr>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1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18"/>
              <w:spacing w:after="0"/>
              <w:rPr>
                <w:sz w:val="20"/>
                <w:szCs w:val="20"/>
                <w:color w:val="auto"/>
              </w:rPr>
            </w:pPr>
            <w:r>
              <w:rPr>
                <w:rFonts w:ascii="Arial" w:cs="Arial" w:eastAsia="Arial" w:hAnsi="Arial"/>
                <w:sz w:val="16"/>
                <w:szCs w:val="16"/>
                <w:b w:val="1"/>
                <w:bCs w:val="1"/>
                <w:color w:val="auto"/>
                <w:w w:val="89"/>
              </w:rPr>
              <w:t>2020</w:t>
            </w:r>
          </w:p>
        </w:tc>
      </w:tr>
      <w:tr>
        <w:trPr>
          <w:trHeight w:val="200"/>
        </w:trPr>
        <w:tc>
          <w:tcPr>
            <w:tcW w:w="1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9"/>
              </w:rPr>
              <w:t>% of Revenue</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6"/>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9"/>
              </w:rPr>
              <w:t>% of Revenue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9"/>
              </w:rPr>
              <w:t>% of Revenue</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9"/>
              </w:rPr>
              <w:t>% of Revenue</w:t>
            </w:r>
          </w:p>
        </w:tc>
      </w:tr>
      <w:tr>
        <w:trPr>
          <w:trHeight w:val="215"/>
        </w:trPr>
        <w:tc>
          <w:tcPr>
            <w:tcW w:w="1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69 %</w:t>
            </w:r>
          </w:p>
        </w:tc>
      </w:tr>
      <w:tr>
        <w:trPr>
          <w:trHeight w:val="220"/>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31 %</w:t>
            </w:r>
          </w:p>
        </w:tc>
      </w:tr>
      <w:tr>
        <w:trPr>
          <w:trHeight w:val="233"/>
        </w:trPr>
        <w:tc>
          <w:tcPr>
            <w:tcW w:w="1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for the periods indicated, total revenue by product line as a percentage of total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460" w:type="dxa"/>
            <w:vAlign w:val="bottom"/>
            <w:gridSpan w:val="4"/>
          </w:tcPr>
          <w:p>
            <w:pPr>
              <w:jc w:val="center"/>
              <w:ind w:left="422"/>
              <w:spacing w:after="0"/>
              <w:rPr>
                <w:sz w:val="20"/>
                <w:szCs w:val="20"/>
                <w:color w:val="auto"/>
              </w:rPr>
            </w:pPr>
            <w:r>
              <w:rPr>
                <w:rFonts w:ascii="Arial" w:cs="Arial" w:eastAsia="Arial" w:hAnsi="Arial"/>
                <w:sz w:val="16"/>
                <w:szCs w:val="16"/>
                <w:b w:val="1"/>
                <w:bCs w:val="1"/>
                <w:color w:val="auto"/>
                <w:w w:val="86"/>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5"/>
              </w:rPr>
              <w:t>Six months ended</w:t>
            </w:r>
          </w:p>
        </w:tc>
        <w:tc>
          <w:tcPr>
            <w:tcW w:w="900" w:type="dxa"/>
            <w:vAlign w:val="bottom"/>
          </w:tcPr>
          <w:p>
            <w:pPr>
              <w:spacing w:after="0"/>
              <w:rPr>
                <w:sz w:val="16"/>
                <w:szCs w:val="16"/>
                <w:color w:val="auto"/>
              </w:rPr>
            </w:pPr>
          </w:p>
        </w:tc>
      </w:tr>
      <w:tr>
        <w:trPr>
          <w:trHeight w:val="202"/>
        </w:trPr>
        <w:tc>
          <w:tcPr>
            <w:tcW w:w="5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6"/>
                <w:szCs w:val="16"/>
                <w:b w:val="1"/>
                <w:bCs w:val="1"/>
                <w:color w:val="auto"/>
                <w:w w:val="84"/>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4"/>
              </w:rPr>
              <w:t>June 30,</w:t>
            </w:r>
          </w:p>
        </w:tc>
        <w:tc>
          <w:tcPr>
            <w:tcW w:w="900" w:type="dxa"/>
            <w:vAlign w:val="bottom"/>
            <w:tcBorders>
              <w:bottom w:val="single" w:sz="8" w:color="auto"/>
            </w:tcBorders>
          </w:tcPr>
          <w:p>
            <w:pPr>
              <w:spacing w:after="0"/>
              <w:rPr>
                <w:sz w:val="17"/>
                <w:szCs w:val="17"/>
                <w:color w:val="auto"/>
              </w:rPr>
            </w:pPr>
          </w:p>
        </w:tc>
      </w:tr>
      <w:tr>
        <w:trPr>
          <w:trHeight w:val="202"/>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Product line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5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475"/>
              <w:spacing w:after="0"/>
              <w:rPr>
                <w:sz w:val="20"/>
                <w:szCs w:val="20"/>
                <w:color w:val="auto"/>
              </w:rPr>
            </w:pPr>
            <w:r>
              <w:rPr>
                <w:rFonts w:ascii="Arial" w:cs="Arial" w:eastAsia="Arial" w:hAnsi="Arial"/>
                <w:sz w:val="16"/>
                <w:szCs w:val="16"/>
                <w:b w:val="1"/>
                <w:bCs w:val="1"/>
                <w:color w:val="auto"/>
                <w:w w:val="89"/>
              </w:rPr>
              <w:t>2020</w:t>
            </w:r>
          </w:p>
        </w:tc>
      </w:tr>
      <w:tr>
        <w:trPr>
          <w:trHeight w:val="215"/>
        </w:trPr>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Infusion Consumables</w:t>
            </w: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41 %</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Infusion Systems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28 %</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IV Solutions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Critical Care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r>
      <w:tr>
        <w:trPr>
          <w:trHeight w:val="238"/>
        </w:trPr>
        <w:tc>
          <w:tcPr>
            <w:tcW w:w="5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20" w:firstLine="620"/>
        <w:spacing w:after="0" w:line="263" w:lineRule="auto"/>
        <w:rPr>
          <w:sz w:val="20"/>
          <w:szCs w:val="20"/>
          <w:color w:val="auto"/>
        </w:rPr>
      </w:pPr>
      <w:r>
        <w:rPr>
          <w:rFonts w:ascii="Arial" w:cs="Arial" w:eastAsia="Arial" w:hAnsi="Arial"/>
          <w:sz w:val="17"/>
          <w:szCs w:val="17"/>
          <w:color w:val="auto"/>
        </w:rPr>
        <w:t>We manage our product distribution in the U.S. through a network of two owned and one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Internationally, we manage distribution utilizing international regional hubs and through independent distributors.</w:t>
      </w:r>
    </w:p>
    <w:p>
      <w:pPr>
        <w:spacing w:after="0" w:line="203" w:lineRule="exact"/>
        <w:rPr>
          <w:sz w:val="20"/>
          <w:szCs w:val="20"/>
          <w:color w:val="auto"/>
        </w:rPr>
      </w:pPr>
    </w:p>
    <w:p>
      <w:pPr>
        <w:ind w:right="40" w:firstLine="620"/>
        <w:spacing w:after="0" w:line="281" w:lineRule="auto"/>
        <w:rPr>
          <w:sz w:val="20"/>
          <w:szCs w:val="20"/>
          <w:color w:val="auto"/>
        </w:rPr>
      </w:pPr>
      <w:r>
        <w:rPr>
          <w:rFonts w:ascii="Arial" w:cs="Arial" w:eastAsia="Arial" w:hAnsi="Arial"/>
          <w:sz w:val="16"/>
          <w:szCs w:val="16"/>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63" w:lineRule="exact"/>
        <w:rPr>
          <w:sz w:val="20"/>
          <w:szCs w:val="20"/>
          <w:color w:val="auto"/>
        </w:rPr>
      </w:pPr>
    </w:p>
    <w:p>
      <w:pPr>
        <w:ind w:right="160" w:firstLine="620"/>
        <w:spacing w:after="0" w:line="309" w:lineRule="auto"/>
        <w:rPr>
          <w:sz w:val="20"/>
          <w:szCs w:val="20"/>
          <w:color w:val="auto"/>
        </w:rPr>
      </w:pPr>
      <w:r>
        <w:rPr>
          <w:rFonts w:ascii="Arial" w:cs="Arial" w:eastAsia="Arial" w:hAnsi="Arial"/>
          <w:sz w:val="15"/>
          <w:szCs w:val="15"/>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taken steps to control these risks, there are certain risks that may be outside of our control, and there is no assurance that steps we have taken will succeed.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Seasonality/Quarterly Results</w:t>
      </w:r>
    </w:p>
    <w:p>
      <w:pPr>
        <w:spacing w:after="0" w:line="250" w:lineRule="exact"/>
        <w:rPr>
          <w:sz w:val="20"/>
          <w:szCs w:val="20"/>
          <w:color w:val="auto"/>
        </w:rPr>
      </w:pPr>
    </w:p>
    <w:p>
      <w:pPr>
        <w:ind w:right="140" w:firstLine="169"/>
        <w:spacing w:after="0" w:line="292" w:lineRule="auto"/>
        <w:rPr>
          <w:sz w:val="20"/>
          <w:szCs w:val="20"/>
          <w:color w:val="auto"/>
        </w:rPr>
      </w:pPr>
      <w:r>
        <w:rPr>
          <w:rFonts w:ascii="Arial" w:cs="Arial" w:eastAsia="Arial" w:hAnsi="Arial"/>
          <w:sz w:val="16"/>
          <w:szCs w:val="16"/>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50" w:lineRule="exact"/>
        <w:rPr>
          <w:sz w:val="20"/>
          <w:szCs w:val="20"/>
          <w:color w:val="auto"/>
        </w:rPr>
      </w:pPr>
    </w:p>
    <w:p>
      <w:pPr>
        <w:ind w:right="320" w:firstLine="169"/>
        <w:spacing w:after="0" w:line="283" w:lineRule="auto"/>
        <w:rPr>
          <w:sz w:val="20"/>
          <w:szCs w:val="20"/>
          <w:color w:val="auto"/>
        </w:rPr>
      </w:pPr>
      <w:r>
        <w:rPr>
          <w:rFonts w:ascii="Arial" w:cs="Arial" w:eastAsia="Arial" w:hAnsi="Arial"/>
          <w:sz w:val="17"/>
          <w:szCs w:val="17"/>
          <w:color w:val="auto"/>
        </w:rPr>
        <w:t>We present income statement data in Part I, Item 1 - Financial Statements. The following table shows, for the three and six months ended June 30, 2021 and 2020, the percentages of each income statement caption in relation to total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460" w:type="dxa"/>
            <w:vAlign w:val="bottom"/>
            <w:gridSpan w:val="4"/>
          </w:tcPr>
          <w:p>
            <w:pPr>
              <w:jc w:val="center"/>
              <w:ind w:left="394"/>
              <w:spacing w:after="0"/>
              <w:rPr>
                <w:sz w:val="20"/>
                <w:szCs w:val="20"/>
                <w:color w:val="auto"/>
              </w:rPr>
            </w:pPr>
            <w:r>
              <w:rPr>
                <w:rFonts w:ascii="Arial" w:cs="Arial" w:eastAsia="Arial" w:hAnsi="Arial"/>
                <w:sz w:val="17"/>
                <w:szCs w:val="17"/>
                <w:b w:val="1"/>
                <w:bCs w:val="1"/>
                <w:color w:val="auto"/>
                <w:w w:val="89"/>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8"/>
              </w:rPr>
              <w:t>Six months ended</w:t>
            </w:r>
          </w:p>
        </w:tc>
      </w:tr>
      <w:tr>
        <w:trPr>
          <w:trHeight w:val="220"/>
        </w:trPr>
        <w:tc>
          <w:tcPr>
            <w:tcW w:w="51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7"/>
                <w:szCs w:val="17"/>
                <w:b w:val="1"/>
                <w:bCs w:val="1"/>
                <w:color w:val="auto"/>
                <w:w w:val="91"/>
              </w:rPr>
              <w:t>June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954"/>
              <w:spacing w:after="0"/>
              <w:rPr>
                <w:sz w:val="20"/>
                <w:szCs w:val="20"/>
                <w:color w:val="auto"/>
              </w:rPr>
            </w:pPr>
            <w:r>
              <w:rPr>
                <w:rFonts w:ascii="Arial" w:cs="Arial" w:eastAsia="Arial" w:hAnsi="Arial"/>
                <w:sz w:val="17"/>
                <w:szCs w:val="17"/>
                <w:b w:val="1"/>
                <w:bCs w:val="1"/>
                <w:color w:val="auto"/>
                <w:w w:val="91"/>
              </w:rPr>
              <w:t>June 30,</w:t>
            </w:r>
          </w:p>
        </w:tc>
        <w:tc>
          <w:tcPr>
            <w:tcW w:w="1040" w:type="dxa"/>
            <w:vAlign w:val="bottom"/>
            <w:tcBorders>
              <w:bottom w:val="single" w:sz="8" w:color="auto"/>
            </w:tcBorders>
          </w:tcPr>
          <w:p>
            <w:pPr>
              <w:spacing w:after="0"/>
              <w:rPr>
                <w:sz w:val="19"/>
                <w:szCs w:val="19"/>
                <w:color w:val="auto"/>
              </w:rPr>
            </w:pPr>
          </w:p>
        </w:tc>
      </w:tr>
      <w:tr>
        <w:trPr>
          <w:trHeight w:val="213"/>
        </w:trPr>
        <w:tc>
          <w:tcPr>
            <w:tcW w:w="5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3"/>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0"/>
        </w:trPr>
        <w:tc>
          <w:tcPr>
            <w:tcW w:w="6120" w:type="dxa"/>
            <w:vAlign w:val="bottom"/>
            <w:gridSpan w:val="2"/>
          </w:tcPr>
          <w:p>
            <w:pPr>
              <w:ind w:left="20"/>
              <w:spacing w:after="0"/>
              <w:rPr>
                <w:sz w:val="20"/>
                <w:szCs w:val="20"/>
                <w:color w:val="auto"/>
              </w:rPr>
            </w:pPr>
            <w:r>
              <w:rPr>
                <w:rFonts w:ascii="Arial" w:cs="Arial" w:eastAsia="Arial" w:hAnsi="Arial"/>
                <w:sz w:val="17"/>
                <w:szCs w:val="17"/>
                <w:color w:val="auto"/>
              </w:rPr>
              <w:t>Gross margin</w:t>
            </w:r>
          </w:p>
        </w:tc>
        <w:tc>
          <w:tcPr>
            <w:tcW w:w="500" w:type="dxa"/>
            <w:vAlign w:val="bottom"/>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36 %</w:t>
            </w:r>
          </w:p>
        </w:tc>
      </w:tr>
      <w:tr>
        <w:trPr>
          <w:trHeight w:val="220"/>
        </w:trPr>
        <w:tc>
          <w:tcPr>
            <w:tcW w:w="6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20"/>
        </w:trPr>
        <w:tc>
          <w:tcPr>
            <w:tcW w:w="612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6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Restructuring and strategic transaction</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612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1520" w:type="dxa"/>
            <w:vAlign w:val="bottom"/>
            <w:gridSpan w:val="3"/>
          </w:tcPr>
          <w:p>
            <w:pPr>
              <w:jc w:val="right"/>
              <w:ind w:right="954"/>
              <w:spacing w:after="0"/>
              <w:rPr>
                <w:sz w:val="20"/>
                <w:szCs w:val="20"/>
                <w:color w:val="auto"/>
              </w:rPr>
            </w:pPr>
            <w:r>
              <w:rPr>
                <w:rFonts w:ascii="Arial" w:cs="Arial" w:eastAsia="Arial" w:hAnsi="Arial"/>
                <w:sz w:val="17"/>
                <w:szCs w:val="17"/>
                <w:color w:val="auto"/>
              </w:rPr>
              <w:t>— %</w:t>
            </w:r>
          </w:p>
        </w:tc>
        <w:tc>
          <w:tcPr>
            <w:tcW w:w="52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9"/>
                <w:szCs w:val="19"/>
                <w:color w:val="auto"/>
              </w:rPr>
            </w:pPr>
          </w:p>
        </w:tc>
        <w:tc>
          <w:tcPr>
            <w:tcW w:w="1940" w:type="dxa"/>
            <w:vAlign w:val="bottom"/>
            <w:gridSpan w:val="3"/>
          </w:tcPr>
          <w:p>
            <w:pPr>
              <w:jc w:val="right"/>
              <w:ind w:right="520"/>
              <w:spacing w:after="0"/>
              <w:rPr>
                <w:sz w:val="20"/>
                <w:szCs w:val="20"/>
                <w:color w:val="auto"/>
              </w:rPr>
            </w:pPr>
            <w:r>
              <w:rPr>
                <w:rFonts w:ascii="Arial" w:cs="Arial" w:eastAsia="Arial" w:hAnsi="Arial"/>
                <w:sz w:val="17"/>
                <w:szCs w:val="17"/>
                <w:color w:val="auto"/>
              </w:rPr>
              <w:t>— %</w:t>
            </w:r>
          </w:p>
        </w:tc>
        <w:tc>
          <w:tcPr>
            <w:tcW w:w="10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28 %</w:t>
            </w:r>
          </w:p>
        </w:tc>
      </w:tr>
      <w:tr>
        <w:trPr>
          <w:trHeight w:val="213"/>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612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1520" w:type="dxa"/>
            <w:vAlign w:val="bottom"/>
            <w:gridSpan w:val="3"/>
          </w:tcPr>
          <w:p>
            <w:pPr>
              <w:jc w:val="right"/>
              <w:ind w:right="954"/>
              <w:spacing w:after="0"/>
              <w:rPr>
                <w:sz w:val="20"/>
                <w:szCs w:val="20"/>
                <w:color w:val="auto"/>
              </w:rPr>
            </w:pPr>
            <w:r>
              <w:rPr>
                <w:rFonts w:ascii="Arial" w:cs="Arial" w:eastAsia="Arial" w:hAnsi="Arial"/>
                <w:sz w:val="17"/>
                <w:szCs w:val="17"/>
                <w:color w:val="auto"/>
              </w:rPr>
              <w:t>— %</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940" w:type="dxa"/>
            <w:vAlign w:val="bottom"/>
            <w:gridSpan w:val="3"/>
          </w:tcPr>
          <w:p>
            <w:pPr>
              <w:jc w:val="right"/>
              <w:ind w:right="520"/>
              <w:spacing w:after="0"/>
              <w:rPr>
                <w:sz w:val="20"/>
                <w:szCs w:val="20"/>
                <w:color w:val="auto"/>
              </w:rPr>
            </w:pPr>
            <w:r>
              <w:rPr>
                <w:rFonts w:ascii="Arial" w:cs="Arial" w:eastAsia="Arial" w:hAnsi="Arial"/>
                <w:sz w:val="17"/>
                <w:szCs w:val="17"/>
                <w:color w:val="auto"/>
              </w:rPr>
              <w:t>— %</w:t>
            </w:r>
          </w:p>
        </w:tc>
        <w:tc>
          <w:tcPr>
            <w:tcW w:w="10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5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7 %</w:t>
            </w: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50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0"/>
        </w:trPr>
        <w:tc>
          <w:tcPr>
            <w:tcW w:w="5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right="120" w:firstLine="620"/>
        <w:spacing w:after="0" w:line="304" w:lineRule="auto"/>
        <w:rPr>
          <w:sz w:val="20"/>
          <w:szCs w:val="20"/>
          <w:color w:val="auto"/>
        </w:rPr>
      </w:pPr>
      <w:r>
        <w:rPr>
          <w:rFonts w:ascii="Arial" w:cs="Arial" w:eastAsia="Arial" w:hAnsi="Arial"/>
          <w:sz w:val="15"/>
          <w:szCs w:val="15"/>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Consumables revenue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6"/>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5"/>
              </w:rPr>
              <w:t>Six months ended</w:t>
            </w:r>
          </w:p>
        </w:tc>
        <w:tc>
          <w:tcPr>
            <w:tcW w:w="1180" w:type="dxa"/>
            <w:vAlign w:val="bottom"/>
          </w:tcPr>
          <w:p>
            <w:pPr>
              <w:spacing w:after="0"/>
              <w:rPr>
                <w:sz w:val="16"/>
                <w:szCs w:val="16"/>
                <w:color w:val="auto"/>
              </w:rPr>
            </w:pPr>
          </w:p>
        </w:tc>
      </w:tr>
      <w:tr>
        <w:trPr>
          <w:trHeight w:val="204"/>
        </w:trPr>
        <w:tc>
          <w:tcPr>
            <w:tcW w:w="1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4"/>
              </w:rPr>
              <w:t>June 30,</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7"/>
              </w:rPr>
              <w:t>June 30,</w:t>
            </w:r>
          </w:p>
        </w:tc>
        <w:tc>
          <w:tcPr>
            <w:tcW w:w="1180" w:type="dxa"/>
            <w:vAlign w:val="bottom"/>
            <w:tcBorders>
              <w:bottom w:val="single" w:sz="8" w:color="auto"/>
            </w:tcBorders>
          </w:tcPr>
          <w:p>
            <w:pPr>
              <w:spacing w:after="0"/>
              <w:rPr>
                <w:sz w:val="17"/>
                <w:szCs w:val="17"/>
                <w:color w:val="auto"/>
              </w:rPr>
            </w:pPr>
          </w:p>
        </w:tc>
      </w:tr>
      <w:tr>
        <w:trPr>
          <w:trHeight w:val="200"/>
        </w:trPr>
        <w:tc>
          <w:tcPr>
            <w:tcW w:w="19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Consumables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22.7 %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firstLine="620"/>
        <w:spacing w:after="0" w:line="273" w:lineRule="auto"/>
        <w:rPr>
          <w:sz w:val="20"/>
          <w:szCs w:val="20"/>
          <w:color w:val="auto"/>
        </w:rPr>
      </w:pPr>
      <w:r>
        <w:rPr>
          <w:rFonts w:ascii="Arial" w:cs="Arial" w:eastAsia="Arial" w:hAnsi="Arial"/>
          <w:sz w:val="15"/>
          <w:szCs w:val="15"/>
          <w:color w:val="auto"/>
        </w:rPr>
        <w:t>Infusion Consumables revenue increased for the three and six months ended June 30, 2021, as compared to the same periods in the prior year due to lower hospital census in the second quarter of 2020 driven by the onset of the COVID-19 pandemic, growth in our oncology and renal products, and the impact of foreign exchange. For the three and six months ended June 30, 2021, on a constant currency basis, Infusion Consumables revenue would have been $131.4 million and $254.5 million, respectively, an increase of $20.4 million or 18.4% and $20.0 million or 8.5%, respectively, as compared to the same periods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 revenue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5"/>
              </w:rPr>
              <w:t>Six months ended</w:t>
            </w:r>
          </w:p>
        </w:tc>
        <w:tc>
          <w:tcPr>
            <w:tcW w:w="1200" w:type="dxa"/>
            <w:vAlign w:val="bottom"/>
          </w:tcPr>
          <w:p>
            <w:pPr>
              <w:spacing w:after="0"/>
              <w:rPr>
                <w:sz w:val="16"/>
                <w:szCs w:val="16"/>
                <w:color w:val="auto"/>
              </w:rPr>
            </w:pPr>
          </w:p>
        </w:tc>
      </w:tr>
      <w:tr>
        <w:trPr>
          <w:trHeight w:val="204"/>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87"/>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r>
      <w:tr>
        <w:trPr>
          <w:trHeight w:val="200"/>
        </w:trPr>
        <w:tc>
          <w:tcPr>
            <w:tcW w:w="17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Infusion Systems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(7.0)%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bl>
    <w:p>
      <w:pPr>
        <w:spacing w:after="0" w:line="272" w:lineRule="exact"/>
        <w:rPr>
          <w:sz w:val="20"/>
          <w:szCs w:val="20"/>
          <w:color w:val="auto"/>
        </w:rPr>
      </w:pPr>
    </w:p>
    <w:p>
      <w:pPr>
        <w:ind w:right="180" w:firstLine="620"/>
        <w:spacing w:after="0" w:line="251" w:lineRule="auto"/>
        <w:rPr>
          <w:sz w:val="20"/>
          <w:szCs w:val="20"/>
          <w:color w:val="auto"/>
        </w:rPr>
      </w:pPr>
      <w:r>
        <w:rPr>
          <w:rFonts w:ascii="Arial" w:cs="Arial" w:eastAsia="Arial" w:hAnsi="Arial"/>
          <w:sz w:val="16"/>
          <w:szCs w:val="16"/>
          <w:color w:val="auto"/>
        </w:rPr>
        <w:t>Infusion Systems revenue decreased for the three and six months ended June 30, 2021, as compared to the same periods in the prior year due to large volume pumps sales driven by higher COVID-19-related purchases during the second quarter of 2020 and a decline in our non-large volume pump business. For the three and six months ended June 30, 2021, on a constant currency basis Infusion Systems revenue would have been $83.2 million and $166.5 million, respectively, a decrease of $7.9 million or 8.7% and $13.0 million or 7.2%, respectively, as compared to the same periods in the prior year.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IV Solutions revenue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5"/>
              </w:rPr>
              <w:t>Six months ended</w:t>
            </w:r>
          </w:p>
        </w:tc>
        <w:tc>
          <w:tcPr>
            <w:tcW w:w="1200" w:type="dxa"/>
            <w:vAlign w:val="bottom"/>
          </w:tcPr>
          <w:p>
            <w:pPr>
              <w:spacing w:after="0"/>
              <w:rPr>
                <w:sz w:val="16"/>
                <w:szCs w:val="16"/>
                <w:color w:val="auto"/>
              </w:rPr>
            </w:pPr>
          </w:p>
        </w:tc>
      </w:tr>
      <w:tr>
        <w:trPr>
          <w:trHeight w:val="204"/>
        </w:trPr>
        <w:tc>
          <w:tcPr>
            <w:tcW w:w="1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87"/>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r>
      <w:tr>
        <w:trPr>
          <w:trHeight w:val="200"/>
        </w:trPr>
        <w:tc>
          <w:tcPr>
            <w:tcW w:w="17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IV Solutions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(0.9)%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bl>
    <w:p>
      <w:pPr>
        <w:spacing w:after="0" w:line="285" w:lineRule="exact"/>
        <w:rPr>
          <w:sz w:val="20"/>
          <w:szCs w:val="20"/>
          <w:color w:val="auto"/>
        </w:rPr>
      </w:pPr>
    </w:p>
    <w:p>
      <w:pPr>
        <w:ind w:right="80" w:firstLine="620"/>
        <w:spacing w:after="0" w:line="263" w:lineRule="auto"/>
        <w:rPr>
          <w:sz w:val="20"/>
          <w:szCs w:val="20"/>
          <w:color w:val="auto"/>
        </w:rPr>
      </w:pPr>
      <w:r>
        <w:rPr>
          <w:rFonts w:ascii="Arial" w:cs="Arial" w:eastAsia="Arial" w:hAnsi="Arial"/>
          <w:sz w:val="17"/>
          <w:szCs w:val="17"/>
          <w:color w:val="auto"/>
        </w:rPr>
        <w:t>IV Solutions sales was essentially flat for the three months ended June 30, 2021, as compared to the same period in the prior year as growth due to lower hospital census in the second quarter of 2020 driven by the onset of the COVID-19 pandemic, offset by lower contract manufacturing sales to Pfizer in the second quarter of 2021. For the six months ended June 30, 2021, IV Solutions revenue decreased primarily due to lower contract manufacturing sales to Pfizer and customer stocking in the first quarter of the prior year driven by the COVID-19 pandemic.</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Critical Care revenue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5"/>
              </w:rPr>
              <w:t>Six months ended</w:t>
            </w:r>
          </w:p>
        </w:tc>
        <w:tc>
          <w:tcPr>
            <w:tcW w:w="1200" w:type="dxa"/>
            <w:vAlign w:val="bottom"/>
          </w:tcPr>
          <w:p>
            <w:pPr>
              <w:spacing w:after="0"/>
              <w:rPr>
                <w:sz w:val="16"/>
                <w:szCs w:val="16"/>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r>
      <w:tr>
        <w:trPr>
          <w:trHeight w:val="200"/>
        </w:trPr>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Critical Care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2.5 %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bl>
    <w:p>
      <w:pPr>
        <w:spacing w:after="0" w:line="272"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Critical Care revenue increased for the three and six months ended June 30, 2021, as compared to the same period in the prior year, primarily as a result of the impact of foreign exchange.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44" w:lineRule="exact"/>
        <w:rPr>
          <w:sz w:val="20"/>
          <w:szCs w:val="20"/>
          <w:color w:val="auto"/>
        </w:rPr>
      </w:pPr>
    </w:p>
    <w:p>
      <w:pPr>
        <w:ind w:right="200" w:firstLine="172"/>
        <w:spacing w:after="0" w:line="268" w:lineRule="auto"/>
        <w:rPr>
          <w:sz w:val="20"/>
          <w:szCs w:val="20"/>
          <w:color w:val="auto"/>
        </w:rPr>
      </w:pPr>
      <w:r>
        <w:rPr>
          <w:rFonts w:ascii="Arial" w:cs="Arial" w:eastAsia="Arial" w:hAnsi="Arial"/>
          <w:sz w:val="17"/>
          <w:szCs w:val="17"/>
          <w:color w:val="auto"/>
        </w:rPr>
        <w:t>For the three and six months ended June 30, 2021, gross margins were 38.4% and 36.9%, respectively, as compared to 35.0% and 36.0%, respectively, for the three and six months ended June 30, 2020. The increase in gross margin for the three months ended June 30, 2021, as compared to the same period in the prior year was primarily due to product mix and increased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plant volumes, offset by increased costs for raw materials, direct labor and freight. The increase in gross margin for the six months ended June 30, 2021, as compared to the same period in the prior year was primarily due to product mix and increased plant volumes, offset by capitalized manufacturing variances from the shutdown of our Austin plant in the fourth quarter of 2020, additional weather-related costs at our Austin plant during the first quarter of 2021 and increased costs for raw materials, direct labor and freight..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SG&amp;A Expenses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5"/>
              </w:rPr>
              <w:t>Six months ended</w:t>
            </w:r>
          </w:p>
        </w:tc>
        <w:tc>
          <w:tcPr>
            <w:tcW w:w="1200" w:type="dxa"/>
            <w:vAlign w:val="bottom"/>
          </w:tcPr>
          <w:p>
            <w:pPr>
              <w:spacing w:after="0"/>
              <w:rPr>
                <w:sz w:val="16"/>
                <w:szCs w:val="16"/>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r>
      <w:tr>
        <w:trPr>
          <w:trHeight w:val="200"/>
        </w:trPr>
        <w:tc>
          <w:tcPr>
            <w:tcW w:w="1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10.0 %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bl>
    <w:p>
      <w:pPr>
        <w:spacing w:after="0" w:line="272" w:lineRule="exact"/>
        <w:rPr>
          <w:sz w:val="20"/>
          <w:szCs w:val="20"/>
          <w:color w:val="auto"/>
        </w:rPr>
      </w:pPr>
    </w:p>
    <w:p>
      <w:pPr>
        <w:ind w:right="140" w:firstLine="620"/>
        <w:spacing w:after="0" w:line="261" w:lineRule="auto"/>
        <w:rPr>
          <w:sz w:val="20"/>
          <w:szCs w:val="20"/>
          <w:color w:val="auto"/>
        </w:rPr>
      </w:pPr>
      <w:r>
        <w:rPr>
          <w:rFonts w:ascii="Arial" w:cs="Arial" w:eastAsia="Arial" w:hAnsi="Arial"/>
          <w:sz w:val="17"/>
          <w:szCs w:val="17"/>
          <w:color w:val="auto"/>
        </w:rPr>
        <w:t>SG&amp;A expenses increased for the three and six months ended June 30, 2021, as compared to the same periods in the prior year. For the three months ended June 30, 2021 as compared to the same period in the prior year, compensation expense increased $2.1 million, dealer fees increased $1.6 million and stock compensation increased $1.2 million. Compensation expense increased primarily due to increased headcount and annual compensation merit increases. Dealer fees increased due to an increase in revenue from distributors in the current year. Stock compensation increased in the current period due to a current quarter change in the number of performance shares estimated to vest.</w:t>
      </w:r>
    </w:p>
    <w:p>
      <w:pPr>
        <w:spacing w:after="0" w:line="203" w:lineRule="exact"/>
        <w:rPr>
          <w:sz w:val="20"/>
          <w:szCs w:val="20"/>
          <w:color w:val="auto"/>
        </w:rPr>
      </w:pPr>
    </w:p>
    <w:p>
      <w:pPr>
        <w:ind w:right="40" w:firstLine="620"/>
        <w:spacing w:after="0" w:line="263" w:lineRule="auto"/>
        <w:rPr>
          <w:sz w:val="20"/>
          <w:szCs w:val="20"/>
          <w:color w:val="auto"/>
        </w:rPr>
      </w:pPr>
      <w:r>
        <w:rPr>
          <w:rFonts w:ascii="Arial" w:cs="Arial" w:eastAsia="Arial" w:hAnsi="Arial"/>
          <w:sz w:val="17"/>
          <w:szCs w:val="17"/>
          <w:color w:val="auto"/>
        </w:rPr>
        <w:t>For the six months ended June 30, 2021, as compared to the same period in the prior year, dealer fees increased $3.0 million, compensation increased $2.9 million, and legal expenses increased $1.5 million. Dealer fees increased due to an increase in revenue from distributors in the current year. Compensation expense increased primarily due to increased headcount and annual compensation merit increases. Legal fees increased due to additional services performed in the current year related to various legal matters.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 Expenses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R&amp;D Expenses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center"/>
              <w:ind w:left="382"/>
              <w:spacing w:after="0"/>
              <w:rPr>
                <w:sz w:val="20"/>
                <w:szCs w:val="20"/>
                <w:color w:val="auto"/>
              </w:rPr>
            </w:pPr>
            <w:r>
              <w:rPr>
                <w:rFonts w:ascii="Arial" w:cs="Arial" w:eastAsia="Arial" w:hAnsi="Arial"/>
                <w:sz w:val="16"/>
                <w:szCs w:val="16"/>
                <w:b w:val="1"/>
                <w:bCs w:val="1"/>
                <w:color w:val="auto"/>
                <w:w w:val="85"/>
              </w:rPr>
              <w:t>Six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1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84"/>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6"/>
                <w:szCs w:val="16"/>
                <w:b w:val="1"/>
                <w:bCs w:val="1"/>
                <w:color w:val="auto"/>
                <w:w w:val="84"/>
              </w:rPr>
              <w:t>June 30,</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0"/>
        </w:trPr>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8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4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62"/>
              <w:spacing w:after="0"/>
              <w:rPr>
                <w:sz w:val="20"/>
                <w:szCs w:val="20"/>
                <w:color w:val="auto"/>
              </w:rPr>
            </w:pPr>
            <w:r>
              <w:rPr>
                <w:rFonts w:ascii="Arial" w:cs="Arial" w:eastAsia="Arial" w:hAnsi="Arial"/>
                <w:sz w:val="16"/>
                <w:szCs w:val="16"/>
                <w:b w:val="1"/>
                <w:bCs w:val="1"/>
                <w:color w:val="auto"/>
              </w:rPr>
              <w:t>% Change</w:t>
            </w:r>
          </w:p>
        </w:tc>
      </w:tr>
      <w:tr>
        <w:trPr>
          <w:trHeight w:val="20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22.1</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21.0</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bl>
    <w:p>
      <w:pPr>
        <w:spacing w:after="0" w:line="285" w:lineRule="exact"/>
        <w:rPr>
          <w:sz w:val="20"/>
          <w:szCs w:val="20"/>
          <w:color w:val="auto"/>
        </w:rPr>
      </w:pPr>
    </w:p>
    <w:p>
      <w:pPr>
        <w:ind w:right="140" w:firstLine="620"/>
        <w:spacing w:after="0" w:line="353" w:lineRule="auto"/>
        <w:rPr>
          <w:sz w:val="20"/>
          <w:szCs w:val="20"/>
          <w:color w:val="auto"/>
        </w:rPr>
      </w:pPr>
      <w:r>
        <w:rPr>
          <w:rFonts w:ascii="Arial" w:cs="Arial" w:eastAsia="Arial" w:hAnsi="Arial"/>
          <w:sz w:val="15"/>
          <w:szCs w:val="15"/>
          <w:color w:val="auto"/>
        </w:rPr>
        <w:t>R&amp;D expenses slightly increased for the three and six months ended June 30, 2021, as compared to the same periods in the prior year, due to timing and nature of various R&amp;D projects. R&amp;D expense during both periods primarily relates to compensation and related benefit expenses on current R&amp;D projects.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Strategic Transaction and Integration Expenses</w:t>
      </w:r>
    </w:p>
    <w:p>
      <w:pPr>
        <w:spacing w:after="0" w:line="244" w:lineRule="exact"/>
        <w:rPr>
          <w:sz w:val="20"/>
          <w:szCs w:val="20"/>
          <w:color w:val="auto"/>
        </w:rPr>
      </w:pPr>
    </w:p>
    <w:p>
      <w:pPr>
        <w:ind w:right="760" w:firstLine="172"/>
        <w:spacing w:after="0" w:line="315" w:lineRule="auto"/>
        <w:rPr>
          <w:sz w:val="20"/>
          <w:szCs w:val="20"/>
          <w:color w:val="auto"/>
        </w:rPr>
      </w:pPr>
      <w:r>
        <w:rPr>
          <w:rFonts w:ascii="Arial" w:cs="Arial" w:eastAsia="Arial" w:hAnsi="Arial"/>
          <w:sz w:val="16"/>
          <w:szCs w:val="16"/>
          <w:color w:val="auto"/>
        </w:rPr>
        <w:t>Restructuring and strategic transaction and integration expenses were $3.8 million and $6.6 million for the three and six months ended June 30, 2021, respectively, as compared to $6.5 million and $18.8 million for the three and six months ended June 30, 2021 and 2020,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4" w:lineRule="exact"/>
        <w:rPr>
          <w:sz w:val="20"/>
          <w:szCs w:val="20"/>
          <w:color w:val="auto"/>
        </w:rPr>
      </w:pPr>
    </w:p>
    <w:p>
      <w:pPr>
        <w:ind w:right="60" w:firstLine="172"/>
        <w:spacing w:after="0" w:line="285" w:lineRule="auto"/>
        <w:rPr>
          <w:sz w:val="20"/>
          <w:szCs w:val="20"/>
          <w:color w:val="auto"/>
        </w:rPr>
      </w:pPr>
      <w:r>
        <w:rPr>
          <w:rFonts w:ascii="Arial" w:cs="Arial" w:eastAsia="Arial" w:hAnsi="Arial"/>
          <w:sz w:val="16"/>
          <w:szCs w:val="16"/>
          <w:color w:val="auto"/>
        </w:rPr>
        <w:t>Restructuring charges were $0.1 million and $0.1 million for the three and six months ended June 30, 2021, respectively, as compared to $0.9 million and $8.1 million for the three and six months ended June 30, 2020, respectively. Restructuring charges for the three and six months ended June 30, 2021 were primarily related to severance costs. Restructuring charges for the three and six months ended June 30, 2020 were primarily related to severance charges and costs related to office and facility closures. We expect to pay our unpaid restructuring charges as of June 30, 2021 by the end of the year.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172"/>
        <w:spacing w:after="0" w:line="259" w:lineRule="auto"/>
        <w:rPr>
          <w:sz w:val="20"/>
          <w:szCs w:val="20"/>
          <w:color w:val="auto"/>
        </w:rPr>
      </w:pPr>
      <w:r>
        <w:rPr>
          <w:rFonts w:ascii="Arial" w:cs="Arial" w:eastAsia="Arial" w:hAnsi="Arial"/>
          <w:sz w:val="17"/>
          <w:szCs w:val="17"/>
          <w:color w:val="auto"/>
        </w:rPr>
        <w:t>Strategic transaction and integration expenses were $3.7 million and $6.5 million for the three and six months ended June 30, 2021, respectively, as compared to $5.6 million and $10.7 million for the three and six months ended June 30, 2020, respectively. The strategic transaction and integration expenses during the three and six months ended June 30, 2021 were primarily related to integration costs associated with acquisitions, the Hospira Infusion Systems ("HIS") earn-out dispute with Pfizer and one-time costs incurred to comply with regulatory initiatives. The strategic transaction and integration expenses during the three and six months ended June 30, 2020 were primarily related to the integration of the HIS business acquired in 2017 from Pfizer, which included the migration of IT systems at our Austin facility.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Earn-out</w:t>
      </w:r>
    </w:p>
    <w:p>
      <w:pPr>
        <w:spacing w:after="0" w:line="244" w:lineRule="exact"/>
        <w:rPr>
          <w:sz w:val="20"/>
          <w:szCs w:val="20"/>
          <w:color w:val="auto"/>
        </w:rPr>
      </w:pPr>
    </w:p>
    <w:p>
      <w:pPr>
        <w:jc w:val="both"/>
        <w:ind w:right="120" w:firstLine="172"/>
        <w:spacing w:after="0" w:line="268" w:lineRule="auto"/>
        <w:rPr>
          <w:sz w:val="20"/>
          <w:szCs w:val="20"/>
          <w:color w:val="auto"/>
        </w:rPr>
      </w:pPr>
      <w:r>
        <w:rPr>
          <w:rFonts w:ascii="Arial" w:cs="Arial" w:eastAsia="Arial" w:hAnsi="Arial"/>
          <w:sz w:val="17"/>
          <w:szCs w:val="17"/>
          <w:color w:val="auto"/>
        </w:rPr>
        <w:t>For the three and six months ended June 30, 2021 there was no change in fair value of the Pursuit earn-out liability for each period, as the underlying forecasts and actual results for those periods did not materially change. For the three and six months ended June 30, 2020, the fair value revaluation of our Pursuit earn-out liability resulted in an increase in value of $2.7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Settlement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six months ended June 30, 2021, we recorded $0.1 million in contract settlement expense.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firstLine="172"/>
        <w:spacing w:after="0" w:line="278" w:lineRule="auto"/>
        <w:rPr>
          <w:sz w:val="20"/>
          <w:szCs w:val="20"/>
          <w:color w:val="auto"/>
        </w:rPr>
      </w:pPr>
      <w:r>
        <w:rPr>
          <w:rFonts w:ascii="Arial" w:cs="Arial" w:eastAsia="Arial" w:hAnsi="Arial"/>
          <w:sz w:val="16"/>
          <w:szCs w:val="16"/>
          <w:color w:val="auto"/>
        </w:rPr>
        <w:t>Interest expense was $0.2 million and $0.3 million for the three and six months ended June 30, 2021, respectively, as compared to $0.8 million and $1.0 million for the three and six months ended June 30, 2020, respectively. The three and six months ended June 30, 2021 primarily includes interest expense related to the per annum commitment fee charged on the unused portion of the revolver under our Credit Facility and the amortization of financing costs that were incurred in 2017 in connection with entering into the Credit Facility. During March 2020, we borrowed $150.0 million under our Credit Facility and, accordingly the interest expense for the three and six months ended June 30, 2020 also includes interest incurred on borrowings under the Credit Facility (see Note 16: Long-Term Obligations in our accompanying condensed consolidated financial statements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4" w:lineRule="exact"/>
        <w:rPr>
          <w:sz w:val="20"/>
          <w:szCs w:val="20"/>
          <w:color w:val="auto"/>
        </w:rPr>
      </w:pPr>
    </w:p>
    <w:p>
      <w:pPr>
        <w:ind w:firstLine="172"/>
        <w:spacing w:after="0" w:line="258" w:lineRule="auto"/>
        <w:rPr>
          <w:sz w:val="20"/>
          <w:szCs w:val="20"/>
          <w:color w:val="auto"/>
        </w:rPr>
      </w:pPr>
      <w:r>
        <w:rPr>
          <w:rFonts w:ascii="Arial" w:cs="Arial" w:eastAsia="Arial" w:hAnsi="Arial"/>
          <w:sz w:val="17"/>
          <w:szCs w:val="17"/>
          <w:color w:val="auto"/>
        </w:rPr>
        <w:t>Other income (expense) netted to $0.5 million and $1.2 million for the three and six months ended June 30, 2021, respectively, as compared to $2.1 million and ($3.4) million for the three and six months ended June 30, 2020. For the three months ended June 30, 2021, the other income, net was related to $0.7 million of interest income and $0.2 million of miscellaneous income, partially offset by $0.2 million in foreign exchange losses and $0.2 million of loss from disposed assets. For the six months ended June 30, 2021, the other income, net was related to $1.4 million of interest income, $0.4 million of miscellaneous income and $0.3 million in foreign exchange gains, partially offset by $0.8 million of loss from disposed assets. For the three months ended June 30, 2020, the other income, net was primarily related to $1.5 million in foreign exchange gains. For the six months ended June 30, 2020, the other expense, net was primarily related to $4.7 million in foreign exchange losses as a result of the strengthening of the U.S. dollar from the impact of COVID-19 during the first quarter, partially offset by interest income.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4" w:lineRule="exact"/>
        <w:rPr>
          <w:sz w:val="20"/>
          <w:szCs w:val="20"/>
          <w:color w:val="auto"/>
        </w:rPr>
      </w:pPr>
    </w:p>
    <w:p>
      <w:pPr>
        <w:ind w:right="200" w:firstLine="172"/>
        <w:spacing w:after="0" w:line="283" w:lineRule="auto"/>
        <w:rPr>
          <w:sz w:val="20"/>
          <w:szCs w:val="20"/>
          <w:color w:val="auto"/>
        </w:rPr>
      </w:pPr>
      <w:r>
        <w:rPr>
          <w:rFonts w:ascii="Arial" w:cs="Arial" w:eastAsia="Arial" w:hAnsi="Arial"/>
          <w:sz w:val="17"/>
          <w:szCs w:val="17"/>
          <w:color w:val="auto"/>
        </w:rPr>
        <w:t>For the three and six months ended June 30, 2021, income taxes were accrued at an estimated effective tax rate of 18% and 16%, respectively, as compared to 9% and 13%, for the three and six months ended June 30, 2020, respectively.</w:t>
      </w:r>
    </w:p>
    <w:p>
      <w:pPr>
        <w:spacing w:after="0" w:line="172" w:lineRule="exact"/>
        <w:rPr>
          <w:sz w:val="20"/>
          <w:szCs w:val="20"/>
          <w:color w:val="auto"/>
        </w:rPr>
      </w:pPr>
    </w:p>
    <w:p>
      <w:pPr>
        <w:ind w:right="40" w:firstLine="169"/>
        <w:spacing w:after="0" w:line="235" w:lineRule="auto"/>
        <w:rPr>
          <w:sz w:val="20"/>
          <w:szCs w:val="20"/>
          <w:color w:val="auto"/>
        </w:rPr>
      </w:pPr>
      <w:r>
        <w:rPr>
          <w:rFonts w:ascii="Arial" w:cs="Arial" w:eastAsia="Arial" w:hAnsi="Arial"/>
          <w:sz w:val="16"/>
          <w:szCs w:val="16"/>
          <w:color w:val="auto"/>
        </w:rPr>
        <w:t>The effective tax rate for the three and six months ended June 30, 2021 differs from the federal statutory rate of 21% principally because of the effect of the mix of U.S. and foreign incomes, state income taxes, global intangible low-taxed income ("GILTI"), foreign-derived intangible income ("FDII") and tax credits. The effective tax rate during the three and six months ended June 30, 2021 included a tax benefit of $0.4 million and $2.2 million, respectively, related to the excess tax benefits recognized on stock option exercises and the vesting of restricted stock units during the period.</w:t>
      </w:r>
    </w:p>
    <w:p>
      <w:pPr>
        <w:spacing w:after="0" w:line="197" w:lineRule="exact"/>
        <w:rPr>
          <w:sz w:val="20"/>
          <w:szCs w:val="20"/>
          <w:color w:val="auto"/>
        </w:rPr>
      </w:pPr>
    </w:p>
    <w:p>
      <w:pPr>
        <w:jc w:val="both"/>
        <w:ind w:right="40" w:firstLine="169"/>
        <w:spacing w:after="0" w:line="268" w:lineRule="auto"/>
        <w:rPr>
          <w:sz w:val="20"/>
          <w:szCs w:val="20"/>
          <w:color w:val="auto"/>
        </w:rPr>
      </w:pPr>
      <w:r>
        <w:rPr>
          <w:rFonts w:ascii="Arial" w:cs="Arial" w:eastAsia="Arial" w:hAnsi="Arial"/>
          <w:sz w:val="17"/>
          <w:szCs w:val="17"/>
          <w:color w:val="auto"/>
        </w:rPr>
        <w:t>The effective tax rate for the three and six months ended June 30, 2020 differs from the federal statutory rate of 21% principally because of the effect of the mix of U.S. and foreign incomes, state income taxes, GILTI, FDII and tax credits. The effective tax rate during the three and six months ended June 30, 2020 included a tax benefit of $3.0 million and $3.5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respectively, related to the excess tax benefits recognized on stock option exercises and the vesting of restricted stock units during the period.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4" w:lineRule="exact"/>
        <w:rPr>
          <w:sz w:val="20"/>
          <w:szCs w:val="20"/>
          <w:color w:val="auto"/>
        </w:rPr>
      </w:pPr>
    </w:p>
    <w:p>
      <w:pPr>
        <w:ind w:right="260" w:firstLine="620"/>
        <w:spacing w:after="0" w:line="283" w:lineRule="auto"/>
        <w:rPr>
          <w:sz w:val="20"/>
          <w:szCs w:val="20"/>
          <w:color w:val="auto"/>
        </w:rPr>
      </w:pPr>
      <w:r>
        <w:rPr>
          <w:rFonts w:ascii="Arial" w:cs="Arial" w:eastAsia="Arial" w:hAnsi="Arial"/>
          <w:sz w:val="17"/>
          <w:szCs w:val="17"/>
          <w:color w:val="auto"/>
        </w:rPr>
        <w:t>During the first six months of 2021, our cash, cash equivalents and short and long-term investments increased by $68.6 million from $423.8 million at December 31, 2020 to $492.4 million at June 30,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4" w:lineRule="exact"/>
        <w:rPr>
          <w:sz w:val="20"/>
          <w:szCs w:val="20"/>
          <w:color w:val="auto"/>
        </w:rPr>
      </w:pPr>
    </w:p>
    <w:p>
      <w:pPr>
        <w:ind w:right="20" w:firstLine="620"/>
        <w:spacing w:after="0" w:line="274" w:lineRule="auto"/>
        <w:rPr>
          <w:sz w:val="20"/>
          <w:szCs w:val="20"/>
          <w:color w:val="auto"/>
        </w:rPr>
      </w:pPr>
      <w:r>
        <w:rPr>
          <w:rFonts w:ascii="Arial" w:cs="Arial" w:eastAsia="Arial" w:hAnsi="Arial"/>
          <w:sz w:val="16"/>
          <w:szCs w:val="16"/>
          <w:color w:val="auto"/>
        </w:rPr>
        <w:t>Our net cash provided by operations for the six months ended June 30, 2021 was $106.1 million. Net income plus adjustments for non-cash net expenses contributed $122.2 million. Net cash used in operations as a result of changes in operating assets and liabilities was $16.1 million. The changes in operating assets and liabilities included a $17.1 million decrease in accrued liabilities, a $7.6 million increase in other assets, $6.0 million in net changes in income taxes, including excess tax benefits and deferred income taxes and a $1.6 million decrease in accounts payable. Offsetting these amounts was a $13.4 million decrease in inventories, a $2.1 million decrease in accounts receivables, and a $0.8 million decrease in prepaid expenses and other assets. The decrease in accrued liabilities was primarily due to the payment of annual bonuses. The net changes in income taxes was a result of the timing of payments. The increase in other assets was due to the purchase of spare parts. The decrease in accounts payable was due to the timing of payments. The decrease in inventory was primarily due to the timing of production and customer purchases combined with the reduction in capitalized manufacturing variances. The decrease in accounts receivable is primarily due to collection efforts. The net decrease in prepaid expenses and other current assets was primarily due to a decrease in prepaid insurance, property taxes and deferred costs, offset by an increase in annual software renewals.</w:t>
      </w:r>
    </w:p>
    <w:p>
      <w:pPr>
        <w:spacing w:after="0" w:line="199" w:lineRule="exact"/>
        <w:rPr>
          <w:sz w:val="20"/>
          <w:szCs w:val="20"/>
          <w:color w:val="auto"/>
        </w:rPr>
      </w:pPr>
    </w:p>
    <w:p>
      <w:pPr>
        <w:ind w:firstLine="620"/>
        <w:spacing w:after="0" w:line="295" w:lineRule="auto"/>
        <w:rPr>
          <w:sz w:val="20"/>
          <w:szCs w:val="20"/>
          <w:color w:val="auto"/>
        </w:rPr>
      </w:pPr>
      <w:r>
        <w:rPr>
          <w:rFonts w:ascii="Arial" w:cs="Arial" w:eastAsia="Arial" w:hAnsi="Arial"/>
          <w:sz w:val="15"/>
          <w:szCs w:val="15"/>
          <w:color w:val="auto"/>
        </w:rPr>
        <w:t>Our net cash provided by operations for the six months ended June 30, 2020 was $68.7 million. Net income plus adjustments for non-cash net expenses contributed $107.4 million. Net cash used in operations as a result of changes in operating assets and liabilities was $38.7 million. The changes in operating assets and liabilities included a $23.3 million decrease in accounts payable, a $15.3 million decrease in accrued liabilities, a $9.3 million increase in prepaid expenses and other current assets and a $7.2 million increase in other assets. Offsetting these amounts was a $8.5 million decrease in inventories, a $5.3 million decrease in accounts receivables, and a $2.7 million in net changes in income taxes, including excess tax benefits and deferred income taxes. The decrease in accounts payable was due to the timing of payments. The decrease in accrued liabilities was due to the payment of accrued supply chain reorganization costs. The increase in prepaid expenses and other current assets was primarily due to an increase in deferred costs. The increase in other assets was due to the purchase of spare parts. The decrease in inventory was primarily due to improved inventory management. The decrease in accounts receivable is due to lower sales and collections partially due to decreased demand from hospital customers due to COVID-19. The net changes in income taxes was a result of the timing of payments.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6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9"/>
        </w:trPr>
        <w:tc>
          <w:tcPr>
            <w:tcW w:w="656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4"/>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440"/>
              <w:spacing w:after="0"/>
              <w:rPr>
                <w:sz w:val="20"/>
                <w:szCs w:val="20"/>
                <w:color w:val="auto"/>
              </w:rPr>
            </w:pPr>
            <w:r>
              <w:rPr>
                <w:rFonts w:ascii="Arial" w:cs="Arial" w:eastAsia="Arial" w:hAnsi="Arial"/>
                <w:sz w:val="17"/>
                <w:szCs w:val="17"/>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0"/>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3"/>
        </w:trPr>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380" w:type="dxa"/>
            <w:vAlign w:val="bottom"/>
            <w:tcBorders>
              <w:bottom w:val="single" w:sz="8" w:color="auto"/>
            </w:tcBorders>
          </w:tcPr>
          <w:p>
            <w:pPr>
              <w:spacing w:after="0"/>
              <w:rPr>
                <w:sz w:val="18"/>
                <w:szCs w:val="18"/>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(29,693)</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(38,517)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8,824</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(1)</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380" w:type="dxa"/>
            <w:vAlign w:val="bottom"/>
            <w:shd w:val="clear" w:color="auto" w:fill="CCEEFF"/>
          </w:tcPr>
          <w:p>
            <w:pPr>
              <w:spacing w:after="0"/>
              <w:rPr>
                <w:sz w:val="19"/>
                <w:szCs w:val="19"/>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Intangible asset additions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9"/>
                <w:szCs w:val="19"/>
                <w:color w:val="auto"/>
              </w:rPr>
            </w:pP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(2)</w:t>
            </w:r>
          </w:p>
        </w:tc>
      </w:tr>
      <w:tr>
        <w:trPr>
          <w:trHeight w:val="22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Proceeds from sale of investment securities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(9,400)</w:t>
            </w:r>
          </w:p>
        </w:tc>
        <w:tc>
          <w:tcPr>
            <w:tcW w:w="380" w:type="dxa"/>
            <w:vAlign w:val="bottom"/>
            <w:tcBorders>
              <w:bottom w:val="single" w:sz="8" w:color="CCEEFF"/>
            </w:tcBorders>
          </w:tcPr>
          <w:p>
            <w:pPr>
              <w:jc w:val="right"/>
              <w:ind w:right="94"/>
              <w:spacing w:after="0"/>
              <w:rPr>
                <w:sz w:val="20"/>
                <w:szCs w:val="20"/>
                <w:color w:val="auto"/>
              </w:rPr>
            </w:pPr>
            <w:r>
              <w:rPr>
                <w:rFonts w:ascii="Arial" w:cs="Arial" w:eastAsia="Arial" w:hAnsi="Arial"/>
                <w:sz w:val="17"/>
                <w:szCs w:val="17"/>
                <w:color w:val="auto"/>
                <w:w w:val="86"/>
              </w:rPr>
              <w:t>(3)</w:t>
            </w:r>
          </w:p>
        </w:tc>
      </w:tr>
      <w:tr>
        <w:trPr>
          <w:trHeight w:val="238"/>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(3,504)</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15" w:lineRule="exact"/>
        <w:rPr>
          <w:sz w:val="20"/>
          <w:szCs w:val="20"/>
          <w:color w:val="auto"/>
        </w:rPr>
      </w:pPr>
    </w:p>
    <w:p>
      <w:pPr>
        <w:ind w:left="320" w:right="360" w:hanging="317"/>
        <w:spacing w:after="0" w:line="228" w:lineRule="auto"/>
        <w:tabs>
          <w:tab w:leader="none" w:pos="183"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right="40" w:hanging="317"/>
        <w:spacing w:after="0" w:line="228" w:lineRule="auto"/>
        <w:tabs>
          <w:tab w:leader="none" w:pos="252"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due to changes in our investment strategy.</w:t>
      </w:r>
    </w:p>
    <w:p>
      <w:pPr>
        <w:ind w:left="180" w:hanging="177"/>
        <w:spacing w:after="0" w:line="227" w:lineRule="auto"/>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Proceeds from the sale or maturity of our investment securities will vary from period to period based on the maturity dates of the investments we currently hold.</w:t>
      </w:r>
    </w:p>
    <w:p>
      <w:pPr>
        <w:spacing w:after="0" w:line="220" w:lineRule="exact"/>
        <w:rPr>
          <w:sz w:val="20"/>
          <w:szCs w:val="20"/>
          <w:color w:val="auto"/>
        </w:rPr>
      </w:pPr>
    </w:p>
    <w:p>
      <w:pPr>
        <w:jc w:val="both"/>
        <w:ind w:right="360" w:firstLine="169"/>
        <w:spacing w:after="0" w:line="285" w:lineRule="auto"/>
        <w:rPr>
          <w:sz w:val="20"/>
          <w:szCs w:val="20"/>
          <w:color w:val="auto"/>
        </w:rPr>
      </w:pPr>
      <w:r>
        <w:rPr>
          <w:rFonts w:ascii="Arial" w:cs="Arial" w:eastAsia="Arial" w:hAnsi="Arial"/>
          <w:sz w:val="16"/>
          <w:szCs w:val="16"/>
          <w:color w:val="auto"/>
        </w:rPr>
        <w:t>While we can provide no assurances, we estimate that our capital expenditures in 2021 will be approximately $70.0 million to $80.0 million. We anticipate making additional investments in machinery and equipment in our manufacturing operations in the U.S., Costa Rica, and Mexico to support new and existing products and in infusion pumps that are placed with customers outside the U.S. We expect to use our cash and cash equivalents to fund our capital purchases. Amounts of spending are estimates and actual spending may substantially differ from those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6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3"/>
        </w:trPr>
        <w:tc>
          <w:tcPr>
            <w:tcW w:w="656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7"/>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440"/>
              <w:spacing w:after="0"/>
              <w:rPr>
                <w:sz w:val="20"/>
                <w:szCs w:val="20"/>
                <w:color w:val="auto"/>
              </w:rPr>
            </w:pPr>
            <w:r>
              <w:rPr>
                <w:rFonts w:ascii="Arial" w:cs="Arial" w:eastAsia="Arial" w:hAnsi="Arial"/>
                <w:sz w:val="17"/>
                <w:szCs w:val="17"/>
                <w:b w:val="1"/>
                <w:bCs w:val="1"/>
                <w:color w:val="auto"/>
              </w:rPr>
              <w:t>Six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0"/>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3"/>
        </w:trPr>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380" w:type="dxa"/>
            <w:vAlign w:val="bottom"/>
            <w:tcBorders>
              <w:bottom w:val="single" w:sz="8" w:color="auto"/>
            </w:tcBorders>
          </w:tcPr>
          <w:p>
            <w:pPr>
              <w:spacing w:after="0"/>
              <w:rPr>
                <w:sz w:val="18"/>
                <w:szCs w:val="18"/>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Proceeds from short-term debt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(150,000)</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(1)</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(2)</w:t>
            </w: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(180)</w:t>
            </w:r>
          </w:p>
        </w:tc>
        <w:tc>
          <w:tcPr>
            <w:tcW w:w="380" w:type="dxa"/>
            <w:vAlign w:val="bottom"/>
          </w:tcPr>
          <w:p>
            <w:pPr>
              <w:spacing w:after="0"/>
              <w:rPr>
                <w:sz w:val="19"/>
                <w:szCs w:val="19"/>
                <w:color w:val="auto"/>
              </w:rPr>
            </w:pP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withholding payments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4,742</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(3)</w:t>
            </w:r>
          </w:p>
        </w:tc>
      </w:tr>
      <w:tr>
        <w:trPr>
          <w:trHeight w:val="213"/>
        </w:trPr>
        <w:tc>
          <w:tcPr>
            <w:tcW w:w="6560" w:type="dxa"/>
            <w:vAlign w:val="bottom"/>
          </w:tcPr>
          <w:p>
            <w:pPr>
              <w:ind w:left="14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(146,821)</w:t>
            </w:r>
          </w:p>
        </w:tc>
        <w:tc>
          <w:tcPr>
            <w:tcW w:w="38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15" w:lineRule="exact"/>
        <w:rPr>
          <w:sz w:val="20"/>
          <w:szCs w:val="20"/>
          <w:color w:val="auto"/>
        </w:rPr>
      </w:pPr>
    </w:p>
    <w:p>
      <w:pPr>
        <w:ind w:left="320" w:right="200" w:hanging="317"/>
        <w:spacing w:after="0" w:line="247" w:lineRule="auto"/>
        <w:tabs>
          <w:tab w:leader="none" w:pos="168"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During March 2020, as a result of market uncertainty caused by COVID-19, we borrowed $150.0 million under our revolving Credit Facility. We fully repaid the amounts borrowed under our revolving Credit Facility in September 2020.</w:t>
      </w:r>
    </w:p>
    <w:p>
      <w:pPr>
        <w:ind w:left="320" w:right="280" w:hanging="317"/>
        <w:spacing w:after="0" w:line="221" w:lineRule="auto"/>
        <w:tabs>
          <w:tab w:leader="none" w:pos="312"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Proceeds from the exercise of stock options will vary from period to period based on the volume of options exercised and the exercise price of the specific options exercised.</w:t>
      </w:r>
    </w:p>
    <w:p>
      <w:pPr>
        <w:ind w:left="320" w:right="80" w:hanging="317"/>
        <w:spacing w:after="0" w:line="258" w:lineRule="auto"/>
        <w:tabs>
          <w:tab w:leader="none" w:pos="168"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During the six months ended June 30, 2021, our employees surrendered 37,882 shares of our common stock from vested restricted stock awards as consideration for approximately $7.8 million in minimum statutory withholding obligations paid on their behalf. During the six months ended June 30, 2020, our employees surrendered 65,392 shares of our common stock from vested restricted stock awards as consideration for approximately $12.6 million in minimum statutory withholding obligations paid on their behalf.</w:t>
      </w:r>
    </w:p>
    <w:p>
      <w:pPr>
        <w:spacing w:after="0" w:line="206" w:lineRule="exact"/>
        <w:rPr>
          <w:sz w:val="20"/>
          <w:szCs w:val="20"/>
          <w:color w:val="auto"/>
        </w:rPr>
      </w:pPr>
    </w:p>
    <w:p>
      <w:pPr>
        <w:ind w:right="240" w:firstLine="620"/>
        <w:spacing w:after="0" w:line="315" w:lineRule="auto"/>
        <w:rPr>
          <w:sz w:val="20"/>
          <w:szCs w:val="20"/>
          <w:color w:val="auto"/>
        </w:rPr>
      </w:pPr>
      <w:r>
        <w:rPr>
          <w:rFonts w:ascii="Arial" w:cs="Arial" w:eastAsia="Arial" w:hAnsi="Arial"/>
          <w:sz w:val="16"/>
          <w:szCs w:val="16"/>
          <w:color w:val="auto"/>
        </w:rPr>
        <w:t>In August 2019, our Board of Directors approved a share purchase plan to purchase up to $100.0 million of our common stock. This plan replaced our existing plan and has no expiration date. As of June 30, 2021, all of the $100 million available for purchase was remaining under the plan.</w:t>
      </w:r>
    </w:p>
    <w:p>
      <w:pPr>
        <w:spacing w:after="0" w:line="163" w:lineRule="exact"/>
        <w:rPr>
          <w:sz w:val="20"/>
          <w:szCs w:val="20"/>
          <w:color w:val="auto"/>
        </w:rPr>
      </w:pPr>
    </w:p>
    <w:p>
      <w:pPr>
        <w:ind w:right="20" w:firstLine="620"/>
        <w:spacing w:after="0" w:line="268" w:lineRule="auto"/>
        <w:rPr>
          <w:sz w:val="20"/>
          <w:szCs w:val="20"/>
          <w:color w:val="auto"/>
        </w:rPr>
      </w:pPr>
      <w:r>
        <w:rPr>
          <w:rFonts w:ascii="Arial" w:cs="Arial" w:eastAsia="Arial" w:hAnsi="Arial"/>
          <w:sz w:val="17"/>
          <w:szCs w:val="17"/>
          <w:color w:val="auto"/>
        </w:rPr>
        <w:t>We have a substantial cash and investment security position generated from operations. We maintain this position to address any operational challenges related to COVID-19, fund our growth, meet increasing working capital requirements, fund capital expenditures and to take advantage of acquisition opportunities that may arise. Our primary investment goal is capital preservation.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Access to Capital</w:t>
      </w:r>
    </w:p>
    <w:p>
      <w:pPr>
        <w:spacing w:after="0" w:line="218" w:lineRule="exact"/>
        <w:rPr>
          <w:sz w:val="20"/>
          <w:szCs w:val="20"/>
          <w:color w:val="auto"/>
        </w:rPr>
      </w:pPr>
    </w:p>
    <w:p>
      <w:pPr>
        <w:ind w:right="40" w:firstLine="620"/>
        <w:spacing w:after="0" w:line="259" w:lineRule="auto"/>
        <w:rPr>
          <w:sz w:val="20"/>
          <w:szCs w:val="20"/>
          <w:color w:val="auto"/>
        </w:rPr>
      </w:pPr>
      <w:r>
        <w:rPr>
          <w:rFonts w:ascii="Arial" w:cs="Arial" w:eastAsia="Arial" w:hAnsi="Arial"/>
          <w:sz w:val="17"/>
          <w:szCs w:val="17"/>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products or in the solvency of our customers or suppliers, deterioration in our key financial ratios or credit ratings or other significantly unfavorable changes in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244" w:lineRule="exact"/>
        <w:rPr>
          <w:sz w:val="20"/>
          <w:szCs w:val="20"/>
          <w:color w:val="auto"/>
        </w:rPr>
      </w:pPr>
    </w:p>
    <w:p>
      <w:pPr>
        <w:ind w:firstLine="169"/>
        <w:spacing w:after="0" w:line="298" w:lineRule="auto"/>
        <w:rPr>
          <w:sz w:val="20"/>
          <w:szCs w:val="20"/>
          <w:color w:val="auto"/>
        </w:rPr>
      </w:pPr>
      <w:r>
        <w:rPr>
          <w:rFonts w:ascii="Arial" w:cs="Arial" w:eastAsia="Arial" w:hAnsi="Arial"/>
          <w:sz w:val="15"/>
          <w:szCs w:val="15"/>
          <w:color w:val="auto"/>
        </w:rPr>
        <w:t>We have a five-year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Any unused portion of the Credit Facility will be subject to a per annum commitment fee which is also calculated using the leverage ratio in effect. The Credit Facility matures in 2022. During March 2020, as a precautionary measure in response to market uncertainty driven by the COVID-19 pandemic, we preemptively increased our liquidity by borrowing $150.0 million under our Credit Facility. In September 2020, we fully repaid the borrowings under our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Covenants</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 Ratios.</w:t>
      </w:r>
    </w:p>
    <w:p>
      <w:pPr>
        <w:spacing w:after="0" w:line="217" w:lineRule="exact"/>
        <w:rPr>
          <w:sz w:val="20"/>
          <w:szCs w:val="20"/>
          <w:color w:val="auto"/>
        </w:rPr>
      </w:pPr>
    </w:p>
    <w:p>
      <w:pPr>
        <w:ind w:right="260" w:firstLine="169"/>
        <w:spacing w:after="0" w:line="268" w:lineRule="auto"/>
        <w:rPr>
          <w:sz w:val="20"/>
          <w:szCs w:val="20"/>
          <w:color w:val="auto"/>
        </w:rPr>
      </w:pPr>
      <w:r>
        <w:rPr>
          <w:rFonts w:ascii="Arial" w:cs="Arial" w:eastAsia="Arial" w:hAnsi="Arial"/>
          <w:sz w:val="17"/>
          <w:szCs w:val="17"/>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98" w:lineRule="exact"/>
        <w:rPr>
          <w:sz w:val="20"/>
          <w:szCs w:val="20"/>
          <w:color w:val="auto"/>
        </w:rPr>
      </w:pPr>
    </w:p>
    <w:p>
      <w:pPr>
        <w:ind w:right="120" w:firstLine="169"/>
        <w:spacing w:after="0" w:line="320" w:lineRule="auto"/>
        <w:rPr>
          <w:sz w:val="20"/>
          <w:szCs w:val="20"/>
          <w:color w:val="auto"/>
        </w:rPr>
      </w:pPr>
      <w:r>
        <w:rPr>
          <w:rFonts w:ascii="Arial" w:cs="Arial" w:eastAsia="Arial" w:hAnsi="Arial"/>
          <w:sz w:val="15"/>
          <w:szCs w:val="15"/>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were in compliance with all financial covenants as of June 30,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ind w:right="280" w:firstLine="620"/>
        <w:spacing w:after="0" w:line="263"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0" w:lineRule="exact"/>
        <w:rPr>
          <w:sz w:val="20"/>
          <w:szCs w:val="20"/>
          <w:color w:val="auto"/>
        </w:rPr>
      </w:pPr>
    </w:p>
    <w:p>
      <w:pPr>
        <w:ind w:right="120" w:firstLine="172"/>
        <w:spacing w:after="0" w:line="283" w:lineRule="auto"/>
        <w:rPr>
          <w:sz w:val="20"/>
          <w:szCs w:val="20"/>
          <w:color w:val="auto"/>
        </w:rPr>
      </w:pPr>
      <w:r>
        <w:rPr>
          <w:rFonts w:ascii="Arial" w:cs="Arial" w:eastAsia="Arial" w:hAnsi="Arial"/>
          <w:sz w:val="17"/>
          <w:szCs w:val="17"/>
          <w:color w:val="auto"/>
        </w:rPr>
        <w:t>There have been no material changes to our contractual obligations disclosed in our Annual Report on Form 10-K for the fiscal year ended December 31, 2020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0" w:lineRule="exact"/>
        <w:rPr>
          <w:sz w:val="20"/>
          <w:szCs w:val="20"/>
          <w:color w:val="auto"/>
        </w:rPr>
      </w:pPr>
    </w:p>
    <w:p>
      <w:pPr>
        <w:jc w:val="both"/>
        <w:ind w:right="220" w:firstLine="620"/>
        <w:spacing w:after="0" w:line="353" w:lineRule="auto"/>
        <w:rPr>
          <w:sz w:val="20"/>
          <w:szCs w:val="20"/>
          <w:color w:val="auto"/>
        </w:rPr>
      </w:pPr>
      <w:r>
        <w:rPr>
          <w:rFonts w:ascii="Arial" w:cs="Arial" w:eastAsia="Arial" w:hAnsi="Arial"/>
          <w:sz w:val="15"/>
          <w:szCs w:val="15"/>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to Part I, Item 1.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Forward Looking Statements</w:t>
      </w:r>
    </w:p>
    <w:p>
      <w:pPr>
        <w:spacing w:after="0" w:line="224" w:lineRule="exact"/>
        <w:rPr>
          <w:sz w:val="20"/>
          <w:szCs w:val="20"/>
          <w:color w:val="auto"/>
        </w:rPr>
      </w:pPr>
    </w:p>
    <w:p>
      <w:pPr>
        <w:ind w:right="20" w:firstLine="620"/>
        <w:spacing w:after="0" w:line="277"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3" w:lineRule="exact"/>
        <w:rPr>
          <w:sz w:val="20"/>
          <w:szCs w:val="20"/>
          <w:color w:val="auto"/>
        </w:rPr>
      </w:pPr>
    </w:p>
    <w:p>
      <w:pPr>
        <w:ind w:left="1240" w:right="160" w:hanging="306"/>
        <w:spacing w:after="0" w:line="278"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4" w:lineRule="exact"/>
        <w:rPr>
          <w:rFonts w:ascii="Arial" w:cs="Arial" w:eastAsia="Arial" w:hAnsi="Arial"/>
          <w:sz w:val="16"/>
          <w:szCs w:val="16"/>
          <w:color w:val="auto"/>
        </w:rPr>
      </w:pPr>
    </w:p>
    <w:p>
      <w:pPr>
        <w:ind w:left="1240" w:hanging="306"/>
        <w:spacing w:after="0" w:line="293" w:lineRule="auto"/>
        <w:tabs>
          <w:tab w:leader="none" w:pos="12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2" w:lineRule="exact"/>
        <w:rPr>
          <w:rFonts w:ascii="Arial" w:cs="Arial" w:eastAsia="Arial" w:hAnsi="Arial"/>
          <w:sz w:val="15"/>
          <w:szCs w:val="15"/>
          <w:color w:val="auto"/>
        </w:rPr>
      </w:pPr>
    </w:p>
    <w:p>
      <w:pPr>
        <w:ind w:left="1240" w:right="80" w:hanging="306"/>
        <w:spacing w:after="0" w:line="294" w:lineRule="auto"/>
        <w:tabs>
          <w:tab w:leader="none" w:pos="12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7" w:lineRule="exact"/>
        <w:rPr>
          <w:sz w:val="20"/>
          <w:szCs w:val="20"/>
          <w:color w:val="auto"/>
        </w:rPr>
      </w:pPr>
    </w:p>
    <w:p>
      <w:pPr>
        <w:jc w:val="both"/>
        <w:ind w:right="20" w:firstLine="663"/>
        <w:spacing w:after="0" w:line="29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60" w:firstLine="620"/>
        <w:spacing w:after="0" w:line="320" w:lineRule="auto"/>
        <w:rPr>
          <w:sz w:val="20"/>
          <w:szCs w:val="20"/>
          <w:color w:val="auto"/>
        </w:rPr>
      </w:pPr>
      <w:r>
        <w:rPr>
          <w:rFonts w:ascii="Arial" w:cs="Arial" w:eastAsia="Arial" w:hAnsi="Arial"/>
          <w:sz w:val="15"/>
          <w:szCs w:val="15"/>
          <w:color w:val="auto"/>
        </w:rPr>
        <w:t>Second, investors should read the forward looking statements in conjunction with the Risk Factors discussed in Part I, Item 1A of our Annual Report on Form 10-K with the SEC for the year ended December 31, 2020,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63"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impacts of the COVID-19 pandemic on us, our business and on domestic and global economies generally;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and business conditions, both in the U.S. and internationally;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unexpected changes in our arrangements with Pfizer or our other large customers;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foreign exchange rates and other risks of doing business internationally;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increases in labor costs or competition for skilled workers;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increases in costs or availability of the raw materials need to manufacture our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of price and safety considerations on the healthcare industry;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competitive factors, such as product innovation, new technologies, marketing and distribution strength and price erosion;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successful development and marketing of new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market shifts and trends;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legislation affecting government reimbursement of healthcare costs;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effects of additional governmental regulations;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production problems;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of patent protection and the cost of enforcing and of defending patent claims; and</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natural disasters and outbreak of disease or illness.</w:t>
      </w:r>
    </w:p>
    <w:p>
      <w:pPr>
        <w:spacing w:after="0" w:line="115" w:lineRule="exact"/>
        <w:rPr>
          <w:sz w:val="20"/>
          <w:szCs w:val="20"/>
          <w:color w:val="auto"/>
        </w:rPr>
      </w:pPr>
    </w:p>
    <w:p>
      <w:pPr>
        <w:ind w:right="220" w:firstLine="620"/>
        <w:spacing w:after="0" w:line="292" w:lineRule="auto"/>
        <w:rPr>
          <w:sz w:val="20"/>
          <w:szCs w:val="20"/>
          <w:color w:val="auto"/>
        </w:rPr>
      </w:pPr>
      <w:r>
        <w:rPr>
          <w:rFonts w:ascii="Arial" w:cs="Arial" w:eastAsia="Arial" w:hAnsi="Arial"/>
          <w:sz w:val="16"/>
          <w:szCs w:val="16"/>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If we were to incur borrowings under our Credit Facility, we would face market risk stemming from changes in interest rates.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Risk</w:t>
      </w:r>
    </w:p>
    <w:p>
      <w:pPr>
        <w:spacing w:after="0" w:line="244" w:lineRule="exact"/>
        <w:rPr>
          <w:sz w:val="20"/>
          <w:szCs w:val="20"/>
          <w:color w:val="auto"/>
        </w:rPr>
      </w:pPr>
    </w:p>
    <w:p>
      <w:pPr>
        <w:ind w:firstLine="169"/>
        <w:spacing w:after="0" w:line="268" w:lineRule="auto"/>
        <w:rPr>
          <w:sz w:val="20"/>
          <w:szCs w:val="20"/>
          <w:color w:val="auto"/>
        </w:rPr>
      </w:pPr>
      <w:r>
        <w:rPr>
          <w:rFonts w:ascii="Arial" w:cs="Arial" w:eastAsia="Arial" w:hAnsi="Arial"/>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relative to the foreign currency.</w:t>
      </w:r>
    </w:p>
    <w:p>
      <w:pPr>
        <w:spacing w:after="0" w:line="198" w:lineRule="exact"/>
        <w:rPr>
          <w:sz w:val="20"/>
          <w:szCs w:val="20"/>
          <w:color w:val="auto"/>
        </w:rPr>
      </w:pPr>
    </w:p>
    <w:p>
      <w:pPr>
        <w:ind w:right="60" w:firstLine="172"/>
        <w:spacing w:after="0" w:line="320" w:lineRule="auto"/>
        <w:rPr>
          <w:sz w:val="20"/>
          <w:szCs w:val="20"/>
          <w:color w:val="auto"/>
        </w:rPr>
      </w:pPr>
      <w:r>
        <w:rPr>
          <w:rFonts w:ascii="Arial" w:cs="Arial" w:eastAsia="Arial" w:hAnsi="Arial"/>
          <w:sz w:val="15"/>
          <w:szCs w:val="15"/>
          <w:color w:val="auto"/>
        </w:rPr>
        <w:t>In our European operations, our net Euro asset position at June 30, 2021 was approximately €41.1 million. A 10% change in the conversion of the Euro to the U.S. dollar for our cash, accounts receivable, accounts payable and accrued liabilities from the June 30, 2021 spot rate would impact our consolidated amounts on these balance sheet items by approximately $4.9 million, or 1.1% of these consolidated net assets. We expect that in the future, with the growth of our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European distribution operations, net Euro denominated instruments will continue to increase. We currently do not hedge our Euro foreign currency exposures.</w:t>
      </w:r>
    </w:p>
    <w:p>
      <w:pPr>
        <w:spacing w:after="0" w:line="255" w:lineRule="exact"/>
        <w:rPr>
          <w:sz w:val="20"/>
          <w:szCs w:val="20"/>
          <w:color w:val="auto"/>
        </w:rPr>
      </w:pPr>
    </w:p>
    <w:p>
      <w:pPr>
        <w:ind w:right="160" w:firstLine="169"/>
        <w:spacing w:after="0" w:line="268" w:lineRule="auto"/>
        <w:rPr>
          <w:sz w:val="20"/>
          <w:szCs w:val="20"/>
          <w:color w:val="auto"/>
        </w:rPr>
      </w:pPr>
      <w:r>
        <w:rPr>
          <w:rFonts w:ascii="Arial" w:cs="Arial" w:eastAsia="Arial" w:hAnsi="Arial"/>
          <w:sz w:val="17"/>
          <w:szCs w:val="17"/>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18"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207"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There was no change in our internal control over financial reporting during the quarter ended June 30, 2021 that has materially affected or is reasonably likely to materially affect our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224" w:lineRule="exact"/>
        <w:rPr>
          <w:sz w:val="20"/>
          <w:szCs w:val="20"/>
          <w:color w:val="auto"/>
        </w:rPr>
      </w:pPr>
    </w:p>
    <w:p>
      <w:pPr>
        <w:ind w:right="360" w:firstLine="172"/>
        <w:spacing w:after="0" w:line="283" w:lineRule="auto"/>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18. Commitments and Contingencies to the Condensed Consolidated Financial Statements,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24" w:lineRule="exact"/>
        <w:rPr>
          <w:sz w:val="20"/>
          <w:szCs w:val="20"/>
          <w:color w:val="auto"/>
        </w:rPr>
      </w:pPr>
    </w:p>
    <w:p>
      <w:pPr>
        <w:jc w:val="both"/>
        <w:ind w:right="200" w:firstLine="172"/>
        <w:spacing w:after="0" w:line="268" w:lineRule="auto"/>
        <w:rPr>
          <w:sz w:val="20"/>
          <w:szCs w:val="20"/>
          <w:color w:val="auto"/>
        </w:rPr>
      </w:pPr>
      <w:r>
        <w:rPr>
          <w:rFonts w:ascii="Arial" w:cs="Arial" w:eastAsia="Arial" w:hAnsi="Arial"/>
          <w:sz w:val="17"/>
          <w:szCs w:val="17"/>
          <w:color w:val="auto"/>
        </w:rPr>
        <w:t>In evaluating an investment in our common stock, investors should consider carefully, among other things, the risk factors previously disclosed in Part I, Item 1A of our Annual Report on Form 10-K filed with the SEC for the year ended December 31, 2020, as well as the information contained in this Quarterly Report and our other reports and registration statements filed with the SEC.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our stock repurchasing activity during the second quarter of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part of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9"/>
              </w:rPr>
              <w:t>dollar value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Total number of 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price paid</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3"/>
              <w:spacing w:after="0" w:line="181" w:lineRule="exact"/>
              <w:rPr>
                <w:sz w:val="20"/>
                <w:szCs w:val="20"/>
                <w:color w:val="auto"/>
              </w:rPr>
            </w:pPr>
            <w:r>
              <w:rPr>
                <w:rFonts w:ascii="Arial" w:cs="Arial" w:eastAsia="Arial" w:hAnsi="Arial"/>
                <w:sz w:val="14"/>
                <w:szCs w:val="14"/>
                <w:b w:val="1"/>
                <w:bCs w:val="1"/>
                <w:color w:val="auto"/>
                <w:w w:val="87"/>
              </w:rPr>
              <w:t>the program</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04/01/2021 — 04/30/2021</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05/01/2021 — 05/31/2021</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06/01/2021 — 06/30/2021</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Second quarter of 2021 total</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57"/>
              <w:spacing w:after="0"/>
              <w:rPr>
                <w:sz w:val="20"/>
                <w:szCs w:val="20"/>
                <w:color w:val="auto"/>
              </w:rPr>
            </w:pPr>
            <w:r>
              <w:rPr>
                <w:rFonts w:ascii="Arial" w:cs="Arial" w:eastAsia="Arial" w:hAnsi="Arial"/>
                <w:sz w:val="19"/>
                <w:szCs w:val="19"/>
                <w:color w:val="auto"/>
                <w:w w:val="89"/>
              </w:rPr>
              <w:t>____________________________</w:t>
            </w: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34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hanging="317"/>
        <w:spacing w:after="0" w:line="284" w:lineRule="auto"/>
        <w:tabs>
          <w:tab w:leader="none" w:pos="23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340" w:lineRule="exact"/>
        <w:rPr>
          <w:sz w:val="20"/>
          <w:szCs w:val="20"/>
          <w:color w:val="auto"/>
        </w:rPr>
      </w:pPr>
    </w:p>
    <w:p>
      <w:pPr>
        <w:ind w:right="80" w:firstLine="172"/>
        <w:spacing w:after="0" w:line="283" w:lineRule="auto"/>
        <w:rPr>
          <w:sz w:val="20"/>
          <w:szCs w:val="20"/>
          <w:color w:val="auto"/>
        </w:rPr>
      </w:pPr>
      <w:r>
        <w:rPr>
          <w:rFonts w:ascii="Arial" w:cs="Arial" w:eastAsia="Arial" w:hAnsi="Arial"/>
          <w:sz w:val="17"/>
          <w:szCs w:val="17"/>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24" w:lineRule="exact"/>
        <w:rPr>
          <w:sz w:val="20"/>
          <w:szCs w:val="20"/>
          <w:color w:val="auto"/>
        </w:rPr>
      </w:pPr>
    </w:p>
    <w:p>
      <w:pPr>
        <w:ind w:right="72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60" w:type="dxa"/>
            <w:vAlign w:val="bottom"/>
          </w:tcPr>
          <w:p>
            <w:pPr>
              <w:ind w:left="20"/>
              <w:spacing w:after="0"/>
              <w:rPr>
                <w:sz w:val="20"/>
                <w:szCs w:val="20"/>
                <w:color w:val="auto"/>
              </w:rPr>
            </w:pPr>
            <w:r>
              <w:rPr>
                <w:rFonts w:ascii="Arial" w:cs="Arial" w:eastAsia="Arial" w:hAnsi="Arial"/>
                <w:sz w:val="17"/>
                <w:szCs w:val="17"/>
                <w:color w:val="auto"/>
              </w:rPr>
              <w:t>(Registrant)</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43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c>
          <w:tcPr>
            <w:tcW w:w="1800" w:type="dxa"/>
            <w:vAlign w:val="bottom"/>
            <w:tcBorders>
              <w:bottom w:val="single" w:sz="8" w:color="auto"/>
            </w:tcBorders>
          </w:tcPr>
          <w:p>
            <w:pPr>
              <w:spacing w:after="0"/>
              <w:rPr>
                <w:sz w:val="24"/>
                <w:szCs w:val="24"/>
                <w:color w:val="auto"/>
              </w:rPr>
            </w:pPr>
          </w:p>
        </w:tc>
        <w:tc>
          <w:tcPr>
            <w:tcW w:w="5680" w:type="dxa"/>
            <w:vAlign w:val="bottom"/>
          </w:tcPr>
          <w:p>
            <w:pPr>
              <w:jc w:val="right"/>
              <w:ind w:right="3854"/>
              <w:spacing w:after="0"/>
              <w:rPr>
                <w:sz w:val="20"/>
                <w:szCs w:val="20"/>
                <w:color w:val="auto"/>
              </w:rPr>
            </w:pPr>
            <w:r>
              <w:rPr>
                <w:rFonts w:ascii="Arial" w:cs="Arial" w:eastAsia="Arial" w:hAnsi="Arial"/>
                <w:sz w:val="17"/>
                <w:szCs w:val="17"/>
                <w:color w:val="auto"/>
              </w:rPr>
              <w:t>Date: August 4, 2021</w:t>
            </w:r>
          </w:p>
        </w:tc>
      </w:tr>
      <w:tr>
        <w:trPr>
          <w:trHeight w:val="213"/>
        </w:trPr>
        <w:tc>
          <w:tcPr>
            <w:tcW w:w="3760" w:type="dxa"/>
            <w:vAlign w:val="bottom"/>
          </w:tcPr>
          <w:p>
            <w:pPr>
              <w:ind w:left="20"/>
              <w:spacing w:after="0"/>
              <w:rPr>
                <w:sz w:val="20"/>
                <w:szCs w:val="20"/>
                <w:color w:val="auto"/>
              </w:rPr>
            </w:pPr>
            <w:r>
              <w:rPr>
                <w:rFonts w:ascii="Arial" w:cs="Arial" w:eastAsia="Arial" w:hAnsi="Arial"/>
                <w:sz w:val="17"/>
                <w:szCs w:val="17"/>
                <w:color w:val="auto"/>
              </w:rPr>
              <w:t>Brian M. Bonnell</w:t>
            </w:r>
          </w:p>
        </w:tc>
        <w:tc>
          <w:tcPr>
            <w:tcW w:w="180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814"/>
        </w:trPr>
        <w:tc>
          <w:tcPr>
            <w:tcW w:w="3760" w:type="dxa"/>
            <w:vAlign w:val="bottom"/>
          </w:tcPr>
          <w:p>
            <w:pPr>
              <w:spacing w:after="0"/>
              <w:rPr>
                <w:sz w:val="24"/>
                <w:szCs w:val="24"/>
                <w:color w:val="auto"/>
              </w:rPr>
            </w:pPr>
          </w:p>
        </w:tc>
        <w:tc>
          <w:tcPr>
            <w:tcW w:w="7480" w:type="dxa"/>
            <w:vAlign w:val="bottom"/>
            <w:gridSpan w:val="2"/>
          </w:tcPr>
          <w:p>
            <w:pPr>
              <w:jc w:val="right"/>
              <w:ind w:right="5434"/>
              <w:spacing w:after="0"/>
              <w:rPr>
                <w:sz w:val="20"/>
                <w:szCs w:val="20"/>
                <w:color w:val="auto"/>
              </w:rPr>
            </w:pPr>
            <w:r>
              <w:rPr>
                <w:rFonts w:ascii="Arial" w:cs="Arial" w:eastAsia="Arial" w:hAnsi="Arial"/>
                <w:sz w:val="17"/>
                <w:szCs w:val="17"/>
                <w:color w:val="auto"/>
              </w:rPr>
              <w:t>40</w:t>
            </w:r>
          </w:p>
        </w:tc>
      </w:tr>
      <w:tr>
        <w:trPr>
          <w:trHeight w:val="109"/>
        </w:trPr>
        <w:tc>
          <w:tcPr>
            <w:tcW w:w="37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5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4"/>
              </w:rPr>
              <w:t>Exhibit Index</w:t>
            </w:r>
          </w:p>
        </w:tc>
        <w:tc>
          <w:tcPr>
            <w:tcW w:w="560" w:type="dxa"/>
            <w:vAlign w:val="bottom"/>
          </w:tcPr>
          <w:p>
            <w:pPr>
              <w:spacing w:after="0"/>
              <w:rPr>
                <w:sz w:val="16"/>
                <w:szCs w:val="16"/>
                <w:color w:val="auto"/>
              </w:rPr>
            </w:pPr>
          </w:p>
        </w:tc>
        <w:tc>
          <w:tcPr>
            <w:tcW w:w="9240" w:type="dxa"/>
            <w:vAlign w:val="bottom"/>
          </w:tcPr>
          <w:p>
            <w:pPr>
              <w:spacing w:after="0"/>
              <w:rPr>
                <w:sz w:val="16"/>
                <w:szCs w:val="16"/>
                <w:color w:val="auto"/>
              </w:rPr>
            </w:pPr>
          </w:p>
        </w:tc>
      </w:tr>
      <w:tr>
        <w:trPr>
          <w:trHeight w:val="523"/>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2">
              <w:r>
                <w:rPr>
                  <w:rFonts w:ascii="Arial" w:cs="Arial" w:eastAsia="Arial" w:hAnsi="Arial"/>
                  <w:sz w:val="17"/>
                  <w:szCs w:val="17"/>
                  <w:color w:val="0000FF"/>
                </w:rPr>
                <w:t>31.1</w:t>
              </w:r>
            </w:hyperlink>
          </w:p>
        </w:tc>
        <w:tc>
          <w:tcPr>
            <w:tcW w:w="9240" w:type="dxa"/>
            <w:vAlign w:val="bottom"/>
          </w:tcPr>
          <w:p>
            <w:pPr>
              <w:ind w:left="36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3">
              <w:r>
                <w:rPr>
                  <w:rFonts w:ascii="Arial" w:cs="Arial" w:eastAsia="Arial" w:hAnsi="Arial"/>
                  <w:sz w:val="17"/>
                  <w:szCs w:val="17"/>
                  <w:color w:val="0000FF"/>
                </w:rPr>
                <w:t>31.2</w:t>
              </w:r>
            </w:hyperlink>
          </w:p>
        </w:tc>
        <w:tc>
          <w:tcPr>
            <w:tcW w:w="9240" w:type="dxa"/>
            <w:vAlign w:val="bottom"/>
          </w:tcPr>
          <w:p>
            <w:pPr>
              <w:ind w:left="36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4">
              <w:r>
                <w:rPr>
                  <w:rFonts w:ascii="Arial" w:cs="Arial" w:eastAsia="Arial" w:hAnsi="Arial"/>
                  <w:sz w:val="17"/>
                  <w:szCs w:val="17"/>
                  <w:color w:val="0000FF"/>
                </w:rPr>
                <w:t>32.1</w:t>
              </w:r>
            </w:hyperlink>
          </w:p>
        </w:tc>
        <w:tc>
          <w:tcPr>
            <w:tcW w:w="9240" w:type="dxa"/>
            <w:vAlign w:val="bottom"/>
          </w:tcPr>
          <w:p>
            <w:pPr>
              <w:ind w:left="360"/>
              <w:spacing w:after="0"/>
              <w:rPr>
                <w:sz w:val="20"/>
                <w:szCs w:val="20"/>
                <w:color w:val="auto"/>
              </w:rPr>
            </w:pPr>
            <w:r>
              <w:rPr>
                <w:rFonts w:ascii="Arial" w:cs="Arial" w:eastAsia="Arial" w:hAnsi="Arial"/>
                <w:sz w:val="17"/>
                <w:szCs w:val="17"/>
                <w:color w:val="auto"/>
                <w:w w:val="93"/>
              </w:rPr>
              <w:t>Certifications of Chief Executive Officer and Chief Financial Officer pursuant to Section 906 of the Sarbanes-Oxley Act of 2002</w:t>
            </w:r>
          </w:p>
        </w:tc>
      </w:tr>
      <w:tr>
        <w:trPr>
          <w:trHeight w:val="20"/>
        </w:trPr>
        <w:tc>
          <w:tcPr>
            <w:tcW w:w="6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39"/>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101.INS</w:t>
            </w:r>
          </w:p>
        </w:tc>
        <w:tc>
          <w:tcPr>
            <w:tcW w:w="9240" w:type="dxa"/>
            <w:vAlign w:val="bottom"/>
          </w:tcPr>
          <w:p>
            <w:pPr>
              <w:ind w:left="360"/>
              <w:spacing w:after="0"/>
              <w:rPr>
                <w:sz w:val="20"/>
                <w:szCs w:val="20"/>
                <w:color w:val="auto"/>
              </w:rPr>
            </w:pPr>
            <w:r>
              <w:rPr>
                <w:rFonts w:ascii="Arial" w:cs="Arial" w:eastAsia="Arial" w:hAnsi="Arial"/>
                <w:sz w:val="17"/>
                <w:szCs w:val="17"/>
                <w:color w:val="auto"/>
                <w:w w:val="96"/>
              </w:rPr>
              <w:t>XBRL Instance Document - this instance document does not appear in the Interactive Data File because its XBRL tags are</w:t>
            </w:r>
          </w:p>
        </w:tc>
      </w:tr>
      <w:tr>
        <w:trPr>
          <w:trHeight w:val="219"/>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40" w:type="dxa"/>
            <w:vAlign w:val="bottom"/>
          </w:tcPr>
          <w:p>
            <w:pPr>
              <w:ind w:left="360"/>
              <w:spacing w:after="0"/>
              <w:rPr>
                <w:sz w:val="20"/>
                <w:szCs w:val="20"/>
                <w:color w:val="auto"/>
              </w:rPr>
            </w:pPr>
            <w:r>
              <w:rPr>
                <w:rFonts w:ascii="Arial" w:cs="Arial" w:eastAsia="Arial" w:hAnsi="Arial"/>
                <w:sz w:val="17"/>
                <w:szCs w:val="17"/>
                <w:color w:val="auto"/>
              </w:rPr>
              <w:t>embedded within the Inline XBRL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101.SCH</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Schema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101.CAL</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101.DEF</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Definition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101.LAB</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Label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101.PRE</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104</w:t>
            </w:r>
          </w:p>
        </w:tc>
        <w:tc>
          <w:tcPr>
            <w:tcW w:w="9240" w:type="dxa"/>
            <w:vAlign w:val="bottom"/>
          </w:tcPr>
          <w:p>
            <w:pPr>
              <w:ind w:left="36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20"/>
          </w:cols>
          <w:pgMar w:left="320" w:top="849" w:right="75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Vivek Jain, certify that:</w:t>
      </w:r>
    </w:p>
    <w:p>
      <w:pPr>
        <w:spacing w:after="0" w:line="244" w:lineRule="exact"/>
        <w:rPr>
          <w:sz w:val="20"/>
          <w:szCs w:val="20"/>
          <w:color w:val="auto"/>
        </w:rPr>
      </w:pPr>
    </w:p>
    <w:p>
      <w:pPr>
        <w:ind w:left="1240" w:hanging="616"/>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3" w:lineRule="exact"/>
        <w:rPr>
          <w:rFonts w:ascii="Arial" w:cs="Arial" w:eastAsia="Arial" w:hAnsi="Arial"/>
          <w:sz w:val="17"/>
          <w:szCs w:val="17"/>
          <w:color w:val="auto"/>
        </w:rPr>
      </w:pPr>
    </w:p>
    <w:p>
      <w:pPr>
        <w:ind w:left="1240" w:right="40" w:hanging="616"/>
        <w:spacing w:after="0" w:line="268"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1240" w:right="200" w:hanging="616"/>
        <w:spacing w:after="0" w:line="315"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6"/>
          <w:szCs w:val="16"/>
          <w:color w:val="auto"/>
        </w:rPr>
      </w:pPr>
    </w:p>
    <w:p>
      <w:pPr>
        <w:ind w:left="1240" w:right="160" w:hanging="616"/>
        <w:spacing w:after="0" w:line="296" w:lineRule="auto"/>
        <w:tabs>
          <w:tab w:leader="none" w:pos="12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4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1" w:lineRule="exact"/>
        <w:rPr>
          <w:sz w:val="20"/>
          <w:szCs w:val="20"/>
          <w:color w:val="auto"/>
        </w:rPr>
      </w:pPr>
    </w:p>
    <w:p>
      <w:pPr>
        <w:ind w:left="1240" w:right="240" w:hanging="616"/>
        <w:spacing w:after="0" w:line="268" w:lineRule="auto"/>
        <w:tabs>
          <w:tab w:leader="none" w:pos="12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240" w:right="520" w:hanging="616"/>
        <w:spacing w:after="0" w:line="268" w:lineRule="auto"/>
        <w:tabs>
          <w:tab w:leader="none" w:pos="12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240" w:right="680" w:hanging="616"/>
        <w:spacing w:after="0" w:line="353" w:lineRule="auto"/>
        <w:tabs>
          <w:tab w:leader="none" w:pos="12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40" w:right="240" w:hanging="616"/>
        <w:spacing w:after="0" w:line="268" w:lineRule="auto"/>
        <w:tabs>
          <w:tab w:leader="none" w:pos="12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ind w:left="1240" w:right="120" w:hanging="616"/>
        <w:spacing w:after="0" w:line="315" w:lineRule="auto"/>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40" w:right="140" w:hanging="616"/>
        <w:spacing w:after="0" w:line="283" w:lineRule="auto"/>
        <w:tabs>
          <w:tab w:leader="none" w:pos="1232"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240" w:right="100" w:hanging="616"/>
        <w:spacing w:after="0" w:line="277" w:lineRule="auto"/>
        <w:tabs>
          <w:tab w:leader="none" w:pos="12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1440"/>
        <w:spacing w:after="0"/>
        <w:tabs>
          <w:tab w:leader="none" w:pos="6340" w:val="left"/>
        </w:tabs>
        <w:rPr>
          <w:sz w:val="20"/>
          <w:szCs w:val="20"/>
          <w:color w:val="auto"/>
        </w:rPr>
      </w:pPr>
      <w:r>
        <w:rPr>
          <w:rFonts w:ascii="Arial" w:cs="Arial" w:eastAsia="Arial" w:hAnsi="Arial"/>
          <w:sz w:val="17"/>
          <w:szCs w:val="17"/>
          <w:color w:val="auto"/>
        </w:rPr>
        <w:t>Date: August 4, 2021</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15240</wp:posOffset>
            </wp:positionV>
            <wp:extent cx="30930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Brian M. Bonnell, certify that:</w:t>
      </w:r>
    </w:p>
    <w:p>
      <w:pPr>
        <w:spacing w:after="0" w:line="218" w:lineRule="exact"/>
        <w:rPr>
          <w:sz w:val="20"/>
          <w:szCs w:val="20"/>
          <w:color w:val="auto"/>
        </w:rPr>
      </w:pPr>
    </w:p>
    <w:p>
      <w:pPr>
        <w:ind w:left="1100" w:hanging="554"/>
        <w:spacing w:after="0"/>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3" w:lineRule="exact"/>
        <w:rPr>
          <w:rFonts w:ascii="Arial" w:cs="Arial" w:eastAsia="Arial" w:hAnsi="Arial"/>
          <w:sz w:val="17"/>
          <w:szCs w:val="17"/>
          <w:color w:val="auto"/>
        </w:rPr>
      </w:pPr>
    </w:p>
    <w:p>
      <w:pPr>
        <w:jc w:val="both"/>
        <w:ind w:left="1080" w:right="140" w:hanging="534"/>
        <w:spacing w:after="0" w:line="26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1080" w:right="60" w:hanging="534"/>
        <w:spacing w:after="0" w:line="315" w:lineRule="auto"/>
        <w:tabs>
          <w:tab w:leader="none" w:pos="11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6"/>
          <w:szCs w:val="16"/>
          <w:color w:val="auto"/>
        </w:rPr>
      </w:pPr>
    </w:p>
    <w:p>
      <w:pPr>
        <w:ind w:left="1080" w:right="120" w:hanging="534"/>
        <w:spacing w:after="0" w:line="26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ind w:left="1080" w:right="380" w:hanging="534"/>
        <w:spacing w:after="0" w:line="268" w:lineRule="auto"/>
        <w:tabs>
          <w:tab w:leader="none" w:pos="10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080" w:right="80" w:hanging="534"/>
        <w:spacing w:after="0" w:line="268" w:lineRule="auto"/>
        <w:tabs>
          <w:tab w:leader="none" w:pos="10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080" w:right="840" w:hanging="534"/>
        <w:spacing w:after="0" w:line="353" w:lineRule="auto"/>
        <w:tabs>
          <w:tab w:leader="none" w:pos="1071" w:val="left"/>
        </w:tabs>
        <w:numPr>
          <w:ilvl w:val="0"/>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080" w:right="100" w:hanging="534"/>
        <w:spacing w:after="0" w:line="268" w:lineRule="auto"/>
        <w:tabs>
          <w:tab w:leader="none" w:pos="10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ind w:left="1080" w:right="240" w:hanging="534"/>
        <w:spacing w:after="0" w:line="315" w:lineRule="auto"/>
        <w:tabs>
          <w:tab w:leader="none" w:pos="11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080" w:right="300" w:hanging="534"/>
        <w:spacing w:after="0" w:line="283" w:lineRule="auto"/>
        <w:tabs>
          <w:tab w:leader="none" w:pos="10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080" w:right="260" w:hanging="534"/>
        <w:spacing w:after="0" w:line="283" w:lineRule="auto"/>
        <w:tabs>
          <w:tab w:leader="none" w:pos="10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1260"/>
        <w:spacing w:after="0"/>
        <w:tabs>
          <w:tab w:leader="none" w:pos="2280" w:val="left"/>
          <w:tab w:leader="none" w:pos="6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4, 2021</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15240</wp:posOffset>
            </wp:positionV>
            <wp:extent cx="33096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9620"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105410</wp:posOffset>
            </wp:positionV>
            <wp:extent cx="68046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June 30, 2021 as filed with the Securities and Exchange Commission on the date hereof (the “Report”), I, Vivek Jain, Chief Executive Officer of the Company, certify, pursuant to 18 U.S.C. § 1350, as adopted pursuant to § 906 of the Sarbanes-Oxley Act of 2002, that:</w:t>
      </w:r>
    </w:p>
    <w:p>
      <w:pPr>
        <w:spacing w:after="0" w:line="172" w:lineRule="exact"/>
        <w:rPr>
          <w:sz w:val="20"/>
          <w:szCs w:val="20"/>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7"/>
          <w:szCs w:val="17"/>
          <w:color w:val="auto"/>
        </w:rPr>
        <w:t>August 4, 2021</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15240</wp:posOffset>
            </wp:positionV>
            <wp:extent cx="3314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Vivek Jain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June 30, 2021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2" w:lineRule="exact"/>
        <w:rPr>
          <w:sz w:val="20"/>
          <w:szCs w:val="20"/>
          <w:color w:val="auto"/>
        </w:rPr>
      </w:pPr>
    </w:p>
    <w:p>
      <w:pPr>
        <w:ind w:left="300" w:hanging="29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00" w:hanging="29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7"/>
          <w:szCs w:val="17"/>
          <w:color w:val="auto"/>
        </w:rPr>
        <w:t>August 4, 2021</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15240</wp:posOffset>
            </wp:positionV>
            <wp:extent cx="35032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Roman"/>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2021-08-04T16:35:17Z</dcterms:created>
  <dcterms:modified xsi:type="dcterms:W3CDTF">2021-08-04T16:35:17Z</dcterms:modified>
</cp:coreProperties>
</file>