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FORM 10-Q</w:t>
      </w:r>
    </w:p>
    <w:p>
      <w:pPr>
        <w:spacing w:after="0" w:line="176" w:lineRule="exact"/>
        <w:rPr>
          <w:sz w:val="24"/>
          <w:szCs w:val="24"/>
          <w:color w:val="auto"/>
        </w:rPr>
      </w:pPr>
    </w:p>
    <w:p>
      <w:pPr>
        <w:ind w:left="520" w:hanging="500"/>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93" w:lineRule="exact"/>
        <w:rPr>
          <w:sz w:val="24"/>
          <w:szCs w:val="24"/>
          <w:color w:val="auto"/>
        </w:rPr>
      </w:pPr>
    </w:p>
    <w:p>
      <w:pPr>
        <w:ind w:left="4080"/>
        <w:spacing w:after="0"/>
        <w:rPr>
          <w:sz w:val="20"/>
          <w:szCs w:val="20"/>
          <w:color w:val="auto"/>
        </w:rPr>
      </w:pPr>
      <w:r>
        <w:rPr>
          <w:rFonts w:ascii="Arial" w:cs="Arial" w:eastAsia="Arial" w:hAnsi="Arial"/>
          <w:sz w:val="15"/>
          <w:szCs w:val="15"/>
          <w:b w:val="1"/>
          <w:bCs w:val="1"/>
          <w:color w:val="auto"/>
        </w:rPr>
        <w:t>For the quarterly period ended: September 30, 2023</w:t>
      </w:r>
    </w:p>
    <w:p>
      <w:pPr>
        <w:spacing w:after="0" w:line="29" w:lineRule="exact"/>
        <w:rPr>
          <w:sz w:val="24"/>
          <w:szCs w:val="24"/>
          <w:color w:val="auto"/>
        </w:rPr>
      </w:pPr>
    </w:p>
    <w:p>
      <w:pPr>
        <w:ind w:left="5580"/>
        <w:spacing w:after="0"/>
        <w:rPr>
          <w:sz w:val="20"/>
          <w:szCs w:val="20"/>
          <w:color w:val="auto"/>
        </w:rPr>
      </w:pPr>
      <w:r>
        <w:rPr>
          <w:rFonts w:ascii="Arial" w:cs="Arial" w:eastAsia="Arial" w:hAnsi="Arial"/>
          <w:sz w:val="15"/>
          <w:szCs w:val="15"/>
          <w:b w:val="1"/>
          <w:bCs w:val="1"/>
          <w:color w:val="auto"/>
        </w:rPr>
        <w:t>or</w:t>
      </w:r>
    </w:p>
    <w:p>
      <w:pPr>
        <w:spacing w:after="0" w:line="141" w:lineRule="exact"/>
        <w:rPr>
          <w:sz w:val="24"/>
          <w:szCs w:val="24"/>
          <w:color w:val="auto"/>
        </w:rPr>
      </w:pPr>
    </w:p>
    <w:p>
      <w:pPr>
        <w:ind w:left="520" w:hanging="500"/>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847" w:right="339" w:bottom="1440" w:gutter="0" w:footer="0" w:header="0"/>
        </w:sectPr>
      </w:pPr>
    </w:p>
    <w:p>
      <w:pPr>
        <w:spacing w:after="0" w:line="286" w:lineRule="exact"/>
        <w:rPr>
          <w:sz w:val="24"/>
          <w:szCs w:val="24"/>
          <w:color w:val="auto"/>
        </w:rPr>
      </w:pPr>
    </w:p>
    <w:p>
      <w:pPr>
        <w:ind w:left="42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320" w:space="540"/>
            <w:col w:w="4380"/>
          </w:cols>
          <w:pgMar w:left="320" w:top="847"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No.: 001-34634</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ICU MEDICAL,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847" w:right="3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33-0022692</w:t>
      </w:r>
    </w:p>
    <w:p>
      <w:pPr>
        <w:spacing w:after="0" w:line="62" w:lineRule="exact"/>
        <w:rPr>
          <w:sz w:val="24"/>
          <w:szCs w:val="24"/>
          <w:color w:val="auto"/>
        </w:rPr>
      </w:pPr>
    </w:p>
    <w:p>
      <w:pPr>
        <w:sectPr>
          <w:pgSz w:w="11900" w:h="16838" w:orient="portrait"/>
          <w:cols w:equalWidth="0" w:num="2">
            <w:col w:w="7360" w:space="720"/>
            <w:col w:w="3160"/>
          </w:cols>
          <w:pgMar w:left="320" w:top="847"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45"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38" w:orient="portrait"/>
          <w:cols w:equalWidth="0" w:num="2">
            <w:col w:w="7160" w:space="720"/>
            <w:col w:w="3360"/>
          </w:cols>
          <w:pgMar w:left="320" w:top="847" w:right="339" w:bottom="1440" w:gutter="0" w:footer="0" w:header="0"/>
          <w:type w:val="continuous"/>
        </w:sectPr>
      </w:pPr>
    </w:p>
    <w:p>
      <w:pPr>
        <w:spacing w:after="0" w:line="58" w:lineRule="exact"/>
        <w:rPr>
          <w:sz w:val="24"/>
          <w:szCs w:val="24"/>
          <w:color w:val="auto"/>
        </w:rPr>
      </w:pPr>
    </w:p>
    <w:p>
      <w:pPr>
        <w:ind w:left="720"/>
        <w:spacing w:after="0"/>
        <w:rPr>
          <w:sz w:val="20"/>
          <w:szCs w:val="20"/>
          <w:color w:val="auto"/>
        </w:rPr>
      </w:pPr>
      <w:r>
        <w:rPr>
          <w:rFonts w:ascii="Arial" w:cs="Arial" w:eastAsia="Arial" w:hAnsi="Arial"/>
          <w:sz w:val="14"/>
          <w:szCs w:val="14"/>
          <w:b w:val="1"/>
          <w:bCs w:val="1"/>
          <w:color w:val="auto"/>
        </w:rPr>
        <w:t>951 Calle Amanecer ,</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San Clemente</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California</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92673</w:t>
      </w:r>
    </w:p>
    <w:p>
      <w:pPr>
        <w:spacing w:after="0" w:line="62" w:lineRule="exact"/>
        <w:rPr>
          <w:sz w:val="24"/>
          <w:szCs w:val="24"/>
          <w:color w:val="auto"/>
        </w:rPr>
      </w:pPr>
    </w:p>
    <w:p>
      <w:pPr>
        <w:sectPr>
          <w:pgSz w:w="11900" w:h="16838" w:orient="portrait"/>
          <w:cols w:equalWidth="0" w:num="4">
            <w:col w:w="2140" w:space="200"/>
            <w:col w:w="920" w:space="200"/>
            <w:col w:w="4100" w:space="720"/>
            <w:col w:w="2960"/>
          </w:cols>
          <w:pgMar w:left="320" w:top="847" w:right="339" w:bottom="1440" w:gutter="0" w:footer="0" w:header="0"/>
          <w:type w:val="continuous"/>
        </w:sectPr>
      </w:pPr>
    </w:p>
    <w:p>
      <w:pPr>
        <w:ind w:left="158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04" w:lineRule="exact"/>
        <w:rPr>
          <w:sz w:val="24"/>
          <w:szCs w:val="24"/>
          <w:color w:val="auto"/>
        </w:rPr>
      </w:pPr>
    </w:p>
    <w:p>
      <w:pPr>
        <w:sectPr>
          <w:pgSz w:w="11900" w:h="16838" w:orient="portrait"/>
          <w:cols w:equalWidth="0" w:num="2">
            <w:col w:w="7400" w:space="720"/>
            <w:col w:w="3120"/>
          </w:cols>
          <w:pgMar w:left="320" w:top="847" w:right="33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(949) 366-2183</w:t>
      </w:r>
    </w:p>
    <w:p>
      <w:pPr>
        <w:sectPr>
          <w:pgSz w:w="11900" w:h="16838" w:orient="portrait"/>
          <w:cols w:equalWidth="0" w:num="1">
            <w:col w:w="11240"/>
          </w:cols>
          <w:pgMar w:left="320" w:top="847" w:right="339" w:bottom="1440" w:gutter="0" w:footer="0" w:header="0"/>
          <w:type w:val="continuous"/>
        </w:sectPr>
      </w:pPr>
    </w:p>
    <w:p>
      <w:pPr>
        <w:spacing w:after="0" w:line="4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620" w:type="dxa"/>
            <w:vAlign w:val="bottom"/>
            <w:gridSpan w:val="2"/>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24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312"/>
        </w:trPr>
        <w:tc>
          <w:tcPr>
            <w:tcW w:w="340" w:type="dxa"/>
            <w:vAlign w:val="bottom"/>
          </w:tcPr>
          <w:p>
            <w:pPr>
              <w:spacing w:after="0"/>
              <w:rPr>
                <w:sz w:val="24"/>
                <w:szCs w:val="24"/>
                <w:color w:val="auto"/>
              </w:rPr>
            </w:pPr>
          </w:p>
        </w:tc>
        <w:tc>
          <w:tcPr>
            <w:tcW w:w="4280" w:type="dxa"/>
            <w:vAlign w:val="bottom"/>
            <w:tcBorders>
              <w:bottom w:val="single" w:sz="8" w:color="auto"/>
            </w:tcBorders>
          </w:tcPr>
          <w:p>
            <w:pPr>
              <w:jc w:val="center"/>
              <w:ind w:left="383"/>
              <w:spacing w:after="0"/>
              <w:rPr>
                <w:sz w:val="20"/>
                <w:szCs w:val="20"/>
                <w:color w:val="auto"/>
              </w:rPr>
            </w:pPr>
            <w:r>
              <w:rPr>
                <w:rFonts w:ascii="Arial" w:cs="Arial" w:eastAsia="Arial" w:hAnsi="Arial"/>
                <w:sz w:val="15"/>
                <w:szCs w:val="15"/>
                <w:b w:val="1"/>
                <w:bCs w:val="1"/>
                <w:color w:val="auto"/>
                <w:w w:val="91"/>
              </w:rPr>
              <w:t>Title of each class</w:t>
            </w:r>
          </w:p>
        </w:tc>
        <w:tc>
          <w:tcPr>
            <w:tcW w:w="2240" w:type="dxa"/>
            <w:vAlign w:val="bottom"/>
            <w:tcBorders>
              <w:bottom w:val="single" w:sz="8" w:color="auto"/>
            </w:tcBorders>
          </w:tcPr>
          <w:p>
            <w:pPr>
              <w:jc w:val="center"/>
              <w:ind w:left="3"/>
              <w:spacing w:after="0"/>
              <w:rPr>
                <w:sz w:val="20"/>
                <w:szCs w:val="20"/>
                <w:color w:val="auto"/>
              </w:rPr>
            </w:pPr>
            <w:r>
              <w:rPr>
                <w:rFonts w:ascii="Arial" w:cs="Arial" w:eastAsia="Arial" w:hAnsi="Arial"/>
                <w:sz w:val="15"/>
                <w:szCs w:val="15"/>
                <w:b w:val="1"/>
                <w:bCs w:val="1"/>
                <w:color w:val="auto"/>
                <w:w w:val="95"/>
              </w:rPr>
              <w:t>Trading Symbol</w:t>
            </w:r>
          </w:p>
        </w:tc>
        <w:tc>
          <w:tcPr>
            <w:tcW w:w="4380" w:type="dxa"/>
            <w:vAlign w:val="bottom"/>
            <w:tcBorders>
              <w:bottom w:val="single" w:sz="8" w:color="auto"/>
            </w:tcBorders>
          </w:tcPr>
          <w:p>
            <w:pPr>
              <w:jc w:val="center"/>
              <w:ind w:right="323"/>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22"/>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80" w:type="dxa"/>
            <w:vAlign w:val="bottom"/>
          </w:tcPr>
          <w:p>
            <w:pPr>
              <w:jc w:val="center"/>
              <w:ind w:right="323"/>
              <w:spacing w:after="0"/>
              <w:rPr>
                <w:sz w:val="20"/>
                <w:szCs w:val="20"/>
                <w:color w:val="auto"/>
              </w:rPr>
            </w:pPr>
            <w:r>
              <w:rPr>
                <w:rFonts w:ascii="Arial" w:cs="Arial" w:eastAsia="Arial" w:hAnsi="Arial"/>
                <w:sz w:val="15"/>
                <w:szCs w:val="15"/>
                <w:color w:val="auto"/>
                <w:w w:val="94"/>
              </w:rPr>
              <w:t>The Nasdaq Stock Market LLC</w:t>
            </w:r>
          </w:p>
        </w:tc>
      </w:tr>
      <w:tr>
        <w:trPr>
          <w:trHeight w:val="245"/>
        </w:trPr>
        <w:tc>
          <w:tcPr>
            <w:tcW w:w="340" w:type="dxa"/>
            <w:vAlign w:val="bottom"/>
          </w:tcPr>
          <w:p>
            <w:pPr>
              <w:spacing w:after="0"/>
              <w:rPr>
                <w:sz w:val="21"/>
                <w:szCs w:val="21"/>
                <w:color w:val="auto"/>
              </w:rPr>
            </w:pPr>
          </w:p>
        </w:tc>
        <w:tc>
          <w:tcPr>
            <w:tcW w:w="4280" w:type="dxa"/>
            <w:vAlign w:val="bottom"/>
          </w:tcPr>
          <w:p>
            <w:pPr>
              <w:jc w:val="center"/>
              <w:ind w:left="383"/>
              <w:spacing w:after="0"/>
              <w:rPr>
                <w:sz w:val="20"/>
                <w:szCs w:val="20"/>
                <w:color w:val="auto"/>
              </w:rPr>
            </w:pPr>
            <w:r>
              <w:rPr>
                <w:rFonts w:ascii="Arial" w:cs="Arial" w:eastAsia="Arial" w:hAnsi="Arial"/>
                <w:sz w:val="15"/>
                <w:szCs w:val="15"/>
                <w:color w:val="auto"/>
                <w:w w:val="92"/>
              </w:rPr>
              <w:t>Common stock, par value $0.10 per share</w:t>
            </w:r>
          </w:p>
        </w:tc>
        <w:tc>
          <w:tcPr>
            <w:tcW w:w="2240" w:type="dxa"/>
            <w:vAlign w:val="bottom"/>
          </w:tcPr>
          <w:p>
            <w:pPr>
              <w:jc w:val="center"/>
              <w:ind w:left="3"/>
              <w:spacing w:after="0"/>
              <w:rPr>
                <w:sz w:val="20"/>
                <w:szCs w:val="20"/>
                <w:color w:val="auto"/>
              </w:rPr>
            </w:pPr>
            <w:r>
              <w:rPr>
                <w:rFonts w:ascii="Arial" w:cs="Arial" w:eastAsia="Arial" w:hAnsi="Arial"/>
                <w:sz w:val="15"/>
                <w:szCs w:val="15"/>
                <w:color w:val="auto"/>
              </w:rPr>
              <w:t>ICUI</w:t>
            </w:r>
          </w:p>
        </w:tc>
        <w:tc>
          <w:tcPr>
            <w:tcW w:w="4380" w:type="dxa"/>
            <w:vAlign w:val="bottom"/>
          </w:tcPr>
          <w:p>
            <w:pPr>
              <w:jc w:val="center"/>
              <w:ind w:right="323"/>
              <w:spacing w:after="0"/>
              <w:rPr>
                <w:sz w:val="20"/>
                <w:szCs w:val="20"/>
                <w:color w:val="auto"/>
              </w:rPr>
            </w:pPr>
            <w:r>
              <w:rPr>
                <w:rFonts w:ascii="Arial" w:cs="Arial" w:eastAsia="Arial" w:hAnsi="Arial"/>
                <w:sz w:val="15"/>
                <w:szCs w:val="15"/>
                <w:color w:val="auto"/>
                <w:w w:val="95"/>
              </w:rPr>
              <w:t>(Global Select Market)</w:t>
            </w:r>
          </w:p>
        </w:tc>
      </w:tr>
    </w:tbl>
    <w:p>
      <w:pPr>
        <w:spacing w:after="0" w:line="268" w:lineRule="exact"/>
        <w:rPr>
          <w:sz w:val="24"/>
          <w:szCs w:val="24"/>
          <w:color w:val="auto"/>
        </w:rPr>
      </w:pPr>
    </w:p>
    <w:p>
      <w:pPr>
        <w:jc w:val="both"/>
        <w:ind w:right="20" w:firstLine="309"/>
        <w:spacing w:after="0" w:line="32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4" w:lineRule="exact"/>
        <w:rPr>
          <w:sz w:val="24"/>
          <w:szCs w:val="24"/>
          <w:color w:val="auto"/>
        </w:rPr>
      </w:pPr>
    </w:p>
    <w:p>
      <w:pPr>
        <w:ind w:right="580" w:firstLine="309"/>
        <w:spacing w:after="0" w:line="340"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8" w:lineRule="exact"/>
        <w:rPr>
          <w:sz w:val="24"/>
          <w:szCs w:val="24"/>
          <w:color w:val="auto"/>
        </w:rPr>
      </w:pPr>
    </w:p>
    <w:p>
      <w:pPr>
        <w:ind w:right="340" w:firstLine="309"/>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840" w:type="dxa"/>
        <w:tblCellMar>
          <w:top w:w="0" w:type="dxa"/>
          <w:left w:w="0" w:type="dxa"/>
          <w:bottom w:w="0" w:type="dxa"/>
          <w:right w:w="0" w:type="dxa"/>
        </w:tblCellMar>
      </w:tblPr>
      <w:tr>
        <w:trPr>
          <w:trHeight w:val="271"/>
        </w:trPr>
        <w:tc>
          <w:tcPr>
            <w:tcW w:w="2020" w:type="dxa"/>
            <w:vAlign w:val="bottom"/>
          </w:tcPr>
          <w:p>
            <w:pPr>
              <w:jc w:val="center"/>
              <w:ind w:right="543"/>
              <w:spacing w:after="0"/>
              <w:rPr>
                <w:sz w:val="20"/>
                <w:szCs w:val="20"/>
                <w:color w:val="auto"/>
              </w:rPr>
            </w:pPr>
            <w:r>
              <w:rPr>
                <w:rFonts w:ascii="Arial" w:cs="Arial" w:eastAsia="Arial" w:hAnsi="Arial"/>
                <w:sz w:val="15"/>
                <w:szCs w:val="15"/>
                <w:color w:val="auto"/>
                <w:w w:val="94"/>
              </w:rPr>
              <w:t>Large accelerated filer</w:t>
            </w:r>
          </w:p>
        </w:tc>
        <w:tc>
          <w:tcPr>
            <w:tcW w:w="2740" w:type="dxa"/>
            <w:vAlign w:val="bottom"/>
          </w:tcPr>
          <w:p>
            <w:pPr>
              <w:jc w:val="center"/>
              <w:ind w:right="1258"/>
              <w:spacing w:after="0"/>
              <w:rPr>
                <w:sz w:val="20"/>
                <w:szCs w:val="20"/>
                <w:color w:val="auto"/>
              </w:rPr>
            </w:pPr>
            <w:r>
              <w:rPr>
                <w:rFonts w:ascii="Arial" w:cs="Arial" w:eastAsia="Arial" w:hAnsi="Arial"/>
                <w:sz w:val="15"/>
                <w:szCs w:val="15"/>
                <w:color w:val="auto"/>
              </w:rPr>
              <w:t>x</w:t>
            </w:r>
          </w:p>
        </w:tc>
        <w:tc>
          <w:tcPr>
            <w:tcW w:w="4380" w:type="dxa"/>
            <w:vAlign w:val="bottom"/>
          </w:tcPr>
          <w:p>
            <w:pPr>
              <w:jc w:val="center"/>
              <w:ind w:left="1143"/>
              <w:spacing w:after="0"/>
              <w:rPr>
                <w:sz w:val="20"/>
                <w:szCs w:val="20"/>
                <w:color w:val="auto"/>
              </w:rPr>
            </w:pPr>
            <w:r>
              <w:rPr>
                <w:rFonts w:ascii="Arial" w:cs="Arial" w:eastAsia="Arial" w:hAnsi="Arial"/>
                <w:sz w:val="15"/>
                <w:szCs w:val="15"/>
                <w:color w:val="auto"/>
                <w:w w:val="96"/>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jc w:val="center"/>
              <w:ind w:right="543"/>
              <w:spacing w:after="0"/>
              <w:rPr>
                <w:sz w:val="20"/>
                <w:szCs w:val="20"/>
                <w:color w:val="auto"/>
              </w:rPr>
            </w:pPr>
            <w:r>
              <w:rPr>
                <w:rFonts w:ascii="Arial" w:cs="Arial" w:eastAsia="Arial" w:hAnsi="Arial"/>
                <w:sz w:val="15"/>
                <w:szCs w:val="15"/>
                <w:color w:val="auto"/>
                <w:w w:val="95"/>
              </w:rPr>
              <w:t>Non-accelerated filer</w:t>
            </w:r>
          </w:p>
        </w:tc>
        <w:tc>
          <w:tcPr>
            <w:tcW w:w="2740" w:type="dxa"/>
            <w:vAlign w:val="bottom"/>
          </w:tcPr>
          <w:p>
            <w:pPr>
              <w:jc w:val="center"/>
              <w:ind w:right="1258"/>
              <w:spacing w:after="0" w:line="171" w:lineRule="exact"/>
              <w:rPr>
                <w:sz w:val="20"/>
                <w:szCs w:val="20"/>
                <w:color w:val="auto"/>
              </w:rPr>
            </w:pPr>
            <w:r>
              <w:rPr>
                <w:rFonts w:ascii="MS PGothic" w:cs="MS PGothic" w:eastAsia="MS PGothic" w:hAnsi="MS PGothic"/>
                <w:sz w:val="17"/>
                <w:szCs w:val="17"/>
                <w:color w:val="auto"/>
                <w:w w:val="93"/>
              </w:rPr>
              <w:t>☐</w:t>
            </w:r>
          </w:p>
        </w:tc>
        <w:tc>
          <w:tcPr>
            <w:tcW w:w="4380" w:type="dxa"/>
            <w:vAlign w:val="bottom"/>
          </w:tcPr>
          <w:p>
            <w:pPr>
              <w:jc w:val="center"/>
              <w:ind w:left="1123"/>
              <w:spacing w:after="0"/>
              <w:rPr>
                <w:sz w:val="20"/>
                <w:szCs w:val="20"/>
                <w:color w:val="auto"/>
              </w:rPr>
            </w:pPr>
            <w:r>
              <w:rPr>
                <w:rFonts w:ascii="Arial" w:cs="Arial" w:eastAsia="Arial" w:hAnsi="Arial"/>
                <w:sz w:val="15"/>
                <w:szCs w:val="15"/>
                <w:color w:val="auto"/>
                <w:w w:val="94"/>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380" w:type="dxa"/>
            <w:vAlign w:val="bottom"/>
          </w:tcPr>
          <w:p>
            <w:pPr>
              <w:jc w:val="center"/>
              <w:ind w:left="1143"/>
              <w:spacing w:after="0"/>
              <w:rPr>
                <w:sz w:val="20"/>
                <w:szCs w:val="20"/>
                <w:color w:val="auto"/>
              </w:rPr>
            </w:pPr>
            <w:r>
              <w:rPr>
                <w:rFonts w:ascii="Arial" w:cs="Arial" w:eastAsia="Arial" w:hAnsi="Arial"/>
                <w:sz w:val="15"/>
                <w:szCs w:val="15"/>
                <w:color w:val="auto"/>
                <w:w w:val="94"/>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6" w:lineRule="exact"/>
        <w:rPr>
          <w:sz w:val="24"/>
          <w:szCs w:val="24"/>
          <w:color w:val="auto"/>
        </w:rPr>
      </w:pPr>
    </w:p>
    <w:p>
      <w:pPr>
        <w:ind w:right="140" w:firstLine="348"/>
        <w:spacing w:after="0" w:line="283"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0" w:lineRule="exact"/>
        <w:rPr>
          <w:sz w:val="24"/>
          <w:szCs w:val="24"/>
          <w:color w:val="auto"/>
        </w:rPr>
      </w:pPr>
    </w:p>
    <w:p>
      <w:pPr>
        <w:ind w:left="320"/>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x</w:t>
      </w:r>
    </w:p>
    <w:p>
      <w:pPr>
        <w:spacing w:after="0" w:line="369" w:lineRule="exact"/>
        <w:rPr>
          <w:sz w:val="24"/>
          <w:szCs w:val="24"/>
          <w:color w:val="auto"/>
        </w:rPr>
      </w:pPr>
    </w:p>
    <w:p>
      <w:pPr>
        <w:ind w:left="32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611505</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1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Class</w:t>
            </w:r>
          </w:p>
        </w:tc>
        <w:tc>
          <w:tcPr>
            <w:tcW w:w="13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Outstanding at October 31, 2023</w:t>
            </w: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140" w:type="dxa"/>
            <w:vAlign w:val="bottom"/>
            <w:gridSpan w:val="2"/>
          </w:tcPr>
          <w:p>
            <w:pPr>
              <w:jc w:val="center"/>
              <w:ind w:right="1400"/>
              <w:spacing w:after="0"/>
              <w:rPr>
                <w:sz w:val="20"/>
                <w:szCs w:val="20"/>
                <w:color w:val="auto"/>
              </w:rPr>
            </w:pPr>
            <w:r>
              <w:rPr>
                <w:rFonts w:ascii="Arial" w:cs="Arial" w:eastAsia="Arial" w:hAnsi="Arial"/>
                <w:sz w:val="15"/>
                <w:szCs w:val="15"/>
                <w:color w:val="auto"/>
                <w:w w:val="95"/>
              </w:rPr>
              <w:t>Common</w:t>
            </w:r>
          </w:p>
        </w:tc>
        <w:tc>
          <w:tcPr>
            <w:tcW w:w="4760" w:type="dxa"/>
            <w:vAlign w:val="bottom"/>
          </w:tcPr>
          <w:p>
            <w:pPr>
              <w:jc w:val="right"/>
              <w:ind w:right="1963"/>
              <w:spacing w:after="0"/>
              <w:rPr>
                <w:sz w:val="20"/>
                <w:szCs w:val="20"/>
                <w:color w:val="auto"/>
              </w:rPr>
            </w:pPr>
            <w:r>
              <w:rPr>
                <w:rFonts w:ascii="Arial" w:cs="Arial" w:eastAsia="Arial" w:hAnsi="Arial"/>
                <w:sz w:val="15"/>
                <w:szCs w:val="15"/>
                <w:color w:val="auto"/>
              </w:rPr>
              <w:t>24,140,076</w:t>
            </w:r>
          </w:p>
        </w:tc>
        <w:tc>
          <w:tcPr>
            <w:tcW w:w="160" w:type="dxa"/>
            <w:vAlign w:val="bottom"/>
          </w:tcPr>
          <w:p>
            <w:pPr>
              <w:spacing w:after="0"/>
              <w:rPr>
                <w:sz w:val="17"/>
                <w:szCs w:val="17"/>
                <w:color w:val="auto"/>
              </w:rPr>
            </w:pPr>
          </w:p>
        </w:tc>
      </w:tr>
      <w:tr>
        <w:trPr>
          <w:trHeight w:val="862"/>
        </w:trPr>
        <w:tc>
          <w:tcPr>
            <w:tcW w:w="1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4"/>
          </w:tcPr>
          <w:p>
            <w:pPr>
              <w:ind w:left="340"/>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91"/>
              </w:rPr>
              <w:t>Forward Looking Statements</w:t>
            </w:r>
          </w:p>
        </w:tc>
        <w:tc>
          <w:tcPr>
            <w:tcW w:w="5940" w:type="dxa"/>
            <w:vAlign w:val="bottom"/>
            <w:gridSpan w:val="11"/>
          </w:tcPr>
          <w:p>
            <w:pPr>
              <w:spacing w:after="0"/>
              <w:rPr>
                <w:sz w:val="17"/>
                <w:szCs w:val="17"/>
                <w:color w:val="auto"/>
              </w:rPr>
            </w:pPr>
          </w:p>
        </w:tc>
        <w:tc>
          <w:tcPr>
            <w:tcW w:w="13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5"/>
              </w:rPr>
              <w:t>PART I.</w:t>
            </w:r>
          </w:p>
        </w:tc>
        <w:tc>
          <w:tcPr>
            <w:tcW w:w="1220" w:type="dxa"/>
            <w:vAlign w:val="bottom"/>
            <w:gridSpan w:val="2"/>
          </w:tcPr>
          <w:p>
            <w:pPr>
              <w:spacing w:after="0"/>
              <w:rPr>
                <w:sz w:val="17"/>
                <w:szCs w:val="17"/>
                <w:color w:val="auto"/>
              </w:rPr>
            </w:pPr>
          </w:p>
        </w:tc>
        <w:tc>
          <w:tcPr>
            <w:tcW w:w="162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b w:val="1"/>
                <w:bCs w:val="1"/>
                <w:color w:val="0000FF"/>
                <w:w w:val="93"/>
              </w:rPr>
              <w:t>Financial Information</w:t>
            </w:r>
          </w:p>
        </w:tc>
        <w:tc>
          <w:tcPr>
            <w:tcW w:w="6320" w:type="dxa"/>
            <w:vAlign w:val="bottom"/>
            <w:gridSpan w:val="13"/>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1.</w:t>
            </w:r>
          </w:p>
        </w:tc>
        <w:tc>
          <w:tcPr>
            <w:tcW w:w="7940" w:type="dxa"/>
            <w:vAlign w:val="bottom"/>
            <w:gridSpan w:val="22"/>
          </w:tcPr>
          <w:p>
            <w:pPr>
              <w:spacing w:after="0"/>
              <w:rPr>
                <w:sz w:val="20"/>
                <w:szCs w:val="20"/>
                <w:color w:val="auto"/>
              </w:rPr>
            </w:pPr>
            <w:r>
              <w:rPr>
                <w:rFonts w:ascii="Arial" w:cs="Arial" w:eastAsia="Arial" w:hAnsi="Arial"/>
                <w:sz w:val="17"/>
                <w:szCs w:val="17"/>
                <w:color w:val="0000FF"/>
              </w:rPr>
              <w:t>Financial Statements (Unaudited)</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40" w:type="dxa"/>
            <w:vAlign w:val="bottom"/>
            <w:gridSpan w:val="21"/>
          </w:tcPr>
          <w:p>
            <w:pPr>
              <w:spacing w:after="0"/>
              <w:rPr>
                <w:sz w:val="20"/>
                <w:szCs w:val="20"/>
                <w:color w:val="auto"/>
              </w:rPr>
            </w:pPr>
            <w:r>
              <w:rPr>
                <w:rFonts w:ascii="Arial" w:cs="Arial" w:eastAsia="Arial" w:hAnsi="Arial"/>
                <w:sz w:val="17"/>
                <w:szCs w:val="17"/>
                <w:color w:val="0000FF"/>
              </w:rPr>
              <w:t>Condensed Consolidated Balance Sheets at September 30, 2023 and December 31, 2022</w:t>
            </w:r>
          </w:p>
        </w:tc>
        <w:tc>
          <w:tcPr>
            <w:tcW w:w="1440" w:type="dxa"/>
            <w:vAlign w:val="bottom"/>
            <w:gridSpan w:val="4"/>
          </w:tcPr>
          <w:p>
            <w:pPr>
              <w:jc w:val="right"/>
              <w:ind w:right="20"/>
              <w:spacing w:after="0"/>
              <w:rPr>
                <w:sz w:val="20"/>
                <w:szCs w:val="20"/>
                <w:color w:val="auto"/>
              </w:rPr>
            </w:pPr>
            <w:r>
              <w:rPr>
                <w:rFonts w:ascii="Arial" w:cs="Arial" w:eastAsia="Arial" w:hAnsi="Arial"/>
                <w:sz w:val="17"/>
                <w:szCs w:val="17"/>
                <w:color w:val="0000FF"/>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40" w:type="dxa"/>
            <w:vAlign w:val="bottom"/>
            <w:gridSpan w:val="21"/>
          </w:tcPr>
          <w:p>
            <w:pPr>
              <w:spacing w:after="0"/>
              <w:rPr>
                <w:sz w:val="20"/>
                <w:szCs w:val="20"/>
                <w:color w:val="auto"/>
              </w:rPr>
            </w:pPr>
            <w:r>
              <w:rPr>
                <w:rFonts w:ascii="Arial" w:cs="Arial" w:eastAsia="Arial" w:hAnsi="Arial"/>
                <w:sz w:val="17"/>
                <w:szCs w:val="17"/>
                <w:color w:val="0000FF"/>
                <w:w w:val="98"/>
              </w:rPr>
              <w:t>Condensed Consolidated Statements of Operations for the Three and Nine Months Ended September 30,</w:t>
            </w:r>
          </w:p>
        </w:tc>
        <w:tc>
          <w:tcPr>
            <w:tcW w:w="132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0000FF"/>
                <w:w w:val="84"/>
              </w:rPr>
              <w:t>5</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0000FF"/>
              <w:bottom w:val="single" w:sz="8" w:color="0000FF"/>
            </w:tcBorders>
            <w:gridSpan w:val="4"/>
          </w:tcPr>
          <w:p>
            <w:pPr>
              <w:spacing w:after="0" w:line="135" w:lineRule="exact"/>
              <w:rPr>
                <w:sz w:val="20"/>
                <w:szCs w:val="20"/>
                <w:color w:val="auto"/>
              </w:rPr>
            </w:pPr>
            <w:r>
              <w:rPr>
                <w:rFonts w:ascii="Arial" w:cs="Arial" w:eastAsia="Arial" w:hAnsi="Arial"/>
                <w:sz w:val="15"/>
                <w:szCs w:val="15"/>
                <w:color w:val="0000FF"/>
                <w:w w:val="99"/>
              </w:rPr>
              <w:t>2023 and 2022</w:t>
            </w:r>
          </w:p>
        </w:tc>
        <w:tc>
          <w:tcPr>
            <w:tcW w:w="6160" w:type="dxa"/>
            <w:vAlign w:val="bottom"/>
            <w:tcBorders>
              <w:top w:val="single" w:sz="8" w:color="0000FF"/>
            </w:tcBorders>
            <w:gridSpan w:val="14"/>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40" w:type="dxa"/>
            <w:vAlign w:val="bottom"/>
            <w:gridSpan w:val="21"/>
          </w:tcPr>
          <w:p>
            <w:pPr>
              <w:spacing w:after="0"/>
              <w:rPr>
                <w:sz w:val="20"/>
                <w:szCs w:val="20"/>
                <w:color w:val="auto"/>
              </w:rPr>
            </w:pPr>
            <w:r>
              <w:rPr>
                <w:rFonts w:ascii="Arial" w:cs="Arial" w:eastAsia="Arial" w:hAnsi="Arial"/>
                <w:sz w:val="17"/>
                <w:szCs w:val="17"/>
                <w:color w:val="0000FF"/>
                <w:w w:val="94"/>
              </w:rPr>
              <w:t>Condensed Consolidated Statements of Comprehensive Income (Loss) for the Three and Nine Months Ended</w:t>
            </w:r>
          </w:p>
        </w:tc>
        <w:tc>
          <w:tcPr>
            <w:tcW w:w="132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0000FF"/>
                <w:w w:val="84"/>
              </w:rPr>
              <w:t>6</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11"/>
          </w:tcPr>
          <w:p>
            <w:pPr>
              <w:spacing w:after="0" w:line="135" w:lineRule="exact"/>
              <w:rPr>
                <w:sz w:val="20"/>
                <w:szCs w:val="20"/>
                <w:color w:val="auto"/>
              </w:rPr>
            </w:pPr>
            <w:r>
              <w:rPr>
                <w:rFonts w:ascii="Arial" w:cs="Arial" w:eastAsia="Arial" w:hAnsi="Arial"/>
                <w:sz w:val="15"/>
                <w:szCs w:val="15"/>
                <w:color w:val="0000FF"/>
              </w:rPr>
              <w:t>September 30, 2023 and 2022</w:t>
            </w:r>
          </w:p>
        </w:tc>
        <w:tc>
          <w:tcPr>
            <w:tcW w:w="5440" w:type="dxa"/>
            <w:vAlign w:val="bottom"/>
            <w:tcBorders>
              <w:top w:val="single" w:sz="8" w:color="0000FF"/>
            </w:tcBorders>
            <w:gridSpan w:val="9"/>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4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Stockholders' Equity for the Three and Nine Months Ended</w:t>
            </w:r>
          </w:p>
        </w:tc>
        <w:tc>
          <w:tcPr>
            <w:tcW w:w="1320" w:type="dxa"/>
            <w:vAlign w:val="bottom"/>
            <w:gridSpan w:val="2"/>
            <w:vMerge w:val="restart"/>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0000FF"/>
                <w:w w:val="84"/>
              </w:rPr>
              <w:t>7</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11"/>
          </w:tcPr>
          <w:p>
            <w:pPr>
              <w:spacing w:after="0" w:line="135" w:lineRule="exact"/>
              <w:rPr>
                <w:sz w:val="20"/>
                <w:szCs w:val="20"/>
                <w:color w:val="auto"/>
              </w:rPr>
            </w:pPr>
            <w:r>
              <w:rPr>
                <w:rFonts w:ascii="Arial" w:cs="Arial" w:eastAsia="Arial" w:hAnsi="Arial"/>
                <w:sz w:val="15"/>
                <w:szCs w:val="15"/>
                <w:color w:val="0000FF"/>
              </w:rPr>
              <w:t>September 30, 2023 and 2022</w:t>
            </w:r>
          </w:p>
        </w:tc>
        <w:tc>
          <w:tcPr>
            <w:tcW w:w="4760" w:type="dxa"/>
            <w:vAlign w:val="bottom"/>
            <w:tcBorders>
              <w:top w:val="single" w:sz="8" w:color="0000FF"/>
            </w:tcBorders>
            <w:gridSpan w:val="6"/>
          </w:tcPr>
          <w:p>
            <w:pPr>
              <w:spacing w:after="0"/>
              <w:rPr>
                <w:sz w:val="14"/>
                <w:szCs w:val="14"/>
                <w:color w:val="auto"/>
              </w:rPr>
            </w:pPr>
          </w:p>
        </w:tc>
        <w:tc>
          <w:tcPr>
            <w:tcW w:w="420" w:type="dxa"/>
            <w:vAlign w:val="bottom"/>
            <w:gridSpan w:val="2"/>
          </w:tcPr>
          <w:p>
            <w:pPr>
              <w:spacing w:after="0"/>
              <w:rPr>
                <w:sz w:val="14"/>
                <w:szCs w:val="14"/>
                <w:color w:val="auto"/>
              </w:rPr>
            </w:pPr>
          </w:p>
        </w:tc>
        <w:tc>
          <w:tcPr>
            <w:tcW w:w="600" w:type="dxa"/>
            <w:vAlign w:val="bottom"/>
            <w:gridSpan w:val="2"/>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40" w:type="dxa"/>
            <w:vAlign w:val="bottom"/>
            <w:gridSpan w:val="21"/>
          </w:tcPr>
          <w:p>
            <w:pPr>
              <w:spacing w:after="0"/>
              <w:rPr>
                <w:sz w:val="20"/>
                <w:szCs w:val="20"/>
                <w:color w:val="auto"/>
              </w:rPr>
            </w:pPr>
            <w:r>
              <w:rPr>
                <w:rFonts w:ascii="Arial" w:cs="Arial" w:eastAsia="Arial" w:hAnsi="Arial"/>
                <w:sz w:val="17"/>
                <w:szCs w:val="17"/>
                <w:color w:val="0000FF"/>
                <w:w w:val="97"/>
              </w:rPr>
              <w:t>Condensed Consolidated Statements of Cash Flows for the Three and Nine Months Ended September 30,</w:t>
            </w:r>
          </w:p>
        </w:tc>
        <w:tc>
          <w:tcPr>
            <w:tcW w:w="1320" w:type="dxa"/>
            <w:vAlign w:val="bottom"/>
            <w:gridSpan w:val="2"/>
            <w:vMerge w:val="restart"/>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0000FF"/>
                <w:w w:val="84"/>
              </w:rPr>
              <w:t>9</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5"/>
          </w:tcPr>
          <w:p>
            <w:pPr>
              <w:spacing w:after="0" w:line="135" w:lineRule="exact"/>
              <w:rPr>
                <w:sz w:val="20"/>
                <w:szCs w:val="20"/>
                <w:color w:val="auto"/>
              </w:rPr>
            </w:pPr>
            <w:r>
              <w:rPr>
                <w:rFonts w:ascii="Arial" w:cs="Arial" w:eastAsia="Arial" w:hAnsi="Arial"/>
                <w:sz w:val="15"/>
                <w:szCs w:val="15"/>
                <w:color w:val="0000FF"/>
              </w:rPr>
              <w:t>2023 and 2022</w:t>
            </w:r>
          </w:p>
        </w:tc>
        <w:tc>
          <w:tcPr>
            <w:tcW w:w="6100" w:type="dxa"/>
            <w:vAlign w:val="bottom"/>
            <w:tcBorders>
              <w:top w:val="single" w:sz="8" w:color="0000FF"/>
            </w:tcBorders>
            <w:gridSpan w:val="14"/>
          </w:tcPr>
          <w:p>
            <w:pPr>
              <w:spacing w:after="0"/>
              <w:rPr>
                <w:sz w:val="13"/>
                <w:szCs w:val="13"/>
                <w:color w:val="auto"/>
              </w:rPr>
            </w:pPr>
          </w:p>
        </w:tc>
        <w:tc>
          <w:tcPr>
            <w:tcW w:w="600" w:type="dxa"/>
            <w:vAlign w:val="bottom"/>
            <w:gridSpan w:val="2"/>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40" w:type="dxa"/>
            <w:vAlign w:val="bottom"/>
            <w:gridSpan w:val="21"/>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1440" w:type="dxa"/>
            <w:vAlign w:val="bottom"/>
            <w:gridSpan w:val="4"/>
          </w:tcPr>
          <w:p>
            <w:pPr>
              <w:jc w:val="right"/>
              <w:ind w:right="20"/>
              <w:spacing w:after="0"/>
              <w:rPr>
                <w:sz w:val="20"/>
                <w:szCs w:val="20"/>
                <w:color w:val="auto"/>
              </w:rPr>
            </w:pPr>
            <w:r>
              <w:rPr>
                <w:rFonts w:ascii="Arial" w:cs="Arial" w:eastAsia="Arial" w:hAnsi="Arial"/>
                <w:sz w:val="17"/>
                <w:szCs w:val="17"/>
                <w:color w:val="0000FF"/>
              </w:rPr>
              <w:t>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682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120" w:type="dxa"/>
            <w:vAlign w:val="bottom"/>
            <w:gridSpan w:val="5"/>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3.</w:t>
            </w:r>
          </w:p>
        </w:tc>
        <w:tc>
          <w:tcPr>
            <w:tcW w:w="416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3780" w:type="dxa"/>
            <w:vAlign w:val="bottom"/>
            <w:gridSpan w:val="7"/>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4.</w:t>
            </w:r>
          </w:p>
        </w:tc>
        <w:tc>
          <w:tcPr>
            <w:tcW w:w="7940" w:type="dxa"/>
            <w:vAlign w:val="bottom"/>
            <w:gridSpan w:val="22"/>
          </w:tcPr>
          <w:p>
            <w:pPr>
              <w:spacing w:after="0"/>
              <w:rPr>
                <w:sz w:val="20"/>
                <w:szCs w:val="20"/>
                <w:color w:val="auto"/>
              </w:rPr>
            </w:pPr>
            <w:r>
              <w:rPr>
                <w:rFonts w:ascii="Arial" w:cs="Arial" w:eastAsia="Arial" w:hAnsi="Arial"/>
                <w:sz w:val="17"/>
                <w:szCs w:val="17"/>
                <w:color w:val="0000FF"/>
              </w:rPr>
              <w:t>Controls and Procedures</w:t>
            </w:r>
          </w:p>
        </w:tc>
        <w:tc>
          <w:tcPr>
            <w:tcW w:w="1420" w:type="dxa"/>
            <w:vAlign w:val="bottom"/>
            <w:gridSpan w:val="3"/>
          </w:tcPr>
          <w:p>
            <w:pPr>
              <w:jc w:val="right"/>
              <w:spacing w:after="0"/>
              <w:rPr>
                <w:sz w:val="20"/>
                <w:szCs w:val="20"/>
                <w:color w:val="auto"/>
              </w:rPr>
            </w:pPr>
            <w:r>
              <w:rPr>
                <w:rFonts w:ascii="Arial" w:cs="Arial" w:eastAsia="Arial" w:hAnsi="Arial"/>
                <w:sz w:val="17"/>
                <w:szCs w:val="17"/>
                <w:color w:val="0000FF"/>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PART II.</w:t>
            </w:r>
          </w:p>
        </w:tc>
        <w:tc>
          <w:tcPr>
            <w:tcW w:w="1680" w:type="dxa"/>
            <w:vAlign w:val="bottom"/>
            <w:tcBorders>
              <w:top w:val="single" w:sz="8" w:color="0000FF"/>
            </w:tcBorders>
            <w:gridSpan w:val="10"/>
          </w:tcPr>
          <w:p>
            <w:pPr>
              <w:spacing w:after="0"/>
              <w:rPr>
                <w:sz w:val="20"/>
                <w:szCs w:val="20"/>
                <w:color w:val="auto"/>
              </w:rPr>
            </w:pPr>
            <w:r>
              <w:rPr>
                <w:rFonts w:ascii="Arial" w:cs="Arial" w:eastAsia="Arial" w:hAnsi="Arial"/>
                <w:sz w:val="17"/>
                <w:szCs w:val="17"/>
                <w:b w:val="1"/>
                <w:bCs w:val="1"/>
                <w:color w:val="0000FF"/>
              </w:rPr>
              <w:t>Other Information</w:t>
            </w:r>
          </w:p>
        </w:tc>
        <w:tc>
          <w:tcPr>
            <w:tcW w:w="6260" w:type="dxa"/>
            <w:vAlign w:val="bottom"/>
            <w:gridSpan w:val="12"/>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Item 1.</w:t>
            </w:r>
          </w:p>
        </w:tc>
        <w:tc>
          <w:tcPr>
            <w:tcW w:w="1160" w:type="dxa"/>
            <w:vAlign w:val="bottom"/>
          </w:tcPr>
          <w:p>
            <w:pPr>
              <w:spacing w:after="0"/>
              <w:rPr>
                <w:sz w:val="17"/>
                <w:szCs w:val="17"/>
                <w:color w:val="auto"/>
              </w:rPr>
            </w:pPr>
          </w:p>
        </w:tc>
        <w:tc>
          <w:tcPr>
            <w:tcW w:w="1360" w:type="dxa"/>
            <w:vAlign w:val="bottom"/>
            <w:tcBorders>
              <w:top w:val="single" w:sz="8" w:color="0000FF"/>
            </w:tcBorders>
            <w:gridSpan w:val="8"/>
          </w:tcPr>
          <w:p>
            <w:pPr>
              <w:spacing w:after="0"/>
              <w:rPr>
                <w:sz w:val="20"/>
                <w:szCs w:val="20"/>
                <w:color w:val="auto"/>
              </w:rPr>
            </w:pPr>
            <w:r>
              <w:rPr>
                <w:rFonts w:ascii="Arial" w:cs="Arial" w:eastAsia="Arial" w:hAnsi="Arial"/>
                <w:sz w:val="17"/>
                <w:szCs w:val="17"/>
                <w:color w:val="0000FF"/>
                <w:w w:val="95"/>
              </w:rPr>
              <w:t>Legal Proceedings</w:t>
            </w:r>
          </w:p>
        </w:tc>
        <w:tc>
          <w:tcPr>
            <w:tcW w:w="6580" w:type="dxa"/>
            <w:vAlign w:val="bottom"/>
            <w:gridSpan w:val="14"/>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7"/>
                <w:szCs w:val="17"/>
                <w:color w:val="0000FF"/>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Item1A.</w:t>
            </w:r>
          </w:p>
        </w:tc>
        <w:tc>
          <w:tcPr>
            <w:tcW w:w="8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w w:val="88"/>
              </w:rPr>
              <w:t>Risk Factors</w:t>
            </w:r>
          </w:p>
        </w:tc>
        <w:tc>
          <w:tcPr>
            <w:tcW w:w="400" w:type="dxa"/>
            <w:vAlign w:val="bottom"/>
            <w:tcBorders>
              <w:top w:val="single" w:sz="8" w:color="0000FF"/>
            </w:tcBorders>
            <w:gridSpan w:val="3"/>
          </w:tcPr>
          <w:p>
            <w:pPr>
              <w:spacing w:after="0"/>
              <w:rPr>
                <w:sz w:val="24"/>
                <w:szCs w:val="24"/>
                <w:color w:val="auto"/>
              </w:rPr>
            </w:pPr>
          </w:p>
        </w:tc>
        <w:tc>
          <w:tcPr>
            <w:tcW w:w="6680" w:type="dxa"/>
            <w:vAlign w:val="bottom"/>
            <w:gridSpan w:val="15"/>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682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0"/>
              </w:rPr>
              <w:t>Unregistered Sales of Equity Securities, Use of Proceeds, and Issuer Purchases of Equity Securities</w:t>
            </w:r>
          </w:p>
        </w:tc>
        <w:tc>
          <w:tcPr>
            <w:tcW w:w="1120" w:type="dxa"/>
            <w:vAlign w:val="bottom"/>
            <w:gridSpan w:val="5"/>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5.</w:t>
            </w:r>
          </w:p>
        </w:tc>
        <w:tc>
          <w:tcPr>
            <w:tcW w:w="7940" w:type="dxa"/>
            <w:vAlign w:val="bottom"/>
            <w:gridSpan w:val="22"/>
          </w:tcPr>
          <w:p>
            <w:pPr>
              <w:spacing w:after="0"/>
              <w:rPr>
                <w:sz w:val="20"/>
                <w:szCs w:val="20"/>
                <w:color w:val="auto"/>
              </w:rPr>
            </w:pPr>
            <w:r>
              <w:rPr>
                <w:rFonts w:ascii="Arial" w:cs="Arial" w:eastAsia="Arial" w:hAnsi="Arial"/>
                <w:sz w:val="17"/>
                <w:szCs w:val="17"/>
                <w:color w:val="0000FF"/>
              </w:rPr>
              <w:t>Other Information</w:t>
            </w:r>
          </w:p>
        </w:tc>
        <w:tc>
          <w:tcPr>
            <w:tcW w:w="1420" w:type="dxa"/>
            <w:vAlign w:val="bottom"/>
            <w:gridSpan w:val="3"/>
          </w:tcPr>
          <w:p>
            <w:pPr>
              <w:jc w:val="right"/>
              <w:spacing w:after="0"/>
              <w:rPr>
                <w:sz w:val="20"/>
                <w:szCs w:val="20"/>
                <w:color w:val="auto"/>
              </w:rPr>
            </w:pPr>
            <w:r>
              <w:rPr>
                <w:rFonts w:ascii="Arial" w:cs="Arial" w:eastAsia="Arial" w:hAnsi="Arial"/>
                <w:sz w:val="17"/>
                <w:szCs w:val="17"/>
                <w:color w:val="0000FF"/>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6.</w:t>
            </w:r>
          </w:p>
        </w:tc>
        <w:tc>
          <w:tcPr>
            <w:tcW w:w="124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Exhibits</w:t>
            </w:r>
          </w:p>
        </w:tc>
        <w:tc>
          <w:tcPr>
            <w:tcW w:w="6700" w:type="dxa"/>
            <w:vAlign w:val="bottom"/>
            <w:gridSpan w:val="16"/>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300" w:type="dxa"/>
            <w:vAlign w:val="bottom"/>
            <w:gridSpan w:val="1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940" w:type="dxa"/>
            <w:vAlign w:val="bottom"/>
            <w:gridSpan w:val="22"/>
          </w:tcPr>
          <w:p>
            <w:pPr>
              <w:spacing w:after="0"/>
              <w:rPr>
                <w:sz w:val="20"/>
                <w:szCs w:val="20"/>
                <w:color w:val="auto"/>
              </w:rPr>
            </w:pPr>
            <w:r>
              <w:rPr>
                <w:rFonts w:ascii="Arial" w:cs="Arial" w:eastAsia="Arial" w:hAnsi="Arial"/>
                <w:sz w:val="17"/>
                <w:szCs w:val="17"/>
                <w:color w:val="0000FF"/>
              </w:rPr>
              <w:t>Signature</w:t>
            </w:r>
          </w:p>
        </w:tc>
        <w:tc>
          <w:tcPr>
            <w:tcW w:w="1420" w:type="dxa"/>
            <w:vAlign w:val="bottom"/>
            <w:gridSpan w:val="3"/>
          </w:tcPr>
          <w:p>
            <w:pPr>
              <w:jc w:val="right"/>
              <w:spacing w:after="0"/>
              <w:rPr>
                <w:sz w:val="20"/>
                <w:szCs w:val="20"/>
                <w:color w:val="auto"/>
              </w:rPr>
            </w:pPr>
            <w:r>
              <w:rPr>
                <w:rFonts w:ascii="Arial" w:cs="Arial" w:eastAsia="Arial" w:hAnsi="Arial"/>
                <w:sz w:val="17"/>
                <w:szCs w:val="17"/>
                <w:color w:val="0000FF"/>
              </w:rPr>
              <w:t>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0"/>
        </w:trPr>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7"/>
          <w:szCs w:val="17"/>
          <w:b w:val="1"/>
          <w:bCs w:val="1"/>
          <w:color w:val="auto"/>
        </w:rPr>
        <w:t>Forward-Looking Statements</w:t>
      </w:r>
    </w:p>
    <w:p>
      <w:pPr>
        <w:spacing w:after="0" w:line="249"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Various portions of this Quarterly Report on Form 10-Q, including Part 1. Item 2 “Management’s Discussion and Analysis of Financial Condition and Results of Operations,” describe trends in our business and finances that we perceive and state some of our expectations and beliefs about our future. These statements about the future are “forward-looking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forward-looking statements are based on the information currently available to us and assumptions that we believe are reasonable, but we do not intend the statements to be representations as to future results. They include, without limitation, statements about:</w:t>
      </w:r>
    </w:p>
    <w:p>
      <w:pPr>
        <w:spacing w:after="0" w:line="211" w:lineRule="exact"/>
        <w:rPr>
          <w:sz w:val="20"/>
          <w:szCs w:val="20"/>
          <w:color w:val="auto"/>
        </w:rPr>
      </w:pPr>
    </w:p>
    <w:p>
      <w:pPr>
        <w:ind w:left="620" w:right="40" w:hanging="307"/>
        <w:spacing w:after="0" w:line="279"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growth; future operating results and financial condition (including, among other things, anticipated sales; accruals for restructuring charges, production costs; gross margins; litigation expense; future SG&amp;A and R&amp;D expenses; manufacturing expenses; our expectations regarding liquidity and capital resources over the next twelve months; capital expenditures; source of funds for capital purchases and operations; future tax rates; alternative sources of capital or financing; changes in working capital items such as receivables and inventory; use of treasury stock; realizable value of our investment securities; future investment alternatives; foreign currency denominated financial instruments; and income taxes;</w:t>
      </w:r>
    </w:p>
    <w:p>
      <w:pPr>
        <w:spacing w:after="0" w:line="193" w:lineRule="exact"/>
        <w:rPr>
          <w:rFonts w:ascii="Arial" w:cs="Arial" w:eastAsia="Arial" w:hAnsi="Arial"/>
          <w:sz w:val="16"/>
          <w:szCs w:val="16"/>
          <w:color w:val="auto"/>
        </w:rPr>
      </w:pPr>
    </w:p>
    <w:p>
      <w:pPr>
        <w:ind w:left="620" w:hanging="307"/>
        <w:spacing w:after="0" w:line="272"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factors affecting operating results, such as the impact of an increase in shipping costs; loss of a strategic relationship; change in demand for our products; domestic and international sales; expansion in international markets,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w:t>
      </w:r>
    </w:p>
    <w:p>
      <w:pPr>
        <w:spacing w:after="0" w:line="205" w:lineRule="exact"/>
        <w:rPr>
          <w:rFonts w:ascii="Arial" w:cs="Arial" w:eastAsia="Arial" w:hAnsi="Arial"/>
          <w:sz w:val="16"/>
          <w:szCs w:val="16"/>
          <w:color w:val="auto"/>
        </w:rPr>
      </w:pPr>
    </w:p>
    <w:p>
      <w:pPr>
        <w:ind w:left="620" w:right="20" w:hanging="307"/>
        <w:spacing w:after="0" w:line="297" w:lineRule="auto"/>
        <w:tabs>
          <w:tab w:leader="none" w:pos="616" w:val="left"/>
        </w:tabs>
        <w:numPr>
          <w:ilvl w:val="0"/>
          <w:numId w:val="3"/>
        </w:numPr>
        <w:rPr>
          <w:rFonts w:ascii="Arial" w:cs="Arial" w:eastAsia="Arial" w:hAnsi="Arial"/>
          <w:sz w:val="15"/>
          <w:szCs w:val="15"/>
          <w:color w:val="auto"/>
        </w:rPr>
      </w:pPr>
      <w:r>
        <w:rPr>
          <w:rFonts w:ascii="Arial" w:cs="Arial" w:eastAsia="Arial" w:hAnsi="Arial"/>
          <w:sz w:val="15"/>
          <w:szCs w:val="15"/>
          <w:color w:val="auto"/>
        </w:rPr>
        <w:t>new or extended contracts with manufacturers and buying organizations; dependence on a small number of customers; loss of larger distributors and the ability to locate other distributors; the outcome of our strategic initiatives; regulatory approvals and compliance; including the work necessary to achieve regulatory compliance with respect to the Smiths Medical Warning Letter;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foreign exchange risk; commodity price risk; plans to convert existing space; acquisitions of other businesses or product lines, and</w:t>
      </w:r>
    </w:p>
    <w:p>
      <w:pPr>
        <w:spacing w:after="0" w:line="181" w:lineRule="exact"/>
        <w:rPr>
          <w:rFonts w:ascii="Arial" w:cs="Arial" w:eastAsia="Arial" w:hAnsi="Arial"/>
          <w:sz w:val="15"/>
          <w:szCs w:val="15"/>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acquisitions and the integration of acquired businesses and product lines (including the Smiths Medical business).</w:t>
      </w:r>
    </w:p>
    <w:p>
      <w:pPr>
        <w:spacing w:after="0" w:line="243" w:lineRule="exact"/>
        <w:rPr>
          <w:sz w:val="20"/>
          <w:szCs w:val="20"/>
          <w:color w:val="auto"/>
        </w:rPr>
      </w:pPr>
    </w:p>
    <w:p>
      <w:pPr>
        <w:ind w:right="100" w:firstLine="619"/>
        <w:spacing w:after="0" w:line="290" w:lineRule="auto"/>
        <w:rPr>
          <w:sz w:val="20"/>
          <w:szCs w:val="20"/>
          <w:color w:val="auto"/>
        </w:rPr>
      </w:pPr>
      <w:r>
        <w:rPr>
          <w:rFonts w:ascii="Arial" w:cs="Arial" w:eastAsia="Arial" w:hAnsi="Arial"/>
          <w:sz w:val="16"/>
          <w:szCs w:val="16"/>
          <w:color w:val="auto"/>
        </w:rPr>
        <w:t>The forward 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including without limitation, the following:</w:t>
      </w:r>
    </w:p>
    <w:p>
      <w:pPr>
        <w:spacing w:after="0" w:line="184" w:lineRule="exact"/>
        <w:rPr>
          <w:sz w:val="20"/>
          <w:szCs w:val="20"/>
          <w:color w:val="auto"/>
        </w:rPr>
      </w:pPr>
    </w:p>
    <w:p>
      <w:pPr>
        <w:ind w:left="620" w:right="34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dependence on single and limited source third-party suppliers, which subjects our business and results of operations to risks of supplier business interruptions, and a loss or degradation in performance in our suppliers;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88" w:right="439" w:bottom="1440" w:gutter="0" w:footer="0" w:header="0"/>
        </w:sectPr>
      </w:pPr>
    </w:p>
    <w:bookmarkStart w:id="4" w:name="page5"/>
    <w:bookmarkEnd w:id="4"/>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damage to any of our manufacturing facilities or disruption to our supply chain network;</w:t>
      </w:r>
    </w:p>
    <w:p>
      <w:pPr>
        <w:spacing w:after="0" w:line="229" w:lineRule="exact"/>
        <w:rPr>
          <w:rFonts w:ascii="Arial" w:cs="Arial" w:eastAsia="Arial" w:hAnsi="Arial"/>
          <w:sz w:val="17"/>
          <w:szCs w:val="17"/>
          <w:color w:val="auto"/>
        </w:rPr>
      </w:pPr>
    </w:p>
    <w:p>
      <w:pPr>
        <w:ind w:left="620" w:right="20" w:hanging="307"/>
        <w:spacing w:after="0" w:line="264"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prolonged periods of inflation, rising interest rates and the impact of foreign currency exchange rates as a result of the current global macroeconomic and geopolitical conditions, for example,armed conflicts between Ukraine and Russia and in Israel;</w:t>
      </w:r>
    </w:p>
    <w:p>
      <w:pPr>
        <w:spacing w:after="0" w:line="240" w:lineRule="exact"/>
        <w:rPr>
          <w:rFonts w:ascii="Arial" w:cs="Arial" w:eastAsia="Arial" w:hAnsi="Arial"/>
          <w:sz w:val="17"/>
          <w:szCs w:val="17"/>
          <w:color w:val="auto"/>
        </w:rPr>
      </w:pPr>
    </w:p>
    <w:p>
      <w:pPr>
        <w:ind w:left="620" w:right="40" w:hanging="307"/>
        <w:spacing w:after="0" w:line="232" w:lineRule="auto"/>
        <w:tabs>
          <w:tab w:leader="none" w:pos="615"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impact of the COVID-19 pandemic on the way we, our suppliers and our customers operate and the duration, and the extent to which this will impact our business, future results of operations, liquidity and overall financial performance;</w:t>
      </w:r>
    </w:p>
    <w:p>
      <w:pPr>
        <w:spacing w:after="0" w:line="222"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significant sales through our distributors;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achieve expected operating efficiencies or expense reductions associated with cost reduction and restructuring efforts;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compete successfully with our competitors and maintain market share;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inability to fund substantial investment in product development and recover such investment through commercial product sales;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significant decline in demand for our products;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continuing pressures to reduce healthcare costs and inadequate coverage and reimbursement;</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protect our information technology systems against security breaches, service interruptions, or misappropriation of data;</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disruptions at the FDA, other government agencies or notified bodies caused by funding shortages or global health concerns;</w:t>
      </w:r>
    </w:p>
    <w:p>
      <w:pPr>
        <w:spacing w:after="0" w:line="24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actual or perceived failures to comply with foreign, federal, and state data privacy and security laws, regulations and standards, or certain fraud and abuse and transparency laws;</w:t>
      </w:r>
    </w:p>
    <w:p>
      <w:pPr>
        <w:spacing w:after="0" w:line="190" w:lineRule="exact"/>
        <w:rPr>
          <w:rFonts w:ascii="Arial" w:cs="Arial" w:eastAsia="Arial" w:hAnsi="Arial"/>
          <w:sz w:val="17"/>
          <w:szCs w:val="17"/>
          <w:color w:val="auto"/>
        </w:rPr>
      </w:pPr>
    </w:p>
    <w:p>
      <w:pPr>
        <w:ind w:left="620" w:right="50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defend and enforce our patents or other proprietary rights and the cost of enforcing and of defending patent claims or claims of other proprietary rights; and expiration of our patents;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exposure to risks related to foreign currency exchange rates;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significant changes in U.S. trade, tax or other policies that restrict imports or increase import tariffs;</w:t>
      </w:r>
    </w:p>
    <w:p>
      <w:pPr>
        <w:spacing w:after="0" w:line="242" w:lineRule="exact"/>
        <w:rPr>
          <w:rFonts w:ascii="Arial" w:cs="Arial" w:eastAsia="Arial" w:hAnsi="Arial"/>
          <w:sz w:val="17"/>
          <w:szCs w:val="17"/>
          <w:color w:val="auto"/>
        </w:rPr>
      </w:pPr>
    </w:p>
    <w:p>
      <w:pPr>
        <w:ind w:left="620" w:right="34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additional risks from international sales, related to competition with larger international companies and established local companies and our possibly higher cost structure;</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failure to effectively manage our growth and change to our business resulting from the Smiths Medical acquisition or any other future acquisitions;</w:t>
      </w:r>
    </w:p>
    <w:p>
      <w:pPr>
        <w:spacing w:after="0" w:line="265" w:lineRule="exact"/>
        <w:rPr>
          <w:rFonts w:ascii="Arial" w:cs="Arial" w:eastAsia="Arial" w:hAnsi="Arial"/>
          <w:sz w:val="15"/>
          <w:szCs w:val="15"/>
          <w:color w:val="auto"/>
        </w:rPr>
      </w:pPr>
    </w:p>
    <w:p>
      <w:pPr>
        <w:ind w:left="620" w:right="200" w:hanging="307"/>
        <w:spacing w:after="0" w:line="266"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actual impact of the Smiths Medical acquisition on our financial results and 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w:t>
      </w:r>
    </w:p>
    <w:p>
      <w:pPr>
        <w:spacing w:after="0" w:line="201" w:lineRule="exact"/>
        <w:rPr>
          <w:sz w:val="20"/>
          <w:szCs w:val="20"/>
          <w:color w:val="auto"/>
        </w:rPr>
      </w:pPr>
    </w:p>
    <w:p>
      <w:pPr>
        <w:ind w:right="120" w:firstLine="619"/>
        <w:spacing w:after="0" w:line="279" w:lineRule="auto"/>
        <w:rPr>
          <w:sz w:val="20"/>
          <w:szCs w:val="20"/>
          <w:color w:val="auto"/>
        </w:rPr>
      </w:pPr>
      <w:r>
        <w:rPr>
          <w:rFonts w:ascii="Arial" w:cs="Arial" w:eastAsia="Arial" w:hAnsi="Arial"/>
          <w:sz w:val="16"/>
          <w:szCs w:val="16"/>
          <w:color w:val="auto"/>
        </w:rPr>
        <w:t>For a more detailed discussion of these factors, see the information under the sections entitled “Summary Risk Factors,” Part I. Item 1A. “Risk Factors” and Part II. Item 7 “Management’s Discussion and Analysis of Financial Condition and Results of Operations” in our Annual Report on Form 10-K for the year ended December 31, 2022 (the “2022 Annual Report on Form 10-K”) filed with the Securities and Exchange Commission (the “SEC”), and the sections in this Quarterly Report on Form 10-Q entitled Part II. Item 1A “Risk Factors” and Part I. Item 2 “Management’s Discussion and Analysis of Financial Condition and Results of Operations,” in each case as updated by our periodic filings with the SEC.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62" w:right="399" w:bottom="1440" w:gutter="0" w:footer="0" w:header="0"/>
        </w:sectPr>
      </w:pPr>
    </w:p>
    <w:bookmarkStart w:id="5" w:name="page6"/>
    <w:bookmarkEnd w:id="5"/>
    <w:p>
      <w:pPr>
        <w:ind w:firstLine="619"/>
        <w:spacing w:after="0" w:line="260"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49" w:right="4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u w:val="single" w:color="auto"/>
          <w:color w:val="auto"/>
        </w:rPr>
        <w:t>Item1.</w:t>
      </w:r>
      <w:r>
        <w:rPr>
          <w:sz w:val="20"/>
          <w:szCs w:val="20"/>
          <w:color w:val="auto"/>
        </w:rPr>
        <w:tab/>
      </w:r>
      <w:r>
        <w:rPr>
          <w:rFonts w:ascii="Arial" w:cs="Arial" w:eastAsia="Arial" w:hAnsi="Arial"/>
          <w:sz w:val="15"/>
          <w:szCs w:val="15"/>
          <w:b w:val="1"/>
          <w:bCs w:val="1"/>
          <w:u w:val="single" w:color="auto"/>
          <w:color w:val="auto"/>
        </w:rPr>
        <w:t>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1"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(In thousands, except par value data and treasury shares)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1"/>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3880"/>
              <w:spacing w:after="0"/>
              <w:rPr>
                <w:sz w:val="20"/>
                <w:szCs w:val="20"/>
                <w:color w:val="auto"/>
              </w:rPr>
            </w:pPr>
            <w:r>
              <w:rPr>
                <w:rFonts w:ascii="Arial" w:cs="Arial" w:eastAsia="Arial" w:hAnsi="Arial"/>
                <w:sz w:val="14"/>
                <w:szCs w:val="14"/>
                <w:color w:val="auto"/>
              </w:rPr>
              <w:t>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208,784</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Short-term investment securities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4,224</w:t>
            </w: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CASH, CASH EQUIVALENTS AND SHORT-TERM INVESTMENT SECURITIES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213,008</w:t>
            </w:r>
          </w:p>
        </w:tc>
        <w:tc>
          <w:tcPr>
            <w:tcW w:w="0" w:type="dxa"/>
            <w:vAlign w:val="bottom"/>
          </w:tcPr>
          <w:p>
            <w:pPr>
              <w:spacing w:after="0"/>
              <w:rPr>
                <w:sz w:val="1"/>
                <w:szCs w:val="1"/>
                <w:color w:val="auto"/>
              </w:rPr>
            </w:pP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Accounts receivable, net of allowance for doubtful accounts $10,556 at September 30, 2023 and $8,530 at December 31, 2022</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161,797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221,719</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759,622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696,009</w:t>
            </w:r>
          </w:p>
        </w:tc>
        <w:tc>
          <w:tcPr>
            <w:tcW w:w="0" w:type="dxa"/>
            <w:vAlign w:val="bottom"/>
          </w:tcPr>
          <w:p>
            <w:pPr>
              <w:spacing w:after="0"/>
              <w:rPr>
                <w:sz w:val="1"/>
                <w:szCs w:val="1"/>
                <w:color w:val="auto"/>
              </w:rPr>
            </w:pP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Prepaid income taxes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14,579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15,528</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84,412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88,932</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1,219,408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1,235,196</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2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608,762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636,113</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74,864</w:t>
            </w:r>
          </w:p>
        </w:tc>
        <w:tc>
          <w:tcPr>
            <w:tcW w:w="0" w:type="dxa"/>
            <w:vAlign w:val="bottom"/>
          </w:tcPr>
          <w:p>
            <w:pPr>
              <w:spacing w:after="0"/>
              <w:rPr>
                <w:sz w:val="1"/>
                <w:szCs w:val="1"/>
                <w:color w:val="auto"/>
              </w:rPr>
            </w:pPr>
          </w:p>
        </w:tc>
      </w:tr>
      <w:tr>
        <w:trPr>
          <w:trHeight w:val="184"/>
        </w:trPr>
        <w:tc>
          <w:tcPr>
            <w:tcW w:w="8240" w:type="dxa"/>
            <w:vAlign w:val="bottom"/>
          </w:tcPr>
          <w:p>
            <w:pPr>
              <w:ind w:left="20"/>
              <w:spacing w:after="0"/>
              <w:rPr>
                <w:sz w:val="20"/>
                <w:szCs w:val="20"/>
                <w:color w:val="auto"/>
              </w:rPr>
            </w:pPr>
            <w:r>
              <w:rPr>
                <w:rFonts w:ascii="Arial" w:cs="Arial" w:eastAsia="Arial" w:hAnsi="Arial"/>
                <w:sz w:val="14"/>
                <w:szCs w:val="14"/>
                <w:color w:val="auto"/>
              </w:rPr>
              <w:t>LONG-TERM INVESTMENT SECURITIES</w:t>
            </w:r>
          </w:p>
        </w:tc>
        <w:tc>
          <w:tcPr>
            <w:tcW w:w="2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1,444,456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1,449,258</w:t>
            </w:r>
          </w:p>
        </w:tc>
        <w:tc>
          <w:tcPr>
            <w:tcW w:w="0" w:type="dxa"/>
            <w:vAlign w:val="bottom"/>
          </w:tcPr>
          <w:p>
            <w:pPr>
              <w:spacing w:after="0"/>
              <w:rPr>
                <w:sz w:val="1"/>
                <w:szCs w:val="1"/>
                <w:color w:val="auto"/>
              </w:rPr>
            </w:pPr>
          </w:p>
        </w:tc>
      </w:tr>
      <w:tr>
        <w:trPr>
          <w:trHeight w:val="184"/>
        </w:trPr>
        <w:tc>
          <w:tcPr>
            <w:tcW w:w="82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891,280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982,766</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31,466</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105,462</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4,376,864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4,515,641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2700"/>
              <w:spacing w:after="0"/>
              <w:rPr>
                <w:sz w:val="20"/>
                <w:szCs w:val="20"/>
                <w:color w:val="auto"/>
              </w:rPr>
            </w:pPr>
            <w:r>
              <w:rPr>
                <w:rFonts w:ascii="Arial" w:cs="Arial" w:eastAsia="Arial" w:hAnsi="Arial"/>
                <w:sz w:val="14"/>
                <w:szCs w:val="14"/>
                <w:color w:val="auto"/>
              </w:rPr>
              <w:t>LIABILITIES AND STOCKHOLDERS’ EQUITY</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215,902</w:t>
            </w:r>
          </w:p>
        </w:tc>
        <w:tc>
          <w:tcPr>
            <w:tcW w:w="0" w:type="dxa"/>
            <w:vAlign w:val="bottom"/>
          </w:tcPr>
          <w:p>
            <w:pPr>
              <w:spacing w:after="0"/>
              <w:rPr>
                <w:sz w:val="1"/>
                <w:szCs w:val="1"/>
                <w:color w:val="auto"/>
              </w:rPr>
            </w:pP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251,324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242,769</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29,688</w:t>
            </w:r>
          </w:p>
        </w:tc>
        <w:tc>
          <w:tcPr>
            <w:tcW w:w="0" w:type="dxa"/>
            <w:vAlign w:val="bottom"/>
          </w:tcPr>
          <w:p>
            <w:pPr>
              <w:spacing w:after="0"/>
              <w:rPr>
                <w:sz w:val="1"/>
                <w:szCs w:val="1"/>
                <w:color w:val="auto"/>
              </w:rPr>
            </w:pP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Income tax payable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11,443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6,200</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Contingent earn-out liability</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464,043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494,559</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240" w:type="dxa"/>
            <w:vAlign w:val="bottom"/>
          </w:tcPr>
          <w:p>
            <w:pPr>
              <w:ind w:left="20"/>
              <w:spacing w:after="0"/>
              <w:rPr>
                <w:sz w:val="20"/>
                <w:szCs w:val="20"/>
                <w:color w:val="auto"/>
              </w:rPr>
            </w:pPr>
            <w:r>
              <w:rPr>
                <w:rFonts w:ascii="Arial" w:cs="Arial" w:eastAsia="Arial" w:hAnsi="Arial"/>
                <w:sz w:val="14"/>
                <w:szCs w:val="14"/>
                <w:color w:val="auto"/>
              </w:rPr>
              <w:t>CONTINGENT EARN-OUT LIABILITY</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25,572</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1,589,244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1,623,675</w:t>
            </w:r>
          </w:p>
        </w:tc>
        <w:tc>
          <w:tcPr>
            <w:tcW w:w="0" w:type="dxa"/>
            <w:vAlign w:val="bottom"/>
          </w:tcPr>
          <w:p>
            <w:pPr>
              <w:spacing w:after="0"/>
              <w:rPr>
                <w:sz w:val="1"/>
                <w:szCs w:val="1"/>
                <w:color w:val="auto"/>
              </w:rPr>
            </w:pPr>
          </w:p>
        </w:tc>
      </w:tr>
      <w:tr>
        <w:trPr>
          <w:trHeight w:val="184"/>
        </w:trPr>
        <w:tc>
          <w:tcPr>
            <w:tcW w:w="824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100,005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114,104</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126,007</w:t>
            </w:r>
          </w:p>
        </w:tc>
        <w:tc>
          <w:tcPr>
            <w:tcW w:w="0" w:type="dxa"/>
            <w:vAlign w:val="bottom"/>
          </w:tcPr>
          <w:p>
            <w:pPr>
              <w:spacing w:after="0"/>
              <w:rPr>
                <w:sz w:val="1"/>
                <w:szCs w:val="1"/>
                <w:color w:val="auto"/>
              </w:rPr>
            </w:pPr>
          </w:p>
        </w:tc>
      </w:tr>
      <w:tr>
        <w:trPr>
          <w:trHeight w:val="184"/>
        </w:trPr>
        <w:tc>
          <w:tcPr>
            <w:tcW w:w="8240" w:type="dxa"/>
            <w:vAlign w:val="bottom"/>
          </w:tcPr>
          <w:p>
            <w:pPr>
              <w:ind w:left="20"/>
              <w:spacing w:after="0"/>
              <w:rPr>
                <w:sz w:val="20"/>
                <w:szCs w:val="20"/>
                <w:color w:val="auto"/>
              </w:rPr>
            </w:pPr>
            <w:r>
              <w:rPr>
                <w:rFonts w:ascii="Arial" w:cs="Arial" w:eastAsia="Arial" w:hAnsi="Arial"/>
                <w:sz w:val="14"/>
                <w:szCs w:val="14"/>
                <w:color w:val="auto"/>
              </w:rPr>
              <w:t>INCOME TAX LIABILITY</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40,310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41,796</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19)</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4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Convertible preferred stock, $1.00 par value; Authorized — 500 shares; Issued and outstanding — none</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8240" w:type="dxa"/>
            <w:vAlign w:val="bottom"/>
          </w:tcPr>
          <w:p>
            <w:pPr>
              <w:ind w:left="120"/>
              <w:spacing w:after="0" w:line="129" w:lineRule="exact"/>
              <w:rPr>
                <w:sz w:val="20"/>
                <w:szCs w:val="20"/>
                <w:color w:val="auto"/>
              </w:rPr>
            </w:pPr>
            <w:r>
              <w:rPr>
                <w:rFonts w:ascii="Arial" w:cs="Arial" w:eastAsia="Arial" w:hAnsi="Arial"/>
                <w:sz w:val="14"/>
                <w:szCs w:val="14"/>
                <w:color w:val="auto"/>
                <w:w w:val="88"/>
              </w:rPr>
              <w:t>Common stock, $0.10 par value; Authorized — 80,000 shares; Issued — 24,144 shares at September 30, 2023 and 23,995 shares at December 31,</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2,414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2022; and outstanding — 24,139 shares at September 30, 2023 and 23,993 shares at December 31, 2022</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1,356,348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1,331,249</w:t>
            </w:r>
          </w:p>
        </w:tc>
        <w:tc>
          <w:tcPr>
            <w:tcW w:w="0" w:type="dxa"/>
            <w:vAlign w:val="bottom"/>
          </w:tcPr>
          <w:p>
            <w:pPr>
              <w:spacing w:after="0"/>
              <w:rPr>
                <w:sz w:val="1"/>
                <w:szCs w:val="1"/>
                <w:color w:val="auto"/>
              </w:rPr>
            </w:pP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Treasury stock, at cost (4,638 and 1,633 shares, respectively)</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824,993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837,501</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(84,727)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(80,978)</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2,098,356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2,089,928</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4,376,864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4,515,641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(1) December 31, 2022 balances were derived from audited consolidated financial statements.</w:t>
      </w:r>
    </w:p>
    <w:p>
      <w:pPr>
        <w:spacing w:after="0" w:line="110"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420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5"/>
        </w:trPr>
        <w:tc>
          <w:tcPr>
            <w:tcW w:w="4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780" w:type="dxa"/>
            <w:vAlign w:val="bottom"/>
            <w:gridSpan w:val="8"/>
          </w:tcPr>
          <w:p>
            <w:pPr>
              <w:jc w:val="center"/>
              <w:ind w:left="1954"/>
              <w:spacing w:after="0"/>
              <w:rPr>
                <w:sz w:val="20"/>
                <w:szCs w:val="20"/>
                <w:color w:val="auto"/>
              </w:rPr>
            </w:pPr>
            <w:r>
              <w:rPr>
                <w:rFonts w:ascii="Arial" w:cs="Arial" w:eastAsia="Arial" w:hAnsi="Arial"/>
                <w:sz w:val="17"/>
                <w:szCs w:val="17"/>
                <w:b w:val="1"/>
                <w:bCs w:val="1"/>
                <w:color w:val="auto"/>
              </w:rPr>
              <w:t>ICU MEDICAL, INC. AND SUBSIDIARIES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CONDENSED CONSOLIDATED STATEMENTS OF OPERATIONS (Unaudited)</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20" w:type="dxa"/>
            <w:vAlign w:val="bottom"/>
            <w:gridSpan w:val="5"/>
          </w:tcPr>
          <w:p>
            <w:pPr>
              <w:jc w:val="center"/>
              <w:spacing w:after="0"/>
              <w:rPr>
                <w:sz w:val="20"/>
                <w:szCs w:val="20"/>
                <w:color w:val="auto"/>
              </w:rPr>
            </w:pPr>
            <w:r>
              <w:rPr>
                <w:rFonts w:ascii="Arial" w:cs="Arial" w:eastAsia="Arial" w:hAnsi="Arial"/>
                <w:sz w:val="17"/>
                <w:szCs w:val="17"/>
                <w:color w:val="auto"/>
                <w:w w:val="89"/>
              </w:rPr>
              <w:t>(In thousands, except per share data)</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24"/>
                <w:szCs w:val="24"/>
                <w:color w:val="auto"/>
              </w:rPr>
            </w:pPr>
          </w:p>
        </w:tc>
        <w:tc>
          <w:tcPr>
            <w:tcW w:w="254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553,311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597,857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1,671,270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1,701,983</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GOODS SOLD</w:t>
            </w:r>
          </w:p>
        </w:tc>
        <w:tc>
          <w:tcPr>
            <w:tcW w:w="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369,391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411,461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1,102,982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1,179,167</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8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183,920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186,396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568,288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522,816</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378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Selling, general and administrative</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452,076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465,412</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3780" w:type="dxa"/>
            <w:vAlign w:val="bottom"/>
            <w:gridSpan w:val="2"/>
          </w:tcPr>
          <w:p>
            <w:pPr>
              <w:ind w:left="120"/>
              <w:spacing w:after="0"/>
              <w:rPr>
                <w:sz w:val="20"/>
                <w:szCs w:val="20"/>
                <w:color w:val="auto"/>
              </w:rPr>
            </w:pPr>
            <w:r>
              <w:rPr>
                <w:rFonts w:ascii="Arial" w:cs="Arial" w:eastAsia="Arial" w:hAnsi="Arial"/>
                <w:sz w:val="17"/>
                <w:szCs w:val="17"/>
                <w:color w:val="auto"/>
              </w:rPr>
              <w:t>Research and development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20,870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62,933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69,538</w:t>
            </w: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5"/>
              </w:rPr>
              <w:t>Restructuring, strategic transaction and integration</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61,795</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3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Change in fair value of contingent earn-out</w:t>
            </w:r>
          </w:p>
        </w:tc>
        <w:tc>
          <w:tcPr>
            <w:tcW w:w="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(31,253)</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8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161,067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186,863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533,280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565,492</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3780" w:type="dxa"/>
            <w:vAlign w:val="bottom"/>
            <w:gridSpan w:val="2"/>
          </w:tcPr>
          <w:p>
            <w:pPr>
              <w:ind w:left="20"/>
              <w:spacing w:after="0"/>
              <w:rPr>
                <w:sz w:val="20"/>
                <w:szCs w:val="20"/>
                <w:color w:val="auto"/>
              </w:rPr>
            </w:pPr>
            <w:r>
              <w:rPr>
                <w:rFonts w:ascii="Arial" w:cs="Arial" w:eastAsia="Arial" w:hAnsi="Arial"/>
                <w:sz w:val="17"/>
                <w:szCs w:val="17"/>
                <w:color w:val="auto"/>
              </w:rPr>
              <w:t>INCOME (LOSS) FROM OPERATIONS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22,853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35,008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(42,676)</w:t>
            </w: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(46,303)</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EXPENSE, net</w:t>
            </w:r>
          </w:p>
        </w:tc>
        <w:tc>
          <w:tcPr>
            <w:tcW w:w="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(3,983)</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(92,962)</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BENEFIT FOR INCOME TAXES</w:t>
            </w:r>
          </w:p>
        </w:tc>
        <w:tc>
          <w:tcPr>
            <w:tcW w:w="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29,110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34,212</w:t>
            </w: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(58,750)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NET INCOME (LOSS) PER SHARE</w:t>
            </w: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20" w:type="dxa"/>
            <w:vAlign w:val="bottom"/>
          </w:tcPr>
          <w:p>
            <w:pPr>
              <w:spacing w:after="0"/>
              <w:rPr>
                <w:sz w:val="14"/>
                <w:szCs w:val="14"/>
                <w:color w:val="auto"/>
              </w:rPr>
            </w:pPr>
          </w:p>
        </w:tc>
        <w:tc>
          <w:tcPr>
            <w:tcW w:w="378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3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3780" w:type="dxa"/>
            <w:vAlign w:val="bottom"/>
            <w:gridSpan w:val="2"/>
          </w:tcPr>
          <w:p>
            <w:pPr>
              <w:ind w:left="320"/>
              <w:spacing w:after="0"/>
              <w:rPr>
                <w:sz w:val="20"/>
                <w:szCs w:val="20"/>
                <w:color w:val="auto"/>
              </w:rPr>
            </w:pPr>
            <w:r>
              <w:rPr>
                <w:rFonts w:ascii="Arial" w:cs="Arial" w:eastAsia="Arial" w:hAnsi="Arial"/>
                <w:sz w:val="17"/>
                <w:szCs w:val="17"/>
                <w:color w:val="auto"/>
              </w:rPr>
              <w:t>Diluted</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0.30</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(0.52)</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NUMBER OF SHARES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3780" w:type="dxa"/>
            <w:vAlign w:val="bottom"/>
            <w:gridSpan w:val="2"/>
          </w:tcPr>
          <w:p>
            <w:pPr>
              <w:ind w:left="320"/>
              <w:spacing w:after="0"/>
              <w:rPr>
                <w:sz w:val="20"/>
                <w:szCs w:val="20"/>
                <w:color w:val="auto"/>
              </w:rPr>
            </w:pPr>
            <w:r>
              <w:rPr>
                <w:rFonts w:ascii="Arial" w:cs="Arial" w:eastAsia="Arial" w:hAnsi="Arial"/>
                <w:sz w:val="17"/>
                <w:szCs w:val="17"/>
                <w:color w:val="auto"/>
              </w:rPr>
              <w:t>Basic</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24,132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23,908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24,075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23,828</w:t>
            </w: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3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23,828</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40"/>
          </w:cols>
          <w:pgMar w:left="320" w:top="112" w:right="7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496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735"/>
        </w:trPr>
        <w:tc>
          <w:tcPr>
            <w:tcW w:w="5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680" w:type="dxa"/>
            <w:vAlign w:val="bottom"/>
            <w:gridSpan w:val="7"/>
          </w:tcPr>
          <w:p>
            <w:pPr>
              <w:jc w:val="center"/>
              <w:ind w:left="2054"/>
              <w:spacing w:after="0"/>
              <w:rPr>
                <w:sz w:val="20"/>
                <w:szCs w:val="20"/>
                <w:color w:val="auto"/>
              </w:rPr>
            </w:pPr>
            <w:r>
              <w:rPr>
                <w:rFonts w:ascii="Arial" w:cs="Arial" w:eastAsia="Arial" w:hAnsi="Arial"/>
                <w:sz w:val="17"/>
                <w:szCs w:val="17"/>
                <w:b w:val="1"/>
                <w:bCs w:val="1"/>
                <w:color w:val="auto"/>
              </w:rPr>
              <w:t>ICU MEDICAL, INC. AND SUBSIDIARIES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2"/>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40" w:type="dxa"/>
            <w:vAlign w:val="bottom"/>
            <w:gridSpan w:val="11"/>
          </w:tcPr>
          <w:p>
            <w:pPr>
              <w:jc w:val="center"/>
              <w:ind w:left="94"/>
              <w:spacing w:after="0"/>
              <w:rPr>
                <w:sz w:val="20"/>
                <w:szCs w:val="20"/>
                <w:color w:val="auto"/>
              </w:rPr>
            </w:pPr>
            <w:r>
              <w:rPr>
                <w:rFonts w:ascii="Arial" w:cs="Arial" w:eastAsia="Arial" w:hAnsi="Arial"/>
                <w:sz w:val="17"/>
                <w:szCs w:val="17"/>
                <w:b w:val="1"/>
                <w:bCs w:val="1"/>
                <w:color w:val="auto"/>
              </w:rPr>
              <w:t>CONDENSED CONSOLIDATED STATEMENTS OF COMPREHENSIVE INCOME (LOSS) (Unaudited)</w:t>
            </w:r>
          </w:p>
        </w:tc>
        <w:tc>
          <w:tcPr>
            <w:tcW w:w="880" w:type="dxa"/>
            <w:vAlign w:val="bottom"/>
          </w:tcPr>
          <w:p>
            <w:pPr>
              <w:spacing w:after="0"/>
              <w:rPr>
                <w:sz w:val="18"/>
                <w:szCs w:val="18"/>
                <w:color w:val="auto"/>
              </w:rPr>
            </w:pPr>
          </w:p>
        </w:tc>
      </w:tr>
      <w:tr>
        <w:trPr>
          <w:trHeight w:val="217"/>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(In thousands)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91"/>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5"/>
          </w:tcPr>
          <w:p>
            <w:pPr>
              <w:ind w:left="52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24"/>
                <w:szCs w:val="24"/>
                <w:color w:val="auto"/>
              </w:rPr>
            </w:pPr>
          </w:p>
        </w:tc>
        <w:tc>
          <w:tcPr>
            <w:tcW w:w="2540" w:type="dxa"/>
            <w:vAlign w:val="bottom"/>
            <w:gridSpan w:val="4"/>
          </w:tcPr>
          <w:p>
            <w:pPr>
              <w:jc w:val="right"/>
              <w:ind w:right="661"/>
              <w:spacing w:after="0"/>
              <w:rPr>
                <w:sz w:val="20"/>
                <w:szCs w:val="20"/>
                <w:color w:val="auto"/>
              </w:rPr>
            </w:pPr>
            <w:r>
              <w:rPr>
                <w:rFonts w:ascii="Arial" w:cs="Arial" w:eastAsia="Arial" w:hAnsi="Arial"/>
                <w:sz w:val="17"/>
                <w:szCs w:val="17"/>
                <w:b w:val="1"/>
                <w:bCs w:val="1"/>
                <w:color w:val="auto"/>
              </w:rPr>
              <w:t>Nine months ended</w:t>
            </w:r>
          </w:p>
        </w:tc>
      </w:tr>
      <w:tr>
        <w:trPr>
          <w:trHeight w:val="228"/>
        </w:trPr>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7"/>
        </w:trPr>
        <w:tc>
          <w:tcPr>
            <w:tcW w:w="500" w:type="dxa"/>
            <w:vAlign w:val="bottom"/>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3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7"/>
                <w:szCs w:val="17"/>
                <w:b w:val="1"/>
                <w:bCs w:val="1"/>
                <w:color w:val="auto"/>
                <w:w w:val="95"/>
              </w:rPr>
              <w:t>2022</w:t>
            </w:r>
          </w:p>
        </w:tc>
      </w:tr>
      <w:tr>
        <w:trPr>
          <w:trHeight w:val="212"/>
        </w:trPr>
        <w:tc>
          <w:tcPr>
            <w:tcW w:w="500" w:type="dxa"/>
            <w:vAlign w:val="bottom"/>
          </w:tcPr>
          <w:p>
            <w:pPr>
              <w:spacing w:after="0"/>
              <w:rPr>
                <w:sz w:val="18"/>
                <w:szCs w:val="18"/>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(58,750)</w:t>
            </w:r>
          </w:p>
        </w:tc>
      </w:tr>
      <w:tr>
        <w:trPr>
          <w:trHeight w:val="218"/>
        </w:trPr>
        <w:tc>
          <w:tcPr>
            <w:tcW w:w="500" w:type="dxa"/>
            <w:vAlign w:val="bottom"/>
          </w:tcPr>
          <w:p>
            <w:pPr>
              <w:spacing w:after="0"/>
              <w:rPr>
                <w:sz w:val="18"/>
                <w:szCs w:val="18"/>
                <w:color w:val="auto"/>
              </w:rPr>
            </w:pP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9"/>
        </w:trPr>
        <w:tc>
          <w:tcPr>
            <w:tcW w:w="500" w:type="dxa"/>
            <w:vAlign w:val="bottom"/>
          </w:tcPr>
          <w:p>
            <w:pPr>
              <w:spacing w:after="0"/>
              <w:rPr>
                <w:sz w:val="14"/>
                <w:szCs w:val="14"/>
                <w:color w:val="auto"/>
              </w:rPr>
            </w:pPr>
          </w:p>
        </w:tc>
        <w:tc>
          <w:tcPr>
            <w:tcW w:w="446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7"/>
                <w:szCs w:val="17"/>
                <w:color w:val="auto"/>
              </w:rPr>
              <w:t>Cash flow hedge adjustments, net of tax of $(514) and</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446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7"/>
                <w:szCs w:val="17"/>
                <w:color w:val="auto"/>
                <w:w w:val="92"/>
              </w:rPr>
              <w:t>$(3,676) for the three months ended September 30, 2023 and</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500" w:type="dxa"/>
            <w:vAlign w:val="bottom"/>
          </w:tcPr>
          <w:p>
            <w:pPr>
              <w:spacing w:after="0"/>
              <w:rPr>
                <w:sz w:val="15"/>
                <w:szCs w:val="15"/>
                <w:color w:val="auto"/>
              </w:rPr>
            </w:pPr>
          </w:p>
        </w:tc>
        <w:tc>
          <w:tcPr>
            <w:tcW w:w="446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7"/>
                <w:szCs w:val="17"/>
                <w:color w:val="auto"/>
              </w:rPr>
              <w:t>2022, respectively, and $(457) and $(15,357) for the nine</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9"/>
        </w:trPr>
        <w:tc>
          <w:tcPr>
            <w:tcW w:w="500" w:type="dxa"/>
            <w:vAlign w:val="bottom"/>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6"/>
              </w:rPr>
              <w:t>months ended September 30, 2023 and 2022, respectively.</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48,631</w:t>
            </w:r>
          </w:p>
        </w:tc>
      </w:tr>
      <w:tr>
        <w:trPr>
          <w:trHeight w:val="168"/>
        </w:trPr>
        <w:tc>
          <w:tcPr>
            <w:tcW w:w="500" w:type="dxa"/>
            <w:vAlign w:val="bottom"/>
          </w:tcPr>
          <w:p>
            <w:pPr>
              <w:spacing w:after="0"/>
              <w:rPr>
                <w:sz w:val="14"/>
                <w:szCs w:val="14"/>
                <w:color w:val="auto"/>
              </w:rPr>
            </w:pPr>
          </w:p>
        </w:tc>
        <w:tc>
          <w:tcPr>
            <w:tcW w:w="4460" w:type="dxa"/>
            <w:vAlign w:val="bottom"/>
            <w:gridSpan w:val="2"/>
          </w:tcPr>
          <w:p>
            <w:pPr>
              <w:ind w:left="140"/>
              <w:spacing w:after="0" w:line="168" w:lineRule="exact"/>
              <w:rPr>
                <w:sz w:val="20"/>
                <w:szCs w:val="20"/>
                <w:color w:val="auto"/>
              </w:rPr>
            </w:pPr>
            <w:r>
              <w:rPr>
                <w:rFonts w:ascii="Arial" w:cs="Arial" w:eastAsia="Arial" w:hAnsi="Arial"/>
                <w:sz w:val="17"/>
                <w:szCs w:val="17"/>
                <w:color w:val="auto"/>
                <w:w w:val="96"/>
              </w:rPr>
              <w:t>Foreign currency translation adjustment, net of tax of $0 for</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1"/>
        </w:trPr>
        <w:tc>
          <w:tcPr>
            <w:tcW w:w="500" w:type="dxa"/>
            <w:vAlign w:val="bottom"/>
          </w:tcPr>
          <w:p>
            <w:pPr>
              <w:spacing w:after="0"/>
              <w:rPr>
                <w:sz w:val="20"/>
                <w:szCs w:val="20"/>
                <w:color w:val="auto"/>
              </w:rPr>
            </w:pPr>
          </w:p>
        </w:tc>
        <w:tc>
          <w:tcPr>
            <w:tcW w:w="4460" w:type="dxa"/>
            <w:vAlign w:val="bottom"/>
            <w:gridSpan w:val="2"/>
          </w:tcPr>
          <w:p>
            <w:pPr>
              <w:ind w:left="140"/>
              <w:spacing w:after="0"/>
              <w:rPr>
                <w:sz w:val="20"/>
                <w:szCs w:val="20"/>
                <w:color w:val="auto"/>
              </w:rPr>
            </w:pPr>
            <w:r>
              <w:rPr>
                <w:rFonts w:ascii="Arial" w:cs="Arial" w:eastAsia="Arial" w:hAnsi="Arial"/>
                <w:sz w:val="17"/>
                <w:szCs w:val="17"/>
                <w:color w:val="auto"/>
              </w:rPr>
              <w:t>all periods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(37,557)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(90,549)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(5,005)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(195,300)</w:t>
            </w:r>
          </w:p>
        </w:tc>
      </w:tr>
      <w:tr>
        <w:trPr>
          <w:trHeight w:val="220"/>
        </w:trPr>
        <w:tc>
          <w:tcPr>
            <w:tcW w:w="500" w:type="dxa"/>
            <w:vAlign w:val="bottom"/>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adjustments, net of tax of $0 for all periods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w:t>
            </w:r>
          </w:p>
        </w:tc>
      </w:tr>
      <w:tr>
        <w:trPr>
          <w:trHeight w:val="211"/>
        </w:trPr>
        <w:tc>
          <w:tcPr>
            <w:tcW w:w="500" w:type="dxa"/>
            <w:vAlign w:val="bottom"/>
          </w:tcPr>
          <w:p>
            <w:pPr>
              <w:spacing w:after="0"/>
              <w:rPr>
                <w:sz w:val="18"/>
                <w:szCs w:val="18"/>
                <w:color w:val="auto"/>
              </w:rPr>
            </w:pPr>
          </w:p>
        </w:tc>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comprehensive loss, net of tax</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(35,933)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(146,413)</w:t>
            </w:r>
          </w:p>
        </w:tc>
      </w:tr>
      <w:tr>
        <w:trPr>
          <w:trHeight w:val="238"/>
        </w:trPr>
        <w:tc>
          <w:tcPr>
            <w:tcW w:w="500" w:type="dxa"/>
            <w:vAlign w:val="bottom"/>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(28,695)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(86,615)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(16,257)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(205,163)</w:t>
            </w:r>
          </w:p>
        </w:tc>
      </w:tr>
      <w:tr>
        <w:trPr>
          <w:trHeight w:val="20"/>
        </w:trPr>
        <w:tc>
          <w:tcPr>
            <w:tcW w:w="500" w:type="dxa"/>
            <w:vAlign w:val="bottom"/>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112" w:right="8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STOCKHOLDERS’ EQUITY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(Amounts in thousands)</w:t>
      </w: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44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4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89"/>
              </w:rPr>
              <w:t>Paid-in</w:t>
            </w:r>
          </w:p>
        </w:tc>
        <w:tc>
          <w:tcPr>
            <w:tcW w:w="160" w:type="dxa"/>
            <w:vAlign w:val="bottom"/>
          </w:tcPr>
          <w:p>
            <w:pPr>
              <w:spacing w:after="0"/>
              <w:rPr>
                <w:sz w:val="9"/>
                <w:szCs w:val="9"/>
                <w:color w:val="auto"/>
              </w:rPr>
            </w:pPr>
          </w:p>
        </w:tc>
        <w:tc>
          <w:tcPr>
            <w:tcW w:w="8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87"/>
              </w:rPr>
              <w:t>Treasury</w:t>
            </w:r>
          </w:p>
        </w:tc>
        <w:tc>
          <w:tcPr>
            <w:tcW w:w="140" w:type="dxa"/>
            <w:vAlign w:val="bottom"/>
          </w:tcPr>
          <w:p>
            <w:pPr>
              <w:spacing w:after="0"/>
              <w:rPr>
                <w:sz w:val="9"/>
                <w:szCs w:val="9"/>
                <w:color w:val="auto"/>
              </w:rPr>
            </w:pPr>
          </w:p>
        </w:tc>
        <w:tc>
          <w:tcPr>
            <w:tcW w:w="80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160"/>
              <w:spacing w:after="0" w:line="122"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(Loss) Income</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23,995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2,399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1,331,249</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837,501</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(80,978)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2,089,928</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(8,425)</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9,158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9,158</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19,379</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(9,812)</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1,339,908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827,689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(61,603)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2,100,399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40" w:type="dxa"/>
            <w:vAlign w:val="bottom"/>
            <w:tcBorders>
              <w:top w:val="single" w:sz="8" w:color="CCEEFF"/>
            </w:tcBorders>
            <w:vMerge w:val="continue"/>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(4,626)</w:t>
            </w: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6,688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2,062</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9,773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9,773</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12,811</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(9,934)</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June 30,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1,345,057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817,755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(48,794)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2,114,818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40" w:type="dxa"/>
            <w:vAlign w:val="bottom"/>
            <w:tcBorders>
              <w:top w:val="single" w:sz="8" w:color="CCEEFF"/>
            </w:tcBorders>
            <w:vMerge w:val="continue"/>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344</w:t>
            </w: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1,442</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1,789</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10,947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10,947</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(35,933)</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7,238</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September 30,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1,356,348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824,993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(84,727)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2,098,356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44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4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9"/>
                <w:szCs w:val="9"/>
                <w:color w:val="auto"/>
              </w:rPr>
            </w:pPr>
          </w:p>
        </w:tc>
        <w:tc>
          <w:tcPr>
            <w:tcW w:w="8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9"/>
                <w:szCs w:val="9"/>
                <w:color w:val="auto"/>
              </w:rPr>
            </w:pPr>
          </w:p>
        </w:tc>
        <w:tc>
          <w:tcPr>
            <w:tcW w:w="84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160"/>
              <w:spacing w:after="0" w:line="122"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(Loss) Income</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21,280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721,412</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911,787</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(19,269)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1,616,031</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2,974</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(8,743)</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rPr>
              <w:t>Issuance of common stock for acquisitions</w:t>
            </w:r>
          </w:p>
        </w:tc>
        <w:tc>
          <w:tcPr>
            <w:tcW w:w="90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575,725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575,975</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12,092</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18,641</w:t>
            </w: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(38,068)</w:t>
            </w:r>
          </w:p>
        </w:tc>
        <w:tc>
          <w:tcPr>
            <w:tcW w:w="0" w:type="dxa"/>
            <w:vAlign w:val="bottom"/>
          </w:tcPr>
          <w:p>
            <w:pPr>
              <w:spacing w:after="0"/>
              <w:rPr>
                <w:sz w:val="1"/>
                <w:szCs w:val="1"/>
                <w:color w:val="auto"/>
              </w:rPr>
            </w:pPr>
          </w:p>
        </w:tc>
      </w:tr>
      <w:tr>
        <w:trPr>
          <w:trHeight w:val="193"/>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Balance, March 31,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23,897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1,306,264</w:t>
            </w: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873,719</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2,178,902</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7,762</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(91,647)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(91,647)</w:t>
            </w: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(7,474)</w:t>
            </w:r>
          </w:p>
        </w:tc>
        <w:tc>
          <w:tcPr>
            <w:tcW w:w="0" w:type="dxa"/>
            <w:vAlign w:val="bottom"/>
          </w:tcPr>
          <w:p>
            <w:pPr>
              <w:spacing w:after="0"/>
              <w:rPr>
                <w:sz w:val="1"/>
                <w:szCs w:val="1"/>
                <w:color w:val="auto"/>
              </w:rPr>
            </w:pPr>
          </w:p>
        </w:tc>
      </w:tr>
      <w:tr>
        <w:trPr>
          <w:trHeight w:val="193"/>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Balance,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23,899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1,309,598</w:t>
            </w: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866,245</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(92,275)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2,085,866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8,743</w:t>
            </w:r>
          </w:p>
        </w:tc>
        <w:tc>
          <w:tcPr>
            <w:tcW w:w="0" w:type="dxa"/>
            <w:vAlign w:val="bottom"/>
          </w:tcPr>
          <w:p>
            <w:pPr>
              <w:spacing w:after="0"/>
              <w:rPr>
                <w:sz w:val="1"/>
                <w:szCs w:val="1"/>
                <w:color w:val="auto"/>
              </w:rPr>
            </w:pPr>
          </w:p>
        </w:tc>
      </w:tr>
      <w:tr>
        <w:trPr>
          <w:trHeight w:val="184"/>
        </w:trPr>
        <w:tc>
          <w:tcPr>
            <w:tcW w:w="444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(73,407)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(73,407)</w:t>
            </w: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(13,208)</w:t>
            </w:r>
          </w:p>
        </w:tc>
        <w:tc>
          <w:tcPr>
            <w:tcW w:w="0" w:type="dxa"/>
            <w:vAlign w:val="bottom"/>
          </w:tcPr>
          <w:p>
            <w:pPr>
              <w:spacing w:after="0"/>
              <w:rPr>
                <w:sz w:val="1"/>
                <w:szCs w:val="1"/>
                <w:color w:val="auto"/>
              </w:rPr>
            </w:pPr>
          </w:p>
        </w:tc>
      </w:tr>
      <w:tr>
        <w:trPr>
          <w:trHeight w:val="193"/>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Balance, September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23,979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1,323,178</w:t>
            </w: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853,037</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(165,682)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2,012,805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 (Unaudited)</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(In thousands)</w:t>
      </w:r>
    </w:p>
    <w:p>
      <w:pPr>
        <w:spacing w:after="0" w:line="35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Nine months ended</w:t>
      </w:r>
    </w:p>
    <w:p>
      <w:pPr>
        <w:ind w:left="9320"/>
        <w:spacing w:after="0"/>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4"/>
        </w:trPr>
        <w:tc>
          <w:tcPr>
            <w:tcW w:w="82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(12,508)</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(58,750)</w:t>
            </w:r>
          </w:p>
        </w:tc>
      </w:t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171,615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178,338</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inventory step-up</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22,676</w:t>
            </w: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Noncash lease expense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16,543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17,382</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doubtful accounts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Provision for warranty, returns and field action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3,439</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compensation</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28,597</w:t>
            </w: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Loss on disposal of property, plant and equipment and other assets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2,391</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Bond premium amortization</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Debt issuance costs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5,254</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fair value of contingent earn-out liability</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(12,256)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(31,253)</w:t>
            </w: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Usage of spare parts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13,587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7,915</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w:t>
            </w: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 net of amounts acquired:</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(8,956)</w:t>
            </w:r>
          </w:p>
        </w:tc>
      </w:tr>
      <w:tr>
        <w:trPr>
          <w:trHeight w:val="184"/>
        </w:trPr>
        <w:tc>
          <w:tcPr>
            <w:tcW w:w="8240" w:type="dxa"/>
            <w:vAlign w:val="bottom"/>
          </w:tcPr>
          <w:p>
            <w:pPr>
              <w:ind w:left="32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(66,662)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(151,840)</w:t>
            </w: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20,074</w:t>
            </w:r>
          </w:p>
        </w:tc>
      </w:tr>
      <w:tr>
        <w:trPr>
          <w:trHeight w:val="184"/>
        </w:trPr>
        <w:tc>
          <w:tcPr>
            <w:tcW w:w="8240" w:type="dxa"/>
            <w:vAlign w:val="bottom"/>
          </w:tcPr>
          <w:p>
            <w:pPr>
              <w:ind w:left="320"/>
              <w:spacing w:after="0"/>
              <w:rPr>
                <w:sz w:val="20"/>
                <w:szCs w:val="20"/>
                <w:color w:val="auto"/>
              </w:rPr>
            </w:pPr>
            <w:r>
              <w:rPr>
                <w:rFonts w:ascii="Arial" w:cs="Arial" w:eastAsia="Arial" w:hAnsi="Arial"/>
                <w:sz w:val="14"/>
                <w:szCs w:val="14"/>
                <w:color w:val="auto"/>
              </w:rPr>
              <w:t>Other assets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(18,860)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(22,594)</w:t>
            </w: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(65,049)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30,413</w:t>
            </w:r>
          </w:p>
        </w:tc>
      </w:tr>
      <w:tr>
        <w:trPr>
          <w:trHeight w:val="184"/>
        </w:trPr>
        <w:tc>
          <w:tcPr>
            <w:tcW w:w="8240" w:type="dxa"/>
            <w:vAlign w:val="bottom"/>
          </w:tcPr>
          <w:p>
            <w:pPr>
              <w:ind w:left="320"/>
              <w:spacing w:after="0"/>
              <w:rPr>
                <w:sz w:val="20"/>
                <w:szCs w:val="20"/>
                <w:color w:val="auto"/>
              </w:rPr>
            </w:pPr>
            <w:r>
              <w:rPr>
                <w:rFonts w:ascii="Arial" w:cs="Arial" w:eastAsia="Arial" w:hAnsi="Arial"/>
                <w:sz w:val="14"/>
                <w:szCs w:val="14"/>
                <w:color w:val="auto"/>
              </w:rPr>
              <w:t>Accrued liabilities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(10,532)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(38,070)</w:t>
            </w: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taxes, including excess tax benefits and deferred income taxes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(42,939)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(63,047)</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provided by (used in) operating activities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74,932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(60,418)</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(53,956)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(68,715)</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w:t>
            </w: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Business acquisitions, net of cash acquired</w:t>
            </w:r>
          </w:p>
        </w:tc>
        <w:tc>
          <w:tcPr>
            <w:tcW w:w="9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(1,844,164)</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Intangible asset additions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(6,560)</w:t>
            </w: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Purchases of investment securities</w:t>
            </w:r>
          </w:p>
        </w:tc>
        <w:tc>
          <w:tcPr>
            <w:tcW w:w="9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(3,397)</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and maturities of investment securities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36,433</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(57,297)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(1,885,470)</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Proceeds from issuance of long-term debt, net of lender debt issuance costs</w:t>
            </w:r>
          </w:p>
        </w:tc>
        <w:tc>
          <w:tcPr>
            <w:tcW w:w="9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1,672,631</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repayments of long-term debt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(22,250)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(20,250)</w:t>
            </w: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Payment of third-party debt issuance costs</w:t>
            </w:r>
          </w:p>
        </w:tc>
        <w:tc>
          <w:tcPr>
            <w:tcW w:w="9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(1,852)</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7,906</w:t>
            </w:r>
          </w:p>
        </w:tc>
      </w:tr>
      <w:tr>
        <w:trPr>
          <w:trHeight w:val="184"/>
        </w:trPr>
        <w:tc>
          <w:tcPr>
            <w:tcW w:w="8240" w:type="dxa"/>
            <w:vAlign w:val="bottom"/>
          </w:tcPr>
          <w:p>
            <w:pPr>
              <w:ind w:left="120"/>
              <w:spacing w:after="0"/>
              <w:rPr>
                <w:sz w:val="20"/>
                <w:szCs w:val="20"/>
                <w:color w:val="auto"/>
              </w:rPr>
            </w:pPr>
            <w:r>
              <w:rPr>
                <w:rFonts w:ascii="Arial" w:cs="Arial" w:eastAsia="Arial" w:hAnsi="Arial"/>
                <w:sz w:val="14"/>
                <w:szCs w:val="14"/>
                <w:color w:val="auto"/>
              </w:rPr>
              <w:t>Payments on finance leases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(477)</w:t>
            </w:r>
          </w:p>
        </w:tc>
      </w:tr>
      <w:tr>
        <w:trPr>
          <w:trHeight w:val="203"/>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withholding payments related to net share settlement of equity awards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(10,541)</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provided by financing activities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(28,130)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1,647,417</w:t>
            </w:r>
          </w:p>
        </w:tc>
      </w:tr>
      <w:tr>
        <w:trPr>
          <w:trHeight w:val="19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(10,477)</w:t>
            </w: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(11,592)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(308,948)</w:t>
            </w:r>
          </w:p>
        </w:tc>
      </w:tr>
      <w:tr>
        <w:trPr>
          <w:trHeight w:val="19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208,784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552,827</w:t>
            </w: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9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197,192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243,879</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ICU MEDICAL, INC. AND SUBSIDIARIES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CASH FLOWS (Unaudited)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(In thousands)</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2840" w:type="dxa"/>
            <w:vAlign w:val="bottom"/>
            <w:gridSpan w:val="5"/>
          </w:tcPr>
          <w:p>
            <w:pPr>
              <w:jc w:val="right"/>
              <w:ind w:right="663"/>
              <w:spacing w:after="0"/>
              <w:rPr>
                <w:sz w:val="20"/>
                <w:szCs w:val="20"/>
                <w:color w:val="auto"/>
              </w:rPr>
            </w:pPr>
            <w:r>
              <w:rPr>
                <w:rFonts w:ascii="Arial" w:cs="Arial" w:eastAsia="Arial" w:hAnsi="Arial"/>
                <w:sz w:val="17"/>
                <w:szCs w:val="17"/>
                <w:b w:val="1"/>
                <w:bCs w:val="1"/>
                <w:color w:val="auto"/>
              </w:rPr>
              <w:t>Nine months ended</w:t>
            </w:r>
          </w:p>
        </w:tc>
      </w:tr>
      <w:tr>
        <w:trPr>
          <w:trHeight w:val="224"/>
        </w:trPr>
        <w:tc>
          <w:tcPr>
            <w:tcW w:w="83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1"/>
              </w:rPr>
              <w:t>September 30,</w:t>
            </w:r>
          </w:p>
        </w:tc>
        <w:tc>
          <w:tcPr>
            <w:tcW w:w="880" w:type="dxa"/>
            <w:vAlign w:val="bottom"/>
            <w:tcBorders>
              <w:bottom w:val="single" w:sz="8" w:color="auto"/>
            </w:tcBorders>
          </w:tcPr>
          <w:p>
            <w:pPr>
              <w:spacing w:after="0"/>
              <w:rPr>
                <w:sz w:val="19"/>
                <w:szCs w:val="19"/>
                <w:color w:val="auto"/>
              </w:rPr>
            </w:pPr>
          </w:p>
        </w:tc>
      </w:tr>
      <w:tr>
        <w:trPr>
          <w:trHeight w:val="198"/>
        </w:trPr>
        <w:tc>
          <w:tcPr>
            <w:tcW w:w="83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w w:val="95"/>
              </w:rPr>
              <w:t>2022</w:t>
            </w:r>
          </w:p>
        </w:tc>
      </w:tr>
      <w:tr>
        <w:trPr>
          <w:trHeight w:val="188"/>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 OF CASH FLOW INFORMATION:</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3"/>
        </w:trPr>
        <w:tc>
          <w:tcPr>
            <w:tcW w:w="8300" w:type="dxa"/>
            <w:vAlign w:val="bottom"/>
          </w:tcPr>
          <w:p>
            <w:pPr>
              <w:ind w:left="80"/>
              <w:spacing w:after="0"/>
              <w:rPr>
                <w:sz w:val="20"/>
                <w:szCs w:val="20"/>
                <w:color w:val="auto"/>
              </w:rPr>
            </w:pPr>
            <w:r>
              <w:rPr>
                <w:rFonts w:ascii="Arial" w:cs="Arial" w:eastAsia="Arial" w:hAnsi="Arial"/>
                <w:sz w:val="15"/>
                <w:szCs w:val="15"/>
                <w:color w:val="auto"/>
              </w:rPr>
              <w:t>Accounts payable for property, plant and equipment</w:t>
            </w:r>
          </w:p>
        </w:tc>
        <w:tc>
          <w:tcPr>
            <w:tcW w:w="860" w:type="dxa"/>
            <w:vAlign w:val="bottom"/>
          </w:tcPr>
          <w:p>
            <w:pPr>
              <w:jc w:val="right"/>
              <w:ind w:right="680"/>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3,712</w:t>
            </w: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2,757</w:t>
            </w:r>
          </w:p>
        </w:tc>
      </w:tr>
      <w:tr>
        <w:trPr>
          <w:trHeight w:val="248"/>
        </w:trPr>
        <w:tc>
          <w:tcPr>
            <w:tcW w:w="8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5"/>
                <w:szCs w:val="15"/>
                <w:color w:val="auto"/>
              </w:rPr>
              <w:t>SUPPLEMENTAL DISCLOSURE OF NON-CASH INVESTING ACTIVITIES:</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Detail of assets acquired and liabilities assumed in acquisitions: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Fair value of assets acquired</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1,658,937</w:t>
            </w: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for acquisitions, net of cash acquired</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(1,844,164)</w:t>
            </w:r>
          </w:p>
        </w:tc>
      </w:tr>
      <w:tr>
        <w:trPr>
          <w:trHeight w:val="203"/>
        </w:trPr>
        <w:tc>
          <w:tcPr>
            <w:tcW w:w="8300" w:type="dxa"/>
            <w:vAlign w:val="bottom"/>
          </w:tcPr>
          <w:p>
            <w:pPr>
              <w:ind w:left="220"/>
              <w:spacing w:after="0"/>
              <w:rPr>
                <w:sz w:val="20"/>
                <w:szCs w:val="20"/>
                <w:color w:val="auto"/>
              </w:rPr>
            </w:pPr>
            <w:r>
              <w:rPr>
                <w:rFonts w:ascii="Arial" w:cs="Arial" w:eastAsia="Arial" w:hAnsi="Arial"/>
                <w:sz w:val="15"/>
                <w:szCs w:val="15"/>
                <w:color w:val="auto"/>
              </w:rPr>
              <w:t>Issuance of common stock for acquisitions</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(575,975)</w:t>
            </w:r>
          </w:p>
        </w:tc>
      </w:tr>
      <w:tr>
        <w:trPr>
          <w:trHeight w:val="20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Contingent consideration</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(55,158)</w:t>
            </w:r>
          </w:p>
        </w:tc>
      </w:tr>
      <w:tr>
        <w:trPr>
          <w:trHeight w:val="203"/>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Goodwill, acquired/adjusted during period</w:t>
            </w:r>
          </w:p>
        </w:tc>
        <w:tc>
          <w:tcPr>
            <w:tcW w:w="8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1,442,849</w:t>
            </w:r>
          </w:p>
        </w:tc>
      </w:tr>
      <w:tr>
        <w:trPr>
          <w:trHeight w:val="22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Liabilities assumed/Adjustments to liabilities assumed</w:t>
            </w:r>
          </w:p>
        </w:tc>
        <w:tc>
          <w:tcPr>
            <w:tcW w:w="8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(626,489)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22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accompanying unaudited interim condensed consolidated financial statements of ICU Medical, Inc., ("ICU" or the "Company"), a Delaware corporation,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for the year ended December 31, 2022.</w:t>
      </w:r>
    </w:p>
    <w:p>
      <w:pPr>
        <w:spacing w:after="0" w:line="182"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We develop, manufacture and sell innovative medical products used in infusion therapy, vascular access, and vital care applications. ICU's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We sell the majority of our products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211" w:lineRule="exact"/>
        <w:rPr>
          <w:sz w:val="20"/>
          <w:szCs w:val="20"/>
          <w:color w:val="auto"/>
        </w:rPr>
      </w:pPr>
    </w:p>
    <w:p>
      <w:pPr>
        <w:ind w:right="40" w:firstLine="619"/>
        <w:spacing w:after="0" w:line="279" w:lineRule="auto"/>
        <w:rPr>
          <w:sz w:val="20"/>
          <w:szCs w:val="20"/>
          <w:color w:val="auto"/>
        </w:rPr>
      </w:pPr>
      <w:r>
        <w:rPr>
          <w:rFonts w:ascii="Arial" w:cs="Arial" w:eastAsia="Arial" w:hAnsi="Arial"/>
          <w:sz w:val="16"/>
          <w:szCs w:val="16"/>
          <w:color w:val="auto"/>
        </w:rPr>
        <w:t>Certain reclassifications have been made to the prior year financial statements and footnotes to conform to the presentation used in the current year. In the statements of operations we reclassified interest income to interest expense, net from other expense, net and in Note 5: Revenues, certain reclassifications were made to revenues disaggregated by product line and by geography. Also, in Note 9: Fair Value Measurements the table indicating the Level inputs for the assets and liabilities measured at fair value on a recurring basis was updated to correct the Level input identified for the hedge assets and liabilities. These reclassifications had no impact on total revenues, net loss, shareholder's equity or cash flows as previously reported.</w:t>
      </w:r>
    </w:p>
    <w:p>
      <w:pPr>
        <w:spacing w:after="0" w:line="1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43" w:lineRule="exact"/>
        <w:rPr>
          <w:sz w:val="20"/>
          <w:szCs w:val="20"/>
          <w:color w:val="auto"/>
        </w:rPr>
      </w:pPr>
    </w:p>
    <w:p>
      <w:pPr>
        <w:ind w:firstLine="172"/>
        <w:spacing w:after="0" w:line="271" w:lineRule="auto"/>
        <w:rPr>
          <w:sz w:val="20"/>
          <w:szCs w:val="20"/>
          <w:color w:val="auto"/>
        </w:rPr>
      </w:pPr>
      <w:r>
        <w:rPr>
          <w:rFonts w:ascii="Arial" w:cs="Arial" w:eastAsia="Arial" w:hAnsi="Arial"/>
          <w:sz w:val="16"/>
          <w:szCs w:val="16"/>
          <w:color w:val="auto"/>
        </w:rPr>
        <w:t>In March 2020, the Financial Accounting Standards Board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ASU No. 2022-06, Reference Rate Reform: Deferral of the Sunset Date of Topic 848 deferred the sunset date to December 31, 2024. In November 2021, we entered into two forward-starting swaps whereby the variable leg of the swap referenced LIBOR. These swaps were amended in early 2022 to transition to an alternative reference rate (see Note 8: Derivatives and Hedging Activities). The amendments in this ASU allow for certain expedients that will allow us to assume that our hedged interest payments are probable of occurring regardless of any expected modification in their terms related to reference rate reform and will allow us to continue hedge accounting for a cash flow hedge for which the hedged interest rate risk changes if the hedge is highly effective under ASC 815, Derivatives and Hedging, or the optional expedient under this ASU is elected. The impact of this ASU on our contracts has not been and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5"/>
          <w:szCs w:val="15"/>
          <w:b w:val="1"/>
          <w:bCs w:val="1"/>
          <w:color w:val="auto"/>
        </w:rPr>
        <w:t>Acquisitions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Acquisition</w:t>
      </w:r>
    </w:p>
    <w:p>
      <w:pPr>
        <w:spacing w:after="0" w:line="243"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On January 6, 2022, we acquired 100.0% of the equity interests in Smiths Medical, the holding company of Smiths Group plc's global medical device business, from Smiths Group International Holdings Limited (“Smiths”). Consistent with our strategic growth plans, the acquisition of Smiths Medical enabled us to broaden our product offerings to include syringe and ambulatory infusion devices, vascular access, and vital care products and to strengthen and expand our global market reach.</w:t>
      </w:r>
    </w:p>
    <w:p>
      <w:pPr>
        <w:spacing w:after="0" w:line="204" w:lineRule="exact"/>
        <w:rPr>
          <w:sz w:val="20"/>
          <w:szCs w:val="20"/>
          <w:color w:val="auto"/>
        </w:rPr>
      </w:pPr>
    </w:p>
    <w:p>
      <w:pPr>
        <w:ind w:right="60" w:firstLine="619"/>
        <w:spacing w:after="0" w:line="272" w:lineRule="auto"/>
        <w:rPr>
          <w:sz w:val="20"/>
          <w:szCs w:val="20"/>
          <w:color w:val="auto"/>
        </w:rPr>
      </w:pPr>
      <w:r>
        <w:rPr>
          <w:rFonts w:ascii="Arial" w:cs="Arial" w:eastAsia="Arial" w:hAnsi="Arial"/>
          <w:sz w:val="16"/>
          <w:szCs w:val="16"/>
          <w:color w:val="auto"/>
        </w:rPr>
        <w:t>Total cash consideration for the acquisition was $1.9 billion, which was financed with existing cash balances and proceeds from the credit agreement entered into on January 6, 2022 (see Note 17: Long-Term Debt). We also issued share consideration to Smiths of 2.5 million shares of our common stock. The fair value of the common shares issued to Smiths was determined based on the opening market price of our common stock on the acquisition date. Smiths may be entitled to an additional $100.0 million in cash consideration contingent on our common stock achieving certain price targets for certain periods after closing in accordance with the terms of the Share Sale and Purchase Agreement (the "Purchase Agreement"). In the event that (a) on or prior to the third anniversary of closing the 30-day volume-weighted average price for our common stock, as defined in the Purchase Agreement, equals or exceeds $300.00 per share or (b) on or prior to the fourth anniversary of closing the 45-day volume-weighted average price for our common stock, as defined in the Purchase Agreement, equals or exceeds $300.00 per share (each a "Price Target"), and provided Smiths beneficially owns at least 50.0% of the shares of common stock issued at closing at the time the Price Target is achieved, then Smiths will be entitled to receive the additional $100.0 million in cash consideration. The fair value of the contingent consideration was determined using an option pricing model, specifically the Monte Carlo Simulation. In the analysis, the determinants of payout are simulated in a risk neutral framework over a large number of simulation paths. The fair value of the contingent consideration is then calculated as the average present value across all simulated paths.</w:t>
      </w:r>
    </w:p>
    <w:p>
      <w:pPr>
        <w:spacing w:after="0" w:line="205"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Smiths became a related party to us when we issued 2.5 million shares of our common stock as partial consideration for the acquisition of Smiths Medical. Additionally, we entered into a transition services agreement ("TSA") with certain members of Smiths Group, plc. The TSA includes certain information technology, human resource and tax support services for an initial term of twelve months with the option to extend up to 24 months. During the three and nine months ended September 30, 2023, we expensed $0.3 million and $8.3 million, respectively, for services provided under the TSA. As of September 30, 2023, we have no open payables related to the services received under the TSA.</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Final Purchase Price Allocation</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 summarizes the final purchase price and the final allocation of the purchase price related to the assets acquired and liabilities assumed (in thousands):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ind w:left="234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left="2340"/>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506095</wp:posOffset>
            </wp:positionV>
            <wp:extent cx="713867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consideration for acquired 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Fair value of contingent consideration payable to Smiths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 of ICU Medical, Inc.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Number of shares issued to Smiths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Price per share (ICU's opening market price on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47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Fair value of ICU shares issued to Smiths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147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Inventories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plant and equipment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right-of-use assets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Intangible assets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38670"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Accounts payable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liabilities</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139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Income tax payable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10" w:hanging="1010"/>
        <w:spacing w:after="0"/>
        <w:tabs>
          <w:tab w:leader="none" w:pos="1010" w:val="left"/>
        </w:tabs>
        <w:numPr>
          <w:ilvl w:val="0"/>
          <w:numId w:val="6"/>
        </w:numPr>
        <w:rPr>
          <w:rFonts w:ascii="Arial" w:cs="Arial" w:eastAsia="Arial" w:hAnsi="Arial"/>
          <w:sz w:val="16"/>
          <w:szCs w:val="16"/>
          <w:color w:val="auto"/>
        </w:rPr>
      </w:pPr>
      <w:r>
        <w:rPr>
          <w:rFonts w:ascii="Arial" w:cs="Arial" w:eastAsia="Arial" w:hAnsi="Arial"/>
          <w:sz w:val="16"/>
          <w:szCs w:val="16"/>
          <w:color w:val="auto"/>
        </w:rPr>
        <w:t>1,922,955</w:t>
      </w:r>
    </w:p>
    <w:p>
      <w:pPr>
        <w:spacing w:after="0" w:line="35" w:lineRule="exact"/>
        <w:rPr>
          <w:rFonts w:ascii="Arial" w:cs="Arial" w:eastAsia="Arial" w:hAnsi="Arial"/>
          <w:sz w:val="16"/>
          <w:szCs w:val="16"/>
          <w:color w:val="auto"/>
        </w:rPr>
      </w:pPr>
    </w:p>
    <w:p>
      <w:pPr>
        <w:ind w:left="1230"/>
        <w:spacing w:after="0"/>
        <w:rPr>
          <w:rFonts w:ascii="Arial" w:cs="Arial" w:eastAsia="Arial" w:hAnsi="Arial"/>
          <w:sz w:val="16"/>
          <w:szCs w:val="16"/>
          <w:color w:val="auto"/>
        </w:rPr>
      </w:pPr>
      <w:r>
        <w:rPr>
          <w:rFonts w:ascii="Arial" w:cs="Arial" w:eastAsia="Arial" w:hAnsi="Arial"/>
          <w:sz w:val="17"/>
          <w:szCs w:val="17"/>
          <w:color w:val="auto"/>
        </w:rPr>
        <w:t>53,520</w:t>
      </w:r>
    </w:p>
    <w:p>
      <w:pPr>
        <w:spacing w:after="0" w:line="200" w:lineRule="exact"/>
        <w:rPr>
          <w:sz w:val="20"/>
          <w:szCs w:val="20"/>
          <w:color w:val="auto"/>
        </w:rPr>
      </w:pPr>
    </w:p>
    <w:p>
      <w:pPr>
        <w:spacing w:after="0" w:line="301" w:lineRule="exact"/>
        <w:rPr>
          <w:sz w:val="20"/>
          <w:szCs w:val="20"/>
          <w:color w:val="auto"/>
        </w:rPr>
      </w:pPr>
    </w:p>
    <w:p>
      <w:pPr>
        <w:ind w:left="1310"/>
        <w:spacing w:after="0"/>
        <w:rPr>
          <w:sz w:val="20"/>
          <w:szCs w:val="20"/>
          <w:color w:val="auto"/>
        </w:rPr>
      </w:pPr>
      <w:r>
        <w:rPr>
          <w:rFonts w:ascii="Arial" w:cs="Arial" w:eastAsia="Arial" w:hAnsi="Arial"/>
          <w:sz w:val="17"/>
          <w:szCs w:val="17"/>
          <w:color w:val="auto"/>
        </w:rPr>
        <w:t>2,500</w:t>
      </w:r>
    </w:p>
    <w:p>
      <w:pPr>
        <w:spacing w:after="0" w:line="24" w:lineRule="exact"/>
        <w:rPr>
          <w:sz w:val="20"/>
          <w:szCs w:val="20"/>
          <w:color w:val="auto"/>
        </w:rPr>
      </w:pPr>
    </w:p>
    <w:p>
      <w:pPr>
        <w:ind w:left="1230" w:hanging="1230"/>
        <w:spacing w:after="0"/>
        <w:tabs>
          <w:tab w:leader="none" w:pos="1230" w:val="left"/>
        </w:tabs>
        <w:numPr>
          <w:ilvl w:val="0"/>
          <w:numId w:val="7"/>
        </w:numPr>
        <w:rPr>
          <w:rFonts w:ascii="Arial" w:cs="Arial" w:eastAsia="Arial" w:hAnsi="Arial"/>
          <w:sz w:val="17"/>
          <w:szCs w:val="17"/>
          <w:color w:val="auto"/>
        </w:rPr>
      </w:pPr>
      <w:r>
        <w:rPr>
          <w:rFonts w:ascii="Arial" w:cs="Arial" w:eastAsia="Arial" w:hAnsi="Arial"/>
          <w:sz w:val="17"/>
          <w:szCs w:val="17"/>
          <w:color w:val="auto"/>
        </w:rPr>
        <w:t>230.39</w:t>
      </w:r>
    </w:p>
    <w:p>
      <w:pPr>
        <w:spacing w:after="0" w:line="37" w:lineRule="exact"/>
        <w:rPr>
          <w:sz w:val="20"/>
          <w:szCs w:val="20"/>
          <w:color w:val="auto"/>
        </w:rPr>
      </w:pPr>
    </w:p>
    <w:p>
      <w:pPr>
        <w:ind w:left="1150" w:hanging="1150"/>
        <w:spacing w:after="0"/>
        <w:tabs>
          <w:tab w:leader="none" w:pos="1150" w:val="left"/>
        </w:tabs>
        <w:numPr>
          <w:ilvl w:val="0"/>
          <w:numId w:val="8"/>
        </w:numPr>
        <w:rPr>
          <w:rFonts w:ascii="Arial" w:cs="Arial" w:eastAsia="Arial" w:hAnsi="Arial"/>
          <w:sz w:val="16"/>
          <w:szCs w:val="16"/>
          <w:color w:val="auto"/>
        </w:rPr>
      </w:pPr>
      <w:r>
        <w:rPr>
          <w:rFonts w:ascii="Arial" w:cs="Arial" w:eastAsia="Arial" w:hAnsi="Arial"/>
          <w:sz w:val="16"/>
          <w:szCs w:val="16"/>
          <w:color w:val="auto"/>
        </w:rPr>
        <w:t>575,975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1379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8" w:lineRule="exact"/>
        <w:rPr>
          <w:sz w:val="20"/>
          <w:szCs w:val="20"/>
          <w:color w:val="auto"/>
        </w:rPr>
      </w:pPr>
    </w:p>
    <w:p>
      <w:pPr>
        <w:ind w:left="1010" w:hanging="1010"/>
        <w:spacing w:after="0"/>
        <w:tabs>
          <w:tab w:leader="none" w:pos="1010" w:val="left"/>
        </w:tabs>
        <w:numPr>
          <w:ilvl w:val="0"/>
          <w:numId w:val="9"/>
        </w:numPr>
        <w:rPr>
          <w:rFonts w:ascii="Arial" w:cs="Arial" w:eastAsia="Arial" w:hAnsi="Arial"/>
          <w:sz w:val="16"/>
          <w:szCs w:val="16"/>
          <w:color w:val="auto"/>
        </w:rPr>
      </w:pPr>
      <w:r>
        <w:rPr>
          <w:rFonts w:ascii="Arial" w:cs="Arial" w:eastAsia="Arial" w:hAnsi="Arial"/>
          <w:sz w:val="16"/>
          <w:szCs w:val="16"/>
          <w:color w:val="auto"/>
        </w:rPr>
        <w:t>2,552,450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137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1230" w:hanging="1230"/>
        <w:spacing w:after="0"/>
        <w:tabs>
          <w:tab w:leader="none" w:pos="12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78,791</w:t>
      </w:r>
    </w:p>
    <w:p>
      <w:pPr>
        <w:spacing w:after="0" w:line="23"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106,132</w:t>
      </w:r>
    </w:p>
    <w:p>
      <w:pPr>
        <w:spacing w:after="0" w:line="35"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228,919</w:t>
      </w:r>
    </w:p>
    <w:p>
      <w:pPr>
        <w:spacing w:after="0" w:line="35" w:lineRule="exact"/>
        <w:rPr>
          <w:rFonts w:ascii="Arial" w:cs="Arial" w:eastAsia="Arial" w:hAnsi="Arial"/>
          <w:sz w:val="17"/>
          <w:szCs w:val="17"/>
          <w:color w:val="auto"/>
        </w:rPr>
      </w:pPr>
    </w:p>
    <w:p>
      <w:pPr>
        <w:ind w:left="1230"/>
        <w:spacing w:after="0"/>
        <w:rPr>
          <w:rFonts w:ascii="Arial" w:cs="Arial" w:eastAsia="Arial" w:hAnsi="Arial"/>
          <w:sz w:val="17"/>
          <w:szCs w:val="17"/>
          <w:color w:val="auto"/>
        </w:rPr>
      </w:pPr>
      <w:r>
        <w:rPr>
          <w:rFonts w:ascii="Arial" w:cs="Arial" w:eastAsia="Arial" w:hAnsi="Arial"/>
          <w:sz w:val="17"/>
          <w:szCs w:val="17"/>
          <w:color w:val="auto"/>
        </w:rPr>
        <w:t>53,554</w:t>
      </w:r>
    </w:p>
    <w:p>
      <w:pPr>
        <w:spacing w:after="0" w:line="23"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206,333</w:t>
      </w:r>
    </w:p>
    <w:p>
      <w:pPr>
        <w:spacing w:after="0" w:line="35" w:lineRule="exact"/>
        <w:rPr>
          <w:rFonts w:ascii="Arial" w:cs="Arial" w:eastAsia="Arial" w:hAnsi="Arial"/>
          <w:sz w:val="17"/>
          <w:szCs w:val="17"/>
          <w:color w:val="auto"/>
        </w:rPr>
      </w:pPr>
    </w:p>
    <w:p>
      <w:pPr>
        <w:ind w:left="1230"/>
        <w:spacing w:after="0"/>
        <w:rPr>
          <w:rFonts w:ascii="Arial" w:cs="Arial" w:eastAsia="Arial" w:hAnsi="Arial"/>
          <w:sz w:val="17"/>
          <w:szCs w:val="17"/>
          <w:color w:val="auto"/>
        </w:rPr>
      </w:pPr>
      <w:r>
        <w:rPr>
          <w:rFonts w:ascii="Arial" w:cs="Arial" w:eastAsia="Arial" w:hAnsi="Arial"/>
          <w:sz w:val="17"/>
          <w:szCs w:val="17"/>
          <w:color w:val="auto"/>
        </w:rPr>
        <w:t>55,161</w:t>
      </w:r>
    </w:p>
    <w:p>
      <w:pPr>
        <w:spacing w:after="0" w:line="23" w:lineRule="exact"/>
        <w:rPr>
          <w:rFonts w:ascii="Arial" w:cs="Arial" w:eastAsia="Arial" w:hAnsi="Arial"/>
          <w:sz w:val="17"/>
          <w:szCs w:val="17"/>
          <w:color w:val="auto"/>
        </w:rPr>
      </w:pPr>
    </w:p>
    <w:p>
      <w:pPr>
        <w:ind w:left="1150"/>
        <w:spacing w:after="0"/>
        <w:rPr>
          <w:rFonts w:ascii="Arial" w:cs="Arial" w:eastAsia="Arial" w:hAnsi="Arial"/>
          <w:sz w:val="17"/>
          <w:szCs w:val="17"/>
          <w:color w:val="auto"/>
        </w:rPr>
      </w:pPr>
      <w:r>
        <w:rPr>
          <w:rFonts w:ascii="Arial" w:cs="Arial" w:eastAsia="Arial" w:hAnsi="Arial"/>
          <w:sz w:val="16"/>
          <w:szCs w:val="16"/>
          <w:color w:val="auto"/>
        </w:rPr>
        <w:t>945,000</w:t>
      </w:r>
    </w:p>
    <w:p>
      <w:pPr>
        <w:spacing w:after="0" w:line="35" w:lineRule="exact"/>
        <w:rPr>
          <w:rFonts w:ascii="Arial" w:cs="Arial" w:eastAsia="Arial" w:hAnsi="Arial"/>
          <w:sz w:val="17"/>
          <w:szCs w:val="17"/>
          <w:color w:val="auto"/>
        </w:rPr>
      </w:pPr>
    </w:p>
    <w:p>
      <w:pPr>
        <w:ind w:left="1450"/>
        <w:spacing w:after="0"/>
        <w:rPr>
          <w:rFonts w:ascii="Arial" w:cs="Arial" w:eastAsia="Arial" w:hAnsi="Arial"/>
          <w:sz w:val="17"/>
          <w:szCs w:val="17"/>
          <w:color w:val="auto"/>
        </w:rPr>
      </w:pPr>
      <w:r>
        <w:rPr>
          <w:rFonts w:ascii="Arial" w:cs="Arial" w:eastAsia="Arial" w:hAnsi="Arial"/>
          <w:sz w:val="17"/>
          <w:szCs w:val="17"/>
          <w:color w:val="auto"/>
        </w:rPr>
        <w:t>379</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(105,291)</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(173,151)</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(40,312)</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(85,490)</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(187,455)</w:t>
      </w:r>
    </w:p>
    <w:p>
      <w:pPr>
        <w:spacing w:after="0" w:line="22" w:lineRule="exact"/>
        <w:rPr>
          <w:sz w:val="20"/>
          <w:szCs w:val="20"/>
          <w:color w:val="auto"/>
        </w:rPr>
      </w:pPr>
    </w:p>
    <w:p>
      <w:pPr>
        <w:sectPr>
          <w:pgSz w:w="11900" w:h="16838" w:orient="portrait"/>
          <w:cols w:equalWidth="0" w:num="2">
            <w:col w:w="8900" w:space="570"/>
            <w:col w:w="177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4"/>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identifiable net assets acquired</w:t>
            </w: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1,082,570</w:t>
            </w:r>
          </w:p>
        </w:tc>
      </w:tr>
      <w:tr>
        <w:trPr>
          <w:trHeight w:val="211"/>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 not tax deductible</w:t>
            </w:r>
          </w:p>
        </w:tc>
        <w:tc>
          <w:tcPr>
            <w:tcW w:w="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1,469,880</w:t>
            </w:r>
          </w:p>
        </w:tc>
      </w:tr>
      <w:tr>
        <w:trPr>
          <w:trHeight w:val="213"/>
        </w:trPr>
        <w:tc>
          <w:tcPr>
            <w:tcW w:w="9460" w:type="dxa"/>
            <w:vAlign w:val="bottom"/>
          </w:tcPr>
          <w:p>
            <w:pPr>
              <w:ind w:left="20"/>
              <w:spacing w:after="0"/>
              <w:rPr>
                <w:sz w:val="20"/>
                <w:szCs w:val="20"/>
                <w:color w:val="auto"/>
              </w:rPr>
            </w:pPr>
            <w:r>
              <w:rPr>
                <w:rFonts w:ascii="Arial" w:cs="Arial" w:eastAsia="Arial" w:hAnsi="Arial"/>
                <w:sz w:val="17"/>
                <w:szCs w:val="17"/>
                <w:color w:val="auto"/>
              </w:rPr>
              <w:t>Estimated Purchase Consideration</w:t>
            </w: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2,552,450</w:t>
            </w:r>
          </w:p>
        </w:tc>
      </w:tr>
      <w:tr>
        <w:trPr>
          <w:trHeight w:val="20"/>
        </w:trPr>
        <w:tc>
          <w:tcPr>
            <w:tcW w:w="9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52" w:lineRule="exact"/>
        <w:rPr>
          <w:sz w:val="20"/>
          <w:szCs w:val="20"/>
          <w:color w:val="auto"/>
        </w:rPr>
      </w:pPr>
    </w:p>
    <w:p>
      <w:pPr>
        <w:ind w:left="220" w:hanging="217"/>
        <w:spacing w:after="0"/>
        <w:tabs>
          <w:tab w:leader="none" w:pos="2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Identifiable intangible assets include $510.0 million of customer relationships, $400.0 million of developed technology, $30.0 million of internally developed software, and</w:t>
      </w:r>
    </w:p>
    <w:p>
      <w:pPr>
        <w:jc w:val="both"/>
        <w:ind w:left="320" w:right="60"/>
        <w:spacing w:after="0" w:line="268" w:lineRule="auto"/>
        <w:rPr>
          <w:sz w:val="20"/>
          <w:szCs w:val="20"/>
          <w:color w:val="auto"/>
        </w:rPr>
      </w:pPr>
      <w:r>
        <w:rPr>
          <w:rFonts w:ascii="Arial" w:cs="Arial" w:eastAsia="Arial" w:hAnsi="Arial"/>
          <w:sz w:val="15"/>
          <w:szCs w:val="15"/>
          <w:color w:val="auto"/>
        </w:rPr>
        <w:t>$5.0 million of trademark. The estimated weighted-average amortization period for the total identifiable intangible assets is approximately nine years, and, for each identifiable intangible asset is estimated as follows: eight years for customer relationships, ten years for developed technology, five years for internally developed software, and six months for the trademark.</w:t>
      </w:r>
    </w:p>
    <w:p>
      <w:pPr>
        <w:spacing w:after="0" w:line="16" w:lineRule="exact"/>
        <w:rPr>
          <w:sz w:val="20"/>
          <w:szCs w:val="20"/>
          <w:color w:val="auto"/>
        </w:rPr>
      </w:pPr>
    </w:p>
    <w:p>
      <w:pPr>
        <w:ind w:left="320" w:right="120" w:hanging="317"/>
        <w:spacing w:after="0" w:line="232" w:lineRule="auto"/>
        <w:tabs>
          <w:tab w:leader="none" w:pos="228"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Accrued liabilities includes, among other things, accrued warranty reserves, accrued restructuring initiatives, accrued salaries and related benefits, deferred revenue and accrued sales and use taxes.</w:t>
      </w:r>
    </w:p>
    <w:p>
      <w:pPr>
        <w:spacing w:after="0" w:line="200" w:lineRule="exact"/>
        <w:rPr>
          <w:sz w:val="20"/>
          <w:szCs w:val="20"/>
          <w:color w:val="auto"/>
        </w:rPr>
      </w:pPr>
    </w:p>
    <w:p>
      <w:pPr>
        <w:ind w:right="100" w:firstLine="619"/>
        <w:spacing w:after="0" w:line="255" w:lineRule="auto"/>
        <w:rPr>
          <w:sz w:val="20"/>
          <w:szCs w:val="20"/>
          <w:color w:val="auto"/>
        </w:rPr>
      </w:pPr>
      <w:r>
        <w:rPr>
          <w:rFonts w:ascii="Arial" w:cs="Arial" w:eastAsia="Arial" w:hAnsi="Arial"/>
          <w:sz w:val="16"/>
          <w:szCs w:val="16"/>
          <w:color w:val="auto"/>
        </w:rPr>
        <w:t>The identifiable intangible assets and other long-lived assets acquired have been valued utilizing Level 3 inputs as defined in Note 9: Fair Value Measurements. The fair value of identifiable intangible assets was generally developed using the income approach and are based on critical estimates, judgments and assumptions derived from: analysis of market conditions; discount rate; discounted cash flows; royalty rates; customer retention rates; and/or estimated useful lives. Certain other intangible assets were valued using a cost to replace method, estimating the labor and non-labor costs required to replace the asset under the premise that it was not part of the transaction. Property, plant and equipment was valued with the consideration of remaining economic lives. The raw materials inventory was valued at historical cost and adjusted for any obsolescence which we estimate to approximate replacement cost, the work in process inventory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Unaudited Pro Forma Information</w:t>
      </w:r>
    </w:p>
    <w:p>
      <w:pPr>
        <w:spacing w:after="0" w:line="243"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Smiths Medical is included in our consolidated results beginning on January 7, 2022. Total revenues and net loss attributable to Smiths Medical for the period from January 7, 2022 to September 30, 2022 were estimated to be $699.1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and $79.0 million, respectively, and for the three months ended September 30, 2022 were estimated to be $261.4 million and $13.6 million, respectively. The following unaudited pro forma financial information presents the combined results of operations of ICU and Smiths Medical as if the acquisition had occurred on January 1, 2021. The pro forma financial information is presented for informational purposes only and is not indicative of the results of operations that would have been achieved if the acquisition had taken place on the date indicated or of results that may occur in the future.</w:t>
      </w:r>
    </w:p>
    <w:tbl>
      <w:tblPr>
        <w:tblLayout w:type="fixed"/>
        <w:tblInd w:w="0" w:type="dxa"/>
        <w:tblCellMar>
          <w:top w:w="0" w:type="dxa"/>
          <w:left w:w="0" w:type="dxa"/>
          <w:bottom w:w="0" w:type="dxa"/>
          <w:right w:w="0" w:type="dxa"/>
        </w:tblCellMar>
      </w:tblPr>
      <w:tr>
        <w:trPr>
          <w:trHeight w:val="156"/>
        </w:trPr>
        <w:tc>
          <w:tcPr>
            <w:tcW w:w="74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 thousands)</w:t>
            </w:r>
          </w:p>
        </w:tc>
        <w:tc>
          <w:tcPr>
            <w:tcW w:w="160" w:type="dxa"/>
            <w:vAlign w:val="bottom"/>
          </w:tcPr>
          <w:p>
            <w:pPr>
              <w:spacing w:after="0"/>
              <w:rPr>
                <w:sz w:val="13"/>
                <w:szCs w:val="13"/>
                <w:color w:val="auto"/>
              </w:rPr>
            </w:pPr>
          </w:p>
        </w:tc>
        <w:tc>
          <w:tcPr>
            <w:tcW w:w="1820" w:type="dxa"/>
            <w:vAlign w:val="bottom"/>
            <w:gridSpan w:val="2"/>
          </w:tcPr>
          <w:p>
            <w:pPr>
              <w:jc w:val="center"/>
              <w:ind w:right="300"/>
              <w:spacing w:after="0" w:line="156" w:lineRule="exact"/>
              <w:rPr>
                <w:sz w:val="20"/>
                <w:szCs w:val="20"/>
                <w:color w:val="auto"/>
              </w:rPr>
            </w:pPr>
            <w:r>
              <w:rPr>
                <w:rFonts w:ascii="Arial" w:cs="Arial" w:eastAsia="Arial" w:hAnsi="Arial"/>
                <w:sz w:val="15"/>
                <w:szCs w:val="15"/>
                <w:b w:val="1"/>
                <w:bCs w:val="1"/>
                <w:color w:val="auto"/>
                <w:w w:val="92"/>
              </w:rPr>
              <w:t>Three months ended</w:t>
            </w:r>
          </w:p>
        </w:tc>
        <w:tc>
          <w:tcPr>
            <w:tcW w:w="200" w:type="dxa"/>
            <w:vAlign w:val="bottom"/>
          </w:tcPr>
          <w:p>
            <w:pPr>
              <w:spacing w:after="0"/>
              <w:rPr>
                <w:sz w:val="13"/>
                <w:szCs w:val="13"/>
                <w:color w:val="auto"/>
              </w:rPr>
            </w:pPr>
          </w:p>
        </w:tc>
        <w:tc>
          <w:tcPr>
            <w:tcW w:w="1660" w:type="dxa"/>
            <w:vAlign w:val="bottom"/>
          </w:tcPr>
          <w:p>
            <w:pPr>
              <w:ind w:left="100"/>
              <w:spacing w:after="0" w:line="156" w:lineRule="exact"/>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4"/>
        </w:trPr>
        <w:tc>
          <w:tcPr>
            <w:tcW w:w="74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September 30, 2022</w:t>
            </w:r>
          </w:p>
        </w:tc>
        <w:tc>
          <w:tcPr>
            <w:tcW w:w="200" w:type="dxa"/>
            <w:vAlign w:val="bottom"/>
          </w:tcPr>
          <w:p>
            <w:pPr>
              <w:spacing w:after="0"/>
              <w:rPr>
                <w:sz w:val="17"/>
                <w:szCs w:val="17"/>
                <w:color w:val="auto"/>
              </w:rPr>
            </w:pPr>
          </w:p>
        </w:tc>
        <w:tc>
          <w:tcPr>
            <w:tcW w:w="1660" w:type="dxa"/>
            <w:vAlign w:val="bottom"/>
          </w:tcPr>
          <w:p>
            <w:pPr>
              <w:ind w:left="100"/>
              <w:spacing w:after="0"/>
              <w:rPr>
                <w:sz w:val="20"/>
                <w:szCs w:val="20"/>
                <w:color w:val="auto"/>
              </w:rPr>
            </w:pPr>
            <w:r>
              <w:rPr>
                <w:rFonts w:ascii="Arial" w:cs="Arial" w:eastAsia="Arial" w:hAnsi="Arial"/>
                <w:sz w:val="15"/>
                <w:szCs w:val="15"/>
                <w:b w:val="1"/>
                <w:bCs w:val="1"/>
                <w:color w:val="auto"/>
              </w:rPr>
              <w:t>September 30, 2022</w:t>
            </w:r>
          </w:p>
        </w:tc>
        <w:tc>
          <w:tcPr>
            <w:tcW w:w="0" w:type="dxa"/>
            <w:vAlign w:val="bottom"/>
          </w:tcPr>
          <w:p>
            <w:pPr>
              <w:spacing w:after="0"/>
              <w:rPr>
                <w:sz w:val="1"/>
                <w:szCs w:val="1"/>
                <w:color w:val="auto"/>
              </w:rPr>
            </w:pPr>
          </w:p>
        </w:tc>
      </w:tr>
      <w:tr>
        <w:trPr>
          <w:trHeight w:val="214"/>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w w:val="97"/>
              </w:rPr>
              <w:t>597,857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1,722,357</w:t>
            </w:r>
          </w:p>
        </w:tc>
        <w:tc>
          <w:tcPr>
            <w:tcW w:w="0" w:type="dxa"/>
            <w:vAlign w:val="bottom"/>
          </w:tcPr>
          <w:p>
            <w:pPr>
              <w:spacing w:after="0"/>
              <w:rPr>
                <w:sz w:val="1"/>
                <w:szCs w:val="1"/>
                <w:color w:val="auto"/>
              </w:rPr>
            </w:pPr>
          </w:p>
        </w:tc>
      </w:tr>
      <w:tr>
        <w:trPr>
          <w:trHeight w:val="218"/>
        </w:trPr>
        <w:tc>
          <w:tcPr>
            <w:tcW w:w="74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Pr>
          <w:p>
            <w:pPr>
              <w:ind w:left="1080"/>
              <w:spacing w:after="0"/>
              <w:rPr>
                <w:sz w:val="20"/>
                <w:szCs w:val="20"/>
                <w:color w:val="auto"/>
              </w:rPr>
            </w:pPr>
            <w:r>
              <w:rPr>
                <w:rFonts w:ascii="Arial" w:cs="Arial" w:eastAsia="Arial" w:hAnsi="Arial"/>
                <w:sz w:val="17"/>
                <w:szCs w:val="17"/>
                <w:color w:val="auto"/>
                <w:w w:val="91"/>
              </w:rPr>
              <w:t>(13,208)</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(54,840)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40" w:firstLine="619"/>
        <w:spacing w:after="0" w:line="257" w:lineRule="auto"/>
        <w:rPr>
          <w:sz w:val="20"/>
          <w:szCs w:val="20"/>
          <w:color w:val="auto"/>
        </w:rPr>
      </w:pPr>
      <w:r>
        <w:rPr>
          <w:rFonts w:ascii="Arial" w:cs="Arial" w:eastAsia="Arial" w:hAnsi="Arial"/>
          <w:sz w:val="17"/>
          <w:szCs w:val="17"/>
          <w:color w:val="auto"/>
        </w:rPr>
        <w:t>The unaudited pro forma results presented above include the impact of the following adjustments: incremental amortization expense on intangible assets acquired of $1.9 million for the nine months ended September 30, 2022, incremental interest expense, including amortization of debt discount and debt issuance costs on the Senior Secured Credit Facilities (as defined in Note 17: Long-Term Debt) of $1.4 million for the nine months ended September 30, 2022 and a $27.4 million expense adjustment related to the increase in fair value of inventory to remove the expense for the nine months ended September 30, 2022. The unaudited pro forma results include IFRS to U.S. GAAP adjustments for Smiths Medical's historical results and adjustments for accounting policy alignment, which were materially similar to the Company. Any differences in accounting policies were adjusted to reflect the accounting policies of the Company in the unaudited pro forma results presented.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Restructuring, Strategic Transaction and Integration</w:t>
      </w:r>
    </w:p>
    <w:p>
      <w:pPr>
        <w:spacing w:after="0" w:line="249" w:lineRule="exact"/>
        <w:rPr>
          <w:sz w:val="20"/>
          <w:szCs w:val="20"/>
          <w:color w:val="auto"/>
        </w:rPr>
      </w:pPr>
    </w:p>
    <w:p>
      <w:pPr>
        <w:ind w:right="380" w:firstLine="172"/>
        <w:spacing w:after="0" w:line="279" w:lineRule="auto"/>
        <w:rPr>
          <w:sz w:val="20"/>
          <w:szCs w:val="20"/>
          <w:color w:val="auto"/>
        </w:rPr>
      </w:pPr>
      <w:r>
        <w:rPr>
          <w:rFonts w:ascii="Arial" w:cs="Arial" w:eastAsia="Arial" w:hAnsi="Arial"/>
          <w:sz w:val="17"/>
          <w:szCs w:val="17"/>
          <w:color w:val="auto"/>
        </w:rPr>
        <w:t>Restructuring, strategic transaction and integration expenses were $7.2 million and $14.4 million for the three months ended September 30, 2023 and 2022, respectively and $30.5 million and $61.8 million for the nine months ended September 30, 2023 and 2022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w:t>
      </w:r>
    </w:p>
    <w:p>
      <w:pPr>
        <w:spacing w:after="0" w:line="243" w:lineRule="exact"/>
        <w:rPr>
          <w:sz w:val="20"/>
          <w:szCs w:val="20"/>
          <w:color w:val="auto"/>
        </w:rPr>
      </w:pPr>
    </w:p>
    <w:p>
      <w:pPr>
        <w:ind w:firstLine="172"/>
        <w:spacing w:after="0" w:line="262" w:lineRule="auto"/>
        <w:rPr>
          <w:sz w:val="20"/>
          <w:szCs w:val="20"/>
          <w:color w:val="auto"/>
        </w:rPr>
      </w:pPr>
      <w:r>
        <w:rPr>
          <w:rFonts w:ascii="Arial" w:cs="Arial" w:eastAsia="Arial" w:hAnsi="Arial"/>
          <w:sz w:val="17"/>
          <w:szCs w:val="17"/>
          <w:color w:val="auto"/>
        </w:rPr>
        <w:t>During the three and nine months ended September 30, 2023, restructuring charges were $1.1 million and $5.1 million, respectively, as compared to $2.4 million and $7.3 million, respectively, for the three and nine months ended September 30, 2022 and were primarily related to severance costs for all periods. The restructuring charges for the three and nine months ended September 30, 2023 are net of $0.2 million of facility closures costs that were reversed in the current periods.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in our restructuring-related accrual by major type of cost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Severance Pay and</w:t>
            </w:r>
          </w:p>
        </w:tc>
        <w:tc>
          <w:tcPr>
            <w:tcW w:w="120" w:type="dxa"/>
            <w:vAlign w:val="bottom"/>
          </w:tcPr>
          <w:p>
            <w:pPr>
              <w:spacing w:after="0"/>
              <w:rPr>
                <w:sz w:val="15"/>
                <w:szCs w:val="15"/>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Retention and Facility</w:t>
            </w:r>
          </w:p>
        </w:tc>
        <w:tc>
          <w:tcPr>
            <w:tcW w:w="400" w:type="dxa"/>
            <w:vAlign w:val="bottom"/>
          </w:tcPr>
          <w:p>
            <w:pPr>
              <w:spacing w:after="0"/>
              <w:rPr>
                <w:sz w:val="15"/>
                <w:szCs w:val="15"/>
                <w:color w:val="auto"/>
              </w:rPr>
            </w:pPr>
          </w:p>
        </w:tc>
        <w:tc>
          <w:tcPr>
            <w:tcW w:w="1380" w:type="dxa"/>
            <w:vAlign w:val="bottom"/>
            <w:vMerge w:val="restart"/>
          </w:tcPr>
          <w:p>
            <w:pPr>
              <w:jc w:val="right"/>
              <w:ind w:right="63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Benefits</w:t>
            </w:r>
          </w:p>
        </w:tc>
        <w:tc>
          <w:tcPr>
            <w:tcW w:w="120" w:type="dxa"/>
            <w:vAlign w:val="bottom"/>
          </w:tcPr>
          <w:p>
            <w:pPr>
              <w:spacing w:after="0"/>
              <w:rPr>
                <w:sz w:val="17"/>
                <w:szCs w:val="17"/>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Closure Costs</w:t>
            </w:r>
          </w:p>
        </w:tc>
        <w:tc>
          <w:tcPr>
            <w:tcW w:w="4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5,923</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Arial" w:cs="Arial" w:eastAsia="Arial" w:hAnsi="Arial"/>
                <w:sz w:val="17"/>
                <w:szCs w:val="17"/>
                <w:color w:val="auto"/>
              </w:rPr>
              <w:t>Charges incurred</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2,732</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line="21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Currency translation</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7"/>
                <w:szCs w:val="17"/>
                <w:b w:val="1"/>
                <w:bCs w:val="1"/>
                <w:color w:val="auto"/>
              </w:rPr>
              <w:t>Accrued balance, March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6,546</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Charges incurred</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Arial" w:cs="Arial" w:eastAsia="Arial" w:hAnsi="Arial"/>
                <w:sz w:val="17"/>
                <w:szCs w:val="17"/>
                <w:color w:val="auto"/>
              </w:rPr>
              <w:t>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(3,302)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(3,329)</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7"/>
                <w:szCs w:val="17"/>
                <w:b w:val="1"/>
                <w:bCs w:val="1"/>
                <w:color w:val="auto"/>
              </w:rPr>
              <w:t>Accrued balance, June 30,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4,771</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Charges incurred</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Arial" w:cs="Arial" w:eastAsia="Arial" w:hAnsi="Arial"/>
                <w:sz w:val="17"/>
                <w:szCs w:val="17"/>
                <w:color w:val="auto"/>
              </w:rPr>
              <w:t>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(1,297)</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8"/>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Currency translation</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380" w:firstLine="3"/>
        <w:spacing w:after="0" w:line="245" w:lineRule="auto"/>
        <w:tabs>
          <w:tab w:leader="none" w:pos="173"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Primarily relates to prior year accrued restructuring charges for estimated facility closure costs that were reversed during the three months ended March 31, 2023.</w:t>
      </w:r>
    </w:p>
    <w:p>
      <w:pPr>
        <w:ind w:right="100" w:firstLine="3"/>
        <w:spacing w:after="0" w:line="239" w:lineRule="auto"/>
        <w:tabs>
          <w:tab w:leader="none" w:pos="173"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Primarily relates to prior year accrued restructuring charges for estimated facility closure costs that were reversed during the three months ended September 30, 2023.</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43" w:lineRule="exact"/>
        <w:rPr>
          <w:sz w:val="20"/>
          <w:szCs w:val="20"/>
          <w:color w:val="auto"/>
        </w:rPr>
      </w:pPr>
    </w:p>
    <w:p>
      <w:pPr>
        <w:ind w:firstLine="172"/>
        <w:spacing w:after="0" w:line="275" w:lineRule="auto"/>
        <w:rPr>
          <w:sz w:val="20"/>
          <w:szCs w:val="20"/>
          <w:color w:val="auto"/>
        </w:rPr>
      </w:pPr>
      <w:r>
        <w:rPr>
          <w:rFonts w:ascii="Arial" w:cs="Arial" w:eastAsia="Arial" w:hAnsi="Arial"/>
          <w:sz w:val="16"/>
          <w:szCs w:val="16"/>
          <w:color w:val="auto"/>
        </w:rPr>
        <w:t>We incurred and expensed $6.1 million and $12.0 million in strategic transaction and integration expenses during the three months ended September 30, 2023 and 2022, respectively, and we incurred and expensed $25.4 million and $54.5 million in strategic transaction and integration expenses during the nine months ended September 30, 2023 and 2022, respectively, which are included in restructuring, strategic transaction and integration expenses in our condensed consolidated statements of operations. The strategic transaction and integration expenses during the three and nine months ended September 30, 2023 were primarily related to consulting expenses and employee costs incurred to integrate our Smiths Medical business acquired in 2022. The strategic transaction and integration expenses for the three and nine months ended September 30, 2022 were primarily related to transaction and integration expenses associated with our acquisition of Smiths Medical on January 6, 2022 (see Note 3: Acquisitions) which primarily included legal expenses, bank fees, and employee costs. The nine months ended September 30, 2022 also included a United Kingdom stamp tax.</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Revenue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43" w:lineRule="exact"/>
        <w:rPr>
          <w:sz w:val="20"/>
          <w:szCs w:val="20"/>
          <w:color w:val="auto"/>
        </w:rPr>
      </w:pPr>
    </w:p>
    <w:p>
      <w:pPr>
        <w:ind w:right="40" w:firstLine="172"/>
        <w:spacing w:after="0" w:line="258" w:lineRule="auto"/>
        <w:rPr>
          <w:sz w:val="20"/>
          <w:szCs w:val="20"/>
          <w:color w:val="auto"/>
        </w:rPr>
      </w:pPr>
      <w:r>
        <w:rPr>
          <w:rFonts w:ascii="Arial" w:cs="Arial" w:eastAsia="Arial" w:hAnsi="Arial"/>
          <w:sz w:val="17"/>
          <w:szCs w:val="17"/>
          <w:color w:val="auto"/>
        </w:rPr>
        <w:t>As part of the integration of our acquisition of Smiths Medical, we have now migrated to our new business unit structure of Consumables, Infusion Systems and Vital Care. The vast majority of our sales of products within these business units are made on a stand-alone basis to hospitals and distributors. Our revenues are recorded at the net sales price, which includes an estimate for variable consideration related to rebates, chargebacks and product returns.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209" w:lineRule="exact"/>
        <w:rPr>
          <w:sz w:val="20"/>
          <w:szCs w:val="20"/>
          <w:color w:val="auto"/>
        </w:rPr>
      </w:pPr>
    </w:p>
    <w:p>
      <w:pPr>
        <w:ind w:right="160" w:firstLine="172"/>
        <w:spacing w:after="0" w:line="297" w:lineRule="auto"/>
        <w:rPr>
          <w:sz w:val="20"/>
          <w:szCs w:val="20"/>
          <w:color w:val="auto"/>
        </w:rPr>
      </w:pPr>
      <w:r>
        <w:rPr>
          <w:rFonts w:ascii="Arial" w:cs="Arial" w:eastAsia="Arial" w:hAnsi="Arial"/>
          <w:sz w:val="15"/>
          <w:szCs w:val="15"/>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the prices we charge our distribution customers and the contracted prices we have with the end customer which are processed as credits to our distribution customers. In estimating the expected value of chargeback amounts in order to determine the transaction price, we use information available at the time, including our historical experience.</w:t>
      </w:r>
    </w:p>
    <w:p>
      <w:pPr>
        <w:spacing w:after="0" w:line="182" w:lineRule="exact"/>
        <w:rPr>
          <w:sz w:val="20"/>
          <w:szCs w:val="20"/>
          <w:color w:val="auto"/>
        </w:rPr>
      </w:pPr>
    </w:p>
    <w:p>
      <w:pPr>
        <w:ind w:right="320" w:firstLine="172"/>
        <w:spacing w:after="0" w:line="262" w:lineRule="auto"/>
        <w:rPr>
          <w:sz w:val="20"/>
          <w:szCs w:val="20"/>
          <w:color w:val="auto"/>
        </w:rPr>
      </w:pPr>
      <w:r>
        <w:rPr>
          <w:rFonts w:ascii="Arial" w:cs="Arial" w:eastAsia="Arial" w:hAnsi="Arial"/>
          <w:sz w:val="17"/>
          <w:szCs w:val="17"/>
          <w:color w:val="auto"/>
        </w:rPr>
        <w:t>We also warranty products against defects and have a policy permitting the return of defective products, for which we accrue and expense at the time of sale using information available at that time and our historical experience. We also provide extended service-type warranties, which we consider to be separate performance obligations. We allocate a portion of the transaction price to the extended service-type warranty based on its estimated relative stand-alone selling price, and recognize revenue over the period the warranty service is provided.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Disaggregated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represents our revenues disaggregated by product line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980" w:type="dxa"/>
            <w:vAlign w:val="bottom"/>
            <w:gridSpan w:val="4"/>
          </w:tcPr>
          <w:p>
            <w:pPr>
              <w:jc w:val="center"/>
              <w:ind w:left="534"/>
              <w:spacing w:after="0"/>
              <w:rPr>
                <w:sz w:val="20"/>
                <w:szCs w:val="20"/>
                <w:color w:val="auto"/>
              </w:rPr>
            </w:pPr>
            <w:r>
              <w:rPr>
                <w:rFonts w:ascii="Arial" w:cs="Arial" w:eastAsia="Arial" w:hAnsi="Arial"/>
                <w:sz w:val="17"/>
                <w:szCs w:val="17"/>
                <w:b w:val="1"/>
                <w:bCs w:val="1"/>
                <w:color w:val="auto"/>
                <w:w w:val="90"/>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3"/>
          </w:tcPr>
          <w:p>
            <w:pPr>
              <w:jc w:val="center"/>
              <w:ind w:left="554"/>
              <w:spacing w:after="0"/>
              <w:rPr>
                <w:sz w:val="20"/>
                <w:szCs w:val="20"/>
                <w:color w:val="auto"/>
              </w:rPr>
            </w:pPr>
            <w:r>
              <w:rPr>
                <w:rFonts w:ascii="Arial" w:cs="Arial" w:eastAsia="Arial" w:hAnsi="Arial"/>
                <w:sz w:val="17"/>
                <w:szCs w:val="17"/>
                <w:b w:val="1"/>
                <w:bCs w:val="1"/>
                <w:color w:val="auto"/>
                <w:w w:val="88"/>
              </w:rPr>
              <w:t>Nine months ended</w:t>
            </w:r>
          </w:p>
        </w:tc>
        <w:tc>
          <w:tcPr>
            <w:tcW w:w="1100" w:type="dxa"/>
            <w:vAlign w:val="bottom"/>
          </w:tcPr>
          <w:p>
            <w:pPr>
              <w:spacing w:after="0"/>
              <w:rPr>
                <w:sz w:val="16"/>
                <w:szCs w:val="16"/>
                <w:color w:val="auto"/>
              </w:rPr>
            </w:pPr>
          </w:p>
        </w:tc>
      </w:tr>
      <w:tr>
        <w:trPr>
          <w:trHeight w:val="225"/>
        </w:trPr>
        <w:tc>
          <w:tcPr>
            <w:tcW w:w="38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7"/>
                <w:szCs w:val="17"/>
                <w:b w:val="1"/>
                <w:bCs w:val="1"/>
                <w:color w:val="auto"/>
                <w:w w:val="89"/>
              </w:rPr>
              <w:t>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7"/>
                <w:szCs w:val="17"/>
                <w:b w:val="1"/>
                <w:bCs w:val="1"/>
                <w:color w:val="auto"/>
                <w:w w:val="89"/>
              </w:rPr>
              <w:t>September 30,</w:t>
            </w:r>
          </w:p>
        </w:tc>
        <w:tc>
          <w:tcPr>
            <w:tcW w:w="1100" w:type="dxa"/>
            <w:vAlign w:val="bottom"/>
            <w:tcBorders>
              <w:bottom w:val="single" w:sz="8" w:color="auto"/>
            </w:tcBorders>
          </w:tcPr>
          <w:p>
            <w:pPr>
              <w:spacing w:after="0"/>
              <w:rPr>
                <w:sz w:val="19"/>
                <w:szCs w:val="19"/>
                <w:color w:val="auto"/>
              </w:rPr>
            </w:pPr>
          </w:p>
        </w:tc>
      </w:tr>
      <w:tr>
        <w:trPr>
          <w:trHeight w:val="21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Product line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95"/>
              </w:rPr>
              <w:t>2022</w:t>
            </w:r>
          </w:p>
        </w:tc>
      </w:tr>
      <w:tr>
        <w:trPr>
          <w:trHeight w:val="212"/>
        </w:trPr>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Consumables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242,010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251,572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715,108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732,756</w:t>
            </w:r>
          </w:p>
        </w:tc>
      </w:tr>
      <w:tr>
        <w:trPr>
          <w:trHeight w:val="218"/>
        </w:trPr>
        <w:tc>
          <w:tcPr>
            <w:tcW w:w="3800" w:type="dxa"/>
            <w:vAlign w:val="bottom"/>
          </w:tcPr>
          <w:p>
            <w:pPr>
              <w:ind w:left="140"/>
              <w:spacing w:after="0"/>
              <w:rPr>
                <w:sz w:val="20"/>
                <w:szCs w:val="20"/>
                <w:color w:val="auto"/>
              </w:rPr>
            </w:pPr>
            <w:r>
              <w:rPr>
                <w:rFonts w:ascii="Arial" w:cs="Arial" w:eastAsia="Arial" w:hAnsi="Arial"/>
                <w:sz w:val="17"/>
                <w:szCs w:val="17"/>
                <w:color w:val="auto"/>
              </w:rPr>
              <w:t>Infusion Systems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148,981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161,555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463,836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448,426</w:t>
            </w:r>
          </w:p>
        </w:tc>
      </w:tr>
      <w:tr>
        <w:trPr>
          <w:trHeight w:val="219"/>
        </w:trPr>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Vital Care</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162,320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184,730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492,326</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520,801</w:t>
            </w:r>
          </w:p>
        </w:tc>
      </w:tr>
      <w:tr>
        <w:trPr>
          <w:trHeight w:val="213"/>
        </w:trPr>
        <w:tc>
          <w:tcPr>
            <w:tcW w:w="3800" w:type="dxa"/>
            <w:vAlign w:val="bottom"/>
          </w:tcPr>
          <w:p>
            <w:pPr>
              <w:ind w:left="20"/>
              <w:spacing w:after="0"/>
              <w:rPr>
                <w:sz w:val="20"/>
                <w:szCs w:val="20"/>
                <w:color w:val="auto"/>
              </w:rPr>
            </w:pPr>
            <w:r>
              <w:rPr>
                <w:rFonts w:ascii="Arial" w:cs="Arial" w:eastAsia="Arial" w:hAnsi="Arial"/>
                <w:sz w:val="17"/>
                <w:szCs w:val="17"/>
                <w:b w:val="1"/>
                <w:bCs w:val="1"/>
                <w:color w:val="auto"/>
              </w:rPr>
              <w:t>Total Revenues</w:t>
            </w: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553,311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597,857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1,671,270</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1,701,983</w:t>
            </w:r>
          </w:p>
        </w:tc>
      </w:tr>
      <w:tr>
        <w:trPr>
          <w:trHeight w:val="20"/>
        </w:trPr>
        <w:tc>
          <w:tcPr>
            <w:tcW w:w="3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619"/>
        <w:spacing w:after="0" w:line="349" w:lineRule="auto"/>
        <w:rPr>
          <w:sz w:val="20"/>
          <w:szCs w:val="20"/>
          <w:color w:val="auto"/>
        </w:rPr>
      </w:pPr>
      <w:r>
        <w:rPr>
          <w:rFonts w:ascii="Arial" w:cs="Arial" w:eastAsia="Arial" w:hAnsi="Arial"/>
          <w:sz w:val="15"/>
          <w:szCs w:val="15"/>
          <w:color w:val="auto"/>
        </w:rPr>
        <w:t>For the three and nine months ended September 30, 2023, net sales to Medline made up approximately 18% and 16% of total revenues, respectively. For the three and nine months ended September 30, 2022, net sales to Medline made up approximately 16% and 15% of total revenues, respectively.</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represents our revenues disaggregated by geography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298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 ended</w:t>
            </w:r>
          </w:p>
        </w:tc>
        <w:tc>
          <w:tcPr>
            <w:tcW w:w="1120" w:type="dxa"/>
            <w:vAlign w:val="bottom"/>
          </w:tcPr>
          <w:p>
            <w:pPr>
              <w:spacing w:after="0"/>
              <w:rPr>
                <w:sz w:val="16"/>
                <w:szCs w:val="16"/>
                <w:color w:val="auto"/>
              </w:rPr>
            </w:pPr>
          </w:p>
        </w:tc>
      </w:tr>
      <w:tr>
        <w:trPr>
          <w:trHeight w:val="223"/>
        </w:trPr>
        <w:tc>
          <w:tcPr>
            <w:tcW w:w="37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7"/>
                <w:szCs w:val="17"/>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Borders>
              <w:bottom w:val="single" w:sz="8" w:color="auto"/>
            </w:tcBorders>
          </w:tcPr>
          <w:p>
            <w:pPr>
              <w:spacing w:after="0"/>
              <w:rPr>
                <w:sz w:val="19"/>
                <w:szCs w:val="19"/>
                <w:color w:val="auto"/>
              </w:rPr>
            </w:pPr>
          </w:p>
        </w:tc>
      </w:tr>
      <w:tr>
        <w:trPr>
          <w:trHeight w:val="214"/>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Geography</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w w:val="95"/>
              </w:rPr>
              <w:t>2022</w:t>
            </w:r>
          </w:p>
        </w:tc>
      </w:tr>
      <w:tr>
        <w:trPr>
          <w:trHeight w:val="212"/>
        </w:trPr>
        <w:tc>
          <w:tcPr>
            <w:tcW w:w="3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355,984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376,691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1,063,037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1,088,348</w:t>
            </w:r>
          </w:p>
        </w:tc>
      </w:tr>
      <w:tr>
        <w:trPr>
          <w:trHeight w:val="218"/>
        </w:trPr>
        <w:tc>
          <w:tcPr>
            <w:tcW w:w="3760" w:type="dxa"/>
            <w:vAlign w:val="bottom"/>
          </w:tcPr>
          <w:p>
            <w:pPr>
              <w:ind w:left="120"/>
              <w:spacing w:after="0"/>
              <w:rPr>
                <w:sz w:val="20"/>
                <w:szCs w:val="20"/>
                <w:color w:val="auto"/>
              </w:rPr>
            </w:pPr>
            <w:r>
              <w:rPr>
                <w:rFonts w:ascii="Arial" w:cs="Arial" w:eastAsia="Arial" w:hAnsi="Arial"/>
                <w:sz w:val="17"/>
                <w:szCs w:val="17"/>
                <w:color w:val="auto"/>
              </w:rPr>
              <w:t>Europe, the Middle East and Africa</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88,014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101,869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276,994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275,488</w:t>
            </w:r>
          </w:p>
        </w:tc>
      </w:tr>
      <w:tr>
        <w:trPr>
          <w:trHeight w:val="220"/>
        </w:trPr>
        <w:tc>
          <w:tcPr>
            <w:tcW w:w="3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APAC</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59,064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177,719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191,847</w:t>
            </w:r>
          </w:p>
        </w:tc>
      </w:tr>
      <w:tr>
        <w:trPr>
          <w:trHeight w:val="218"/>
        </w:trPr>
        <w:tc>
          <w:tcPr>
            <w:tcW w:w="37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Foreign</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50,249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52,728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153,520</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146,300</w:t>
            </w:r>
          </w:p>
        </w:tc>
      </w:tr>
      <w:tr>
        <w:trPr>
          <w:trHeight w:val="23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Revenues</w:t>
            </w: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553,311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597,857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1,671,270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1,701,983</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changes in our contract balances for the nine months ended September 30, 2023 and 2022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Contract Liabilities</w:t>
            </w:r>
          </w:p>
        </w:tc>
      </w:tr>
      <w:tr>
        <w:trPr>
          <w:trHeight w:val="213"/>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January 1, 2023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(45,866)</w:t>
            </w:r>
          </w:p>
        </w:tc>
      </w:tr>
      <w:tr>
        <w:trPr>
          <w:trHeight w:val="218"/>
        </w:trPr>
        <w:tc>
          <w:tcPr>
            <w:tcW w:w="9040" w:type="dxa"/>
            <w:vAlign w:val="bottom"/>
          </w:tcPr>
          <w:p>
            <w:pPr>
              <w:ind w:left="140"/>
              <w:spacing w:after="0"/>
              <w:rPr>
                <w:sz w:val="20"/>
                <w:szCs w:val="20"/>
                <w:color w:val="auto"/>
              </w:rPr>
            </w:pPr>
            <w:r>
              <w:rPr>
                <w:rFonts w:ascii="Arial" w:cs="Arial" w:eastAsia="Arial" w:hAnsi="Arial"/>
                <w:sz w:val="17"/>
                <w:szCs w:val="17"/>
                <w:color w:val="auto"/>
              </w:rPr>
              <w:t>Equipment revenue recognized</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24,872</w:t>
            </w:r>
          </w:p>
        </w:tc>
      </w:tr>
      <w:tr>
        <w:trPr>
          <w:trHeight w:val="220"/>
        </w:trPr>
        <w:tc>
          <w:tcPr>
            <w:tcW w:w="9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deferred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(25,620)</w:t>
            </w:r>
          </w:p>
        </w:tc>
      </w:tr>
      <w:tr>
        <w:trPr>
          <w:trHeight w:val="218"/>
        </w:trPr>
        <w:tc>
          <w:tcPr>
            <w:tcW w:w="9040" w:type="dxa"/>
            <w:vAlign w:val="bottom"/>
          </w:tcPr>
          <w:p>
            <w:pPr>
              <w:ind w:left="140"/>
              <w:spacing w:after="0"/>
              <w:rPr>
                <w:sz w:val="20"/>
                <w:szCs w:val="20"/>
                <w:color w:val="auto"/>
              </w:rPr>
            </w:pPr>
            <w:r>
              <w:rPr>
                <w:rFonts w:ascii="Arial" w:cs="Arial" w:eastAsia="Arial" w:hAnsi="Arial"/>
                <w:sz w:val="17"/>
                <w:szCs w:val="17"/>
                <w:color w:val="auto"/>
              </w:rPr>
              <w:t>Software revenue recognized</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13,546</w:t>
            </w:r>
          </w:p>
        </w:tc>
      </w:tr>
      <w:tr>
        <w:trPr>
          <w:trHeight w:val="220"/>
        </w:trPr>
        <w:tc>
          <w:tcPr>
            <w:tcW w:w="9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deferred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(12,797)</w:t>
            </w:r>
          </w:p>
        </w:tc>
      </w:tr>
      <w:tr>
        <w:trPr>
          <w:trHeight w:val="218"/>
        </w:trPr>
        <w:tc>
          <w:tcPr>
            <w:tcW w:w="9040" w:type="dxa"/>
            <w:vAlign w:val="bottom"/>
          </w:tcPr>
          <w:p>
            <w:pPr>
              <w:ind w:left="140"/>
              <w:spacing w:after="0"/>
              <w:rPr>
                <w:sz w:val="20"/>
                <w:szCs w:val="20"/>
                <w:color w:val="auto"/>
              </w:rPr>
            </w:pPr>
            <w:r>
              <w:rPr>
                <w:rFonts w:ascii="Arial" w:cs="Arial" w:eastAsia="Arial" w:hAnsi="Arial"/>
                <w:sz w:val="17"/>
                <w:szCs w:val="17"/>
                <w:color w:val="auto"/>
              </w:rPr>
              <w:t>Government grant deferred income*</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(944)</w:t>
            </w:r>
          </w:p>
        </w:tc>
      </w:tr>
      <w:tr>
        <w:trPr>
          <w:trHeight w:val="220"/>
        </w:trPr>
        <w:tc>
          <w:tcPr>
            <w:tcW w:w="9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Government grant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3,164</w:t>
            </w:r>
          </w:p>
        </w:tc>
      </w:tr>
      <w:tr>
        <w:trPr>
          <w:trHeight w:val="218"/>
        </w:trPr>
        <w:tc>
          <w:tcPr>
            <w:tcW w:w="9040" w:type="dxa"/>
            <w:vAlign w:val="bottom"/>
          </w:tcPr>
          <w:p>
            <w:pPr>
              <w:ind w:left="140"/>
              <w:spacing w:after="0"/>
              <w:rPr>
                <w:sz w:val="20"/>
                <w:szCs w:val="20"/>
                <w:color w:val="auto"/>
              </w:rPr>
            </w:pPr>
            <w:r>
              <w:rPr>
                <w:rFonts w:ascii="Arial" w:cs="Arial" w:eastAsia="Arial" w:hAnsi="Arial"/>
                <w:sz w:val="17"/>
                <w:szCs w:val="17"/>
                <w:color w:val="auto"/>
              </w:rPr>
              <w:t>Other deferred revenue</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(1,674)</w:t>
            </w:r>
          </w:p>
        </w:tc>
      </w:tr>
      <w:tr>
        <w:trPr>
          <w:trHeight w:val="219"/>
        </w:trPr>
        <w:tc>
          <w:tcPr>
            <w:tcW w:w="9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deferred revenue recognized</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4,748</w:t>
            </w:r>
          </w:p>
        </w:tc>
      </w:tr>
      <w:tr>
        <w:trPr>
          <w:trHeight w:val="213"/>
        </w:trPr>
        <w:tc>
          <w:tcPr>
            <w:tcW w:w="9040" w:type="dxa"/>
            <w:vAlign w:val="bottom"/>
          </w:tcPr>
          <w:p>
            <w:pPr>
              <w:ind w:left="20"/>
              <w:spacing w:after="0"/>
              <w:rPr>
                <w:sz w:val="20"/>
                <w:szCs w:val="20"/>
                <w:color w:val="auto"/>
              </w:rPr>
            </w:pPr>
            <w:r>
              <w:rPr>
                <w:rFonts w:ascii="Arial" w:cs="Arial" w:eastAsia="Arial" w:hAnsi="Arial"/>
                <w:sz w:val="17"/>
                <w:szCs w:val="17"/>
                <w:b w:val="1"/>
                <w:bCs w:val="1"/>
                <w:color w:val="auto"/>
              </w:rPr>
              <w:t>Ending balance, September 30, 2023</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(40,571)</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4"/>
        </w:trPr>
        <w:tc>
          <w:tcPr>
            <w:tcW w:w="9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9"/>
        </w:trPr>
        <w:tc>
          <w:tcPr>
            <w:tcW w:w="9040" w:type="dxa"/>
            <w:vAlign w:val="bottom"/>
          </w:tcPr>
          <w:p>
            <w:pPr>
              <w:ind w:left="20"/>
              <w:spacing w:after="0"/>
              <w:rPr>
                <w:sz w:val="20"/>
                <w:szCs w:val="20"/>
                <w:color w:val="auto"/>
              </w:rPr>
            </w:pPr>
            <w:r>
              <w:rPr>
                <w:rFonts w:ascii="Arial" w:cs="Arial" w:eastAsia="Arial" w:hAnsi="Arial"/>
                <w:sz w:val="17"/>
                <w:szCs w:val="17"/>
                <w:b w:val="1"/>
                <w:bCs w:val="1"/>
                <w:color w:val="auto"/>
              </w:rPr>
              <w:t>Beginning balance, January 1, 2022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(7,461)</w:t>
            </w:r>
          </w:p>
        </w:tc>
      </w:tr>
      <w:tr>
        <w:trPr>
          <w:trHeight w:val="219"/>
        </w:trPr>
        <w:tc>
          <w:tcPr>
            <w:tcW w:w="9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Fair value of acquired deferred revenue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(51,245)</w:t>
            </w:r>
          </w:p>
        </w:tc>
      </w:tr>
      <w:tr>
        <w:trPr>
          <w:trHeight w:val="218"/>
        </w:trPr>
        <w:tc>
          <w:tcPr>
            <w:tcW w:w="9040" w:type="dxa"/>
            <w:vAlign w:val="bottom"/>
          </w:tcPr>
          <w:p>
            <w:pPr>
              <w:ind w:left="140"/>
              <w:spacing w:after="0"/>
              <w:rPr>
                <w:sz w:val="20"/>
                <w:szCs w:val="20"/>
                <w:color w:val="auto"/>
              </w:rPr>
            </w:pPr>
            <w:r>
              <w:rPr>
                <w:rFonts w:ascii="Arial" w:cs="Arial" w:eastAsia="Arial" w:hAnsi="Arial"/>
                <w:sz w:val="17"/>
                <w:szCs w:val="17"/>
                <w:color w:val="auto"/>
              </w:rPr>
              <w:t>Equipment revenue recognized</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22,757</w:t>
            </w:r>
          </w:p>
        </w:tc>
      </w:tr>
      <w:tr>
        <w:trPr>
          <w:trHeight w:val="220"/>
        </w:trPr>
        <w:tc>
          <w:tcPr>
            <w:tcW w:w="9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deferred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(13,420)</w:t>
            </w:r>
          </w:p>
        </w:tc>
      </w:tr>
      <w:tr>
        <w:trPr>
          <w:trHeight w:val="218"/>
        </w:trPr>
        <w:tc>
          <w:tcPr>
            <w:tcW w:w="9040" w:type="dxa"/>
            <w:vAlign w:val="bottom"/>
          </w:tcPr>
          <w:p>
            <w:pPr>
              <w:ind w:left="140"/>
              <w:spacing w:after="0"/>
              <w:rPr>
                <w:sz w:val="20"/>
                <w:szCs w:val="20"/>
                <w:color w:val="auto"/>
              </w:rPr>
            </w:pPr>
            <w:r>
              <w:rPr>
                <w:rFonts w:ascii="Arial" w:cs="Arial" w:eastAsia="Arial" w:hAnsi="Arial"/>
                <w:sz w:val="17"/>
                <w:szCs w:val="17"/>
                <w:color w:val="auto"/>
              </w:rPr>
              <w:t>Software revenue recognized</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12,761</w:t>
            </w:r>
          </w:p>
        </w:tc>
      </w:tr>
      <w:tr>
        <w:trPr>
          <w:trHeight w:val="220"/>
        </w:trPr>
        <w:tc>
          <w:tcPr>
            <w:tcW w:w="9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deferred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(12,978)</w:t>
            </w:r>
          </w:p>
        </w:tc>
      </w:tr>
      <w:tr>
        <w:trPr>
          <w:trHeight w:val="218"/>
        </w:trPr>
        <w:tc>
          <w:tcPr>
            <w:tcW w:w="9040" w:type="dxa"/>
            <w:vAlign w:val="bottom"/>
          </w:tcPr>
          <w:p>
            <w:pPr>
              <w:ind w:left="140"/>
              <w:spacing w:after="0"/>
              <w:rPr>
                <w:sz w:val="20"/>
                <w:szCs w:val="20"/>
                <w:color w:val="auto"/>
              </w:rPr>
            </w:pPr>
            <w:r>
              <w:rPr>
                <w:rFonts w:ascii="Arial" w:cs="Arial" w:eastAsia="Arial" w:hAnsi="Arial"/>
                <w:sz w:val="17"/>
                <w:szCs w:val="17"/>
                <w:color w:val="auto"/>
              </w:rPr>
              <w:t>Government grant deferred income*</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(3,434)</w:t>
            </w:r>
          </w:p>
        </w:tc>
      </w:tr>
      <w:tr>
        <w:trPr>
          <w:trHeight w:val="220"/>
        </w:trPr>
        <w:tc>
          <w:tcPr>
            <w:tcW w:w="9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Government grant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18"/>
        </w:trPr>
        <w:tc>
          <w:tcPr>
            <w:tcW w:w="9040" w:type="dxa"/>
            <w:vAlign w:val="bottom"/>
          </w:tcPr>
          <w:p>
            <w:pPr>
              <w:ind w:left="140"/>
              <w:spacing w:after="0"/>
              <w:rPr>
                <w:sz w:val="20"/>
                <w:szCs w:val="20"/>
                <w:color w:val="auto"/>
              </w:rPr>
            </w:pPr>
            <w:r>
              <w:rPr>
                <w:rFonts w:ascii="Arial" w:cs="Arial" w:eastAsia="Arial" w:hAnsi="Arial"/>
                <w:sz w:val="17"/>
                <w:szCs w:val="17"/>
                <w:color w:val="auto"/>
              </w:rPr>
              <w:t>Other deferred revenue</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(1,285)</w:t>
            </w:r>
          </w:p>
        </w:tc>
      </w:tr>
      <w:tr>
        <w:trPr>
          <w:trHeight w:val="219"/>
        </w:trPr>
        <w:tc>
          <w:tcPr>
            <w:tcW w:w="9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deferred revenue recognized</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3,488</w:t>
            </w:r>
          </w:p>
        </w:tc>
      </w:tr>
      <w:tr>
        <w:trPr>
          <w:trHeight w:val="213"/>
        </w:trPr>
        <w:tc>
          <w:tcPr>
            <w:tcW w:w="9040" w:type="dxa"/>
            <w:vAlign w:val="bottom"/>
          </w:tcPr>
          <w:p>
            <w:pPr>
              <w:ind w:left="20"/>
              <w:spacing w:after="0"/>
              <w:rPr>
                <w:sz w:val="20"/>
                <w:szCs w:val="20"/>
                <w:color w:val="auto"/>
              </w:rPr>
            </w:pPr>
            <w:r>
              <w:rPr>
                <w:rFonts w:ascii="Arial" w:cs="Arial" w:eastAsia="Arial" w:hAnsi="Arial"/>
                <w:sz w:val="17"/>
                <w:szCs w:val="17"/>
                <w:b w:val="1"/>
                <w:bCs w:val="1"/>
                <w:color w:val="auto"/>
              </w:rPr>
              <w:t>Ending balance, September 30, 2022</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(50,639)</w:t>
            </w:r>
          </w:p>
        </w:tc>
      </w:tr>
      <w:tr>
        <w:trPr>
          <w:trHeight w:val="20"/>
        </w:trPr>
        <w:tc>
          <w:tcPr>
            <w:tcW w:w="9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w:t>
      </w:r>
    </w:p>
    <w:p>
      <w:pPr>
        <w:spacing w:after="0" w:line="114"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government grant deferred income is amortized over the life of the related depreciable asset as a reduction to depreciation expense.</w:t>
      </w:r>
    </w:p>
    <w:p>
      <w:pPr>
        <w:spacing w:after="0" w:line="22"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Our contract liabilities are included in accrued liabilities or other long-term liabilities in our condensed consolidated balance sheet based on the expected timing of revenue recognition.</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2023, revenue from remaining performance obligations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Recognition Timing</w:t>
            </w:r>
          </w:p>
        </w:tc>
        <w:tc>
          <w:tcPr>
            <w:tcW w:w="1620" w:type="dxa"/>
            <w:vAlign w:val="bottom"/>
            <w:tcBorders>
              <w:bottom w:val="single" w:sz="8" w:color="auto"/>
            </w:tcBorders>
            <w:shd w:val="clear" w:color="auto" w:fill="CCEEFF"/>
          </w:tcPr>
          <w:p>
            <w:pPr>
              <w:spacing w:after="0"/>
              <w:rPr>
                <w:sz w:val="19"/>
                <w:szCs w:val="19"/>
                <w:color w:val="auto"/>
              </w:rPr>
            </w:pPr>
          </w:p>
        </w:tc>
      </w:tr>
      <w:tr>
        <w:trPr>
          <w:trHeight w:val="212"/>
        </w:trPr>
        <w:tc>
          <w:tcPr>
            <w:tcW w:w="6500" w:type="dxa"/>
            <w:vAlign w:val="bottom"/>
          </w:tcPr>
          <w:p>
            <w:pPr>
              <w:ind w:left="20"/>
              <w:spacing w:after="0"/>
              <w:rPr>
                <w:sz w:val="20"/>
                <w:szCs w:val="20"/>
                <w:color w:val="auto"/>
              </w:rPr>
            </w:pPr>
            <w:r>
              <w:rPr>
                <w:rFonts w:ascii="Arial" w:cs="Arial" w:eastAsia="Arial" w:hAnsi="Arial"/>
                <w:sz w:val="17"/>
                <w:szCs w:val="17"/>
                <w:i w:val="1"/>
                <w:iCs w:val="1"/>
                <w:color w:val="auto"/>
              </w:rPr>
              <w:t>(in millions)</w:t>
            </w:r>
          </w:p>
        </w:tc>
        <w:tc>
          <w:tcPr>
            <w:tcW w:w="40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Arial" w:cs="Arial" w:eastAsia="Arial" w:hAnsi="Arial"/>
                <w:sz w:val="17"/>
                <w:szCs w:val="17"/>
                <w:b w:val="1"/>
                <w:bCs w:val="1"/>
                <w:color w:val="auto"/>
              </w:rPr>
              <w:t>&lt; 12 Months</w:t>
            </w:r>
          </w:p>
        </w:tc>
        <w:tc>
          <w:tcPr>
            <w:tcW w:w="700" w:type="dxa"/>
            <w:vAlign w:val="bottom"/>
          </w:tcPr>
          <w:p>
            <w:pPr>
              <w:spacing w:after="0"/>
              <w:rPr>
                <w:sz w:val="18"/>
                <w:szCs w:val="18"/>
                <w:color w:val="auto"/>
              </w:rPr>
            </w:pPr>
          </w:p>
        </w:tc>
        <w:tc>
          <w:tcPr>
            <w:tcW w:w="1620" w:type="dxa"/>
            <w:vAlign w:val="bottom"/>
          </w:tcPr>
          <w:p>
            <w:pPr>
              <w:jc w:val="right"/>
              <w:ind w:right="614"/>
              <w:spacing w:after="0"/>
              <w:rPr>
                <w:sz w:val="20"/>
                <w:szCs w:val="20"/>
                <w:color w:val="auto"/>
              </w:rPr>
            </w:pPr>
            <w:r>
              <w:rPr>
                <w:rFonts w:ascii="Arial" w:cs="Arial" w:eastAsia="Arial" w:hAnsi="Arial"/>
                <w:sz w:val="17"/>
                <w:szCs w:val="17"/>
                <w:b w:val="1"/>
                <w:bCs w:val="1"/>
                <w:color w:val="auto"/>
                <w:w w:val="91"/>
              </w:rPr>
              <w:t>&gt; 12 Months</w:t>
            </w:r>
          </w:p>
        </w:tc>
      </w:tr>
      <w:tr>
        <w:trPr>
          <w:trHeight w:val="212"/>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Equipment deferred revenue</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(16,448)</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6500" w:type="dxa"/>
            <w:vAlign w:val="bottom"/>
          </w:tcPr>
          <w:p>
            <w:pPr>
              <w:ind w:left="20"/>
              <w:spacing w:after="0"/>
              <w:rPr>
                <w:sz w:val="20"/>
                <w:szCs w:val="20"/>
                <w:color w:val="auto"/>
              </w:rPr>
            </w:pPr>
            <w:r>
              <w:rPr>
                <w:rFonts w:ascii="Arial" w:cs="Arial" w:eastAsia="Arial" w:hAnsi="Arial"/>
                <w:sz w:val="17"/>
                <w:szCs w:val="17"/>
                <w:color w:val="auto"/>
              </w:rPr>
              <w:t>Software deferred revenue</w:t>
            </w:r>
          </w:p>
        </w:tc>
        <w:tc>
          <w:tcPr>
            <w:tcW w:w="4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(8,261)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(707)</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Government grant deferred income*</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(10,548)</w:t>
            </w:r>
          </w:p>
        </w:tc>
      </w:tr>
      <w:tr>
        <w:trPr>
          <w:trHeight w:val="218"/>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deferred revenue**</w:t>
            </w: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w:t>
            </w:r>
          </w:p>
        </w:tc>
      </w:tr>
      <w:tr>
        <w:trPr>
          <w:trHeight w:val="23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(28,735)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government grant deferred income is amortized over the life of the related depreciable asset as a reduction to depreciation expense.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**Other deferred revenue includes pump development programs, purchased training and extended warranty.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Leases</w:t>
      </w:r>
    </w:p>
    <w:p>
      <w:pPr>
        <w:spacing w:after="0" w:line="206" w:lineRule="exact"/>
        <w:rPr>
          <w:sz w:val="20"/>
          <w:szCs w:val="20"/>
          <w:color w:val="auto"/>
        </w:rPr>
      </w:pPr>
    </w:p>
    <w:p>
      <w:pPr>
        <w:ind w:right="260" w:firstLine="172"/>
        <w:spacing w:after="0" w:line="279" w:lineRule="auto"/>
        <w:rPr>
          <w:sz w:val="20"/>
          <w:szCs w:val="20"/>
          <w:color w:val="auto"/>
        </w:rPr>
      </w:pPr>
      <w:r>
        <w:rPr>
          <w:rFonts w:ascii="Arial" w:cs="Arial" w:eastAsia="Arial" w:hAnsi="Arial"/>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190" w:lineRule="exact"/>
        <w:rPr>
          <w:sz w:val="20"/>
          <w:szCs w:val="20"/>
          <w:color w:val="auto"/>
        </w:rPr>
      </w:pPr>
    </w:p>
    <w:p>
      <w:pPr>
        <w:ind w:firstLine="172"/>
        <w:spacing w:after="0" w:line="302" w:lineRule="auto"/>
        <w:rPr>
          <w:sz w:val="20"/>
          <w:szCs w:val="20"/>
          <w:color w:val="auto"/>
        </w:rPr>
      </w:pPr>
      <w:r>
        <w:rPr>
          <w:rFonts w:ascii="Arial" w:cs="Arial" w:eastAsia="Arial" w:hAnsi="Arial"/>
          <w:sz w:val="15"/>
          <w:szCs w:val="15"/>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w:t>
      </w:r>
    </w:p>
    <w:p>
      <w:pPr>
        <w:spacing w:after="0" w:line="152" w:lineRule="exact"/>
        <w:rPr>
          <w:sz w:val="20"/>
          <w:szCs w:val="20"/>
          <w:color w:val="auto"/>
        </w:rPr>
      </w:pPr>
    </w:p>
    <w:p>
      <w:pPr>
        <w:ind w:right="100" w:firstLine="172"/>
        <w:spacing w:after="0" w:line="318" w:lineRule="auto"/>
        <w:rPr>
          <w:sz w:val="20"/>
          <w:szCs w:val="20"/>
          <w:color w:val="auto"/>
        </w:rPr>
      </w:pPr>
      <w:r>
        <w:rPr>
          <w:rFonts w:ascii="Arial" w:cs="Arial" w:eastAsia="Arial" w:hAnsi="Arial"/>
          <w:sz w:val="15"/>
          <w:szCs w:val="15"/>
          <w:color w:val="auto"/>
        </w:rPr>
        <w:t>Our leases are for corporate, research and development and sales and support offices,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 the exercise of options to extend is not reasonably certain.</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components of our lease cost (in thousands):</w:t>
      </w:r>
    </w:p>
    <w:p>
      <w:pPr>
        <w:spacing w:after="0" w:line="111"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774"/>
              <w:spacing w:after="0"/>
              <w:rPr>
                <w:sz w:val="20"/>
                <w:szCs w:val="20"/>
                <w:color w:val="auto"/>
              </w:rPr>
            </w:pPr>
            <w:r>
              <w:rPr>
                <w:rFonts w:ascii="Arial" w:cs="Arial" w:eastAsia="Arial" w:hAnsi="Arial"/>
                <w:sz w:val="17"/>
                <w:szCs w:val="17"/>
                <w:b w:val="1"/>
                <w:bCs w:val="1"/>
                <w:color w:val="auto"/>
              </w:rPr>
              <w:t>Nine months ended</w:t>
            </w:r>
          </w:p>
        </w:tc>
      </w:tr>
      <w:tr>
        <w:trPr>
          <w:trHeight w:val="228"/>
        </w:trPr>
        <w:tc>
          <w:tcPr>
            <w:tcW w:w="40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7"/>
        </w:trPr>
        <w:tc>
          <w:tcPr>
            <w:tcW w:w="40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16,472</w:t>
            </w:r>
          </w:p>
        </w:tc>
      </w:tr>
      <w:tr>
        <w:trPr>
          <w:trHeight w:val="218"/>
        </w:trPr>
        <w:tc>
          <w:tcPr>
            <w:tcW w:w="4080" w:type="dxa"/>
            <w:vAlign w:val="bottom"/>
          </w:tcPr>
          <w:p>
            <w:pPr>
              <w:spacing w:after="0"/>
              <w:rPr>
                <w:sz w:val="20"/>
                <w:szCs w:val="20"/>
                <w:color w:val="auto"/>
              </w:rPr>
            </w:pPr>
            <w:r>
              <w:rPr>
                <w:rFonts w:ascii="Arial" w:cs="Arial" w:eastAsia="Arial" w:hAnsi="Arial"/>
                <w:sz w:val="17"/>
                <w:szCs w:val="17"/>
                <w:color w:val="auto"/>
              </w:rPr>
              <w:t>Finance lease cost — interest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20"/>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Finance lease cost — reduction of ROU asset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r>
      <w:tr>
        <w:trPr>
          <w:trHeight w:val="218"/>
        </w:trPr>
        <w:tc>
          <w:tcPr>
            <w:tcW w:w="40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Short-term lease cost</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3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lease cost</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19,039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17,077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Interest expense on our finance leases is included in interest expense, net in our condensed consolidated statements of operations. The reduction of the operating and finance ROU assets is included as noncash lease expense in selling, general and administrative expenses in our condensed consolidated statements of operations.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supplemental cash flow information related to our leases (in thousands):</w:t>
      </w:r>
    </w:p>
    <w:p>
      <w:pPr>
        <w:spacing w:after="0" w:line="126" w:lineRule="exact"/>
        <w:rPr>
          <w:sz w:val="20"/>
          <w:szCs w:val="20"/>
          <w:color w:val="auto"/>
        </w:rPr>
      </w:pPr>
    </w:p>
    <w:p>
      <w:pPr>
        <w:ind w:left="8680"/>
        <w:spacing w:after="0"/>
        <w:rPr>
          <w:sz w:val="20"/>
          <w:szCs w:val="20"/>
          <w:color w:val="auto"/>
        </w:rPr>
      </w:pPr>
      <w:r>
        <w:rPr>
          <w:rFonts w:ascii="Arial" w:cs="Arial" w:eastAsia="Arial" w:hAnsi="Arial"/>
          <w:sz w:val="17"/>
          <w:szCs w:val="17"/>
          <w:b w:val="1"/>
          <w:bCs w:val="1"/>
          <w:color w:val="auto"/>
        </w:rPr>
        <w:t>Nine months ended</w:t>
      </w:r>
    </w:p>
    <w:p>
      <w:pPr>
        <w:ind w:left="8880"/>
        <w:spacing w:after="0"/>
        <w:rPr>
          <w:sz w:val="20"/>
          <w:szCs w:val="20"/>
          <w:color w:val="auto"/>
        </w:rPr>
      </w:pPr>
      <w:r>
        <w:rPr>
          <w:rFonts w:ascii="Arial" w:cs="Arial" w:eastAsia="Arial" w:hAnsi="Arial"/>
          <w:sz w:val="17"/>
          <w:szCs w:val="17"/>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r>
      <w:tr>
        <w:trPr>
          <w:trHeight w:val="19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7560" w:type="dxa"/>
            <w:vAlign w:val="bottom"/>
          </w:tcPr>
          <w:p>
            <w:pPr>
              <w:ind w:left="140"/>
              <w:spacing w:after="0"/>
              <w:rPr>
                <w:sz w:val="20"/>
                <w:szCs w:val="20"/>
                <w:color w:val="auto"/>
              </w:rPr>
            </w:pPr>
            <w:r>
              <w:rPr>
                <w:rFonts w:ascii="Arial" w:cs="Arial" w:eastAsia="Arial" w:hAnsi="Arial"/>
                <w:sz w:val="17"/>
                <w:szCs w:val="17"/>
                <w:color w:val="auto"/>
              </w:rPr>
              <w:t>Operating cash flows from operating leases</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18,477</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18,886</w:t>
            </w:r>
          </w:p>
        </w:tc>
      </w:tr>
      <w:tr>
        <w:trPr>
          <w:trHeight w:val="220"/>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cash flows from finance leases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58"/>
        </w:trPr>
        <w:tc>
          <w:tcPr>
            <w:tcW w:w="7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8"/>
        </w:trPr>
        <w:tc>
          <w:tcPr>
            <w:tcW w:w="756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14,423</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4,771</w:t>
            </w:r>
          </w:p>
        </w:tc>
      </w:tr>
      <w:tr>
        <w:trPr>
          <w:trHeight w:val="220"/>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supplemental balance sheet information related to our operating leases (in thousands, except lease term and discount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rate):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r>
      <w:tr>
        <w:trPr>
          <w:trHeight w:val="200"/>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Pr>
          <w:p>
            <w:pPr>
              <w:spacing w:after="0"/>
              <w:rPr>
                <w:sz w:val="17"/>
                <w:szCs w:val="17"/>
                <w:color w:val="auto"/>
              </w:rPr>
            </w:pPr>
          </w:p>
        </w:tc>
        <w:tc>
          <w:tcPr>
            <w:tcW w:w="1680" w:type="dxa"/>
            <w:vAlign w:val="bottom"/>
          </w:tcPr>
          <w:p>
            <w:pPr>
              <w:jc w:val="right"/>
              <w:ind w:right="235"/>
              <w:spacing w:after="0"/>
              <w:rPr>
                <w:sz w:val="20"/>
                <w:szCs w:val="20"/>
                <w:color w:val="auto"/>
              </w:rPr>
            </w:pPr>
            <w:r>
              <w:rPr>
                <w:rFonts w:ascii="Arial" w:cs="Arial" w:eastAsia="Arial" w:hAnsi="Arial"/>
                <w:sz w:val="15"/>
                <w:szCs w:val="15"/>
                <w:b w:val="1"/>
                <w:bCs w:val="1"/>
                <w:color w:val="auto"/>
                <w:w w:val="99"/>
              </w:rPr>
              <w:t>December 31, 2022</w:t>
            </w:r>
          </w:p>
        </w:tc>
      </w:tr>
      <w:tr>
        <w:trPr>
          <w:trHeight w:val="201"/>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ind w:right="36"/>
              <w:spacing w:after="0"/>
              <w:rPr>
                <w:sz w:val="20"/>
                <w:szCs w:val="20"/>
                <w:color w:val="auto"/>
              </w:rPr>
            </w:pPr>
            <w:r>
              <w:rPr>
                <w:rFonts w:ascii="Arial" w:cs="Arial" w:eastAsia="Arial" w:hAnsi="Arial"/>
                <w:sz w:val="17"/>
                <w:szCs w:val="17"/>
                <w:color w:val="auto"/>
              </w:rPr>
              <w:t>73,767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74,864</w:t>
            </w:r>
          </w:p>
        </w:tc>
      </w:tr>
      <w:tr>
        <w:trPr>
          <w:trHeight w:val="259"/>
        </w:trPr>
        <w:tc>
          <w:tcPr>
            <w:tcW w:w="7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ind w:right="36"/>
              <w:spacing w:after="0"/>
              <w:rPr>
                <w:sz w:val="20"/>
                <w:szCs w:val="20"/>
                <w:color w:val="auto"/>
              </w:rPr>
            </w:pPr>
            <w:r>
              <w:rPr>
                <w:rFonts w:ascii="Arial" w:cs="Arial" w:eastAsia="Arial" w:hAnsi="Arial"/>
                <w:sz w:val="17"/>
                <w:szCs w:val="17"/>
                <w:color w:val="auto"/>
              </w:rPr>
              <w:t>19,850</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18,169</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57,277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60,916</w:t>
            </w:r>
          </w:p>
        </w:tc>
      </w:tr>
      <w:tr>
        <w:trPr>
          <w:trHeight w:val="213"/>
        </w:trPr>
        <w:tc>
          <w:tcPr>
            <w:tcW w:w="7340" w:type="dxa"/>
            <w:vAlign w:val="bottom"/>
          </w:tcPr>
          <w:p>
            <w:pPr>
              <w:ind w:left="140"/>
              <w:spacing w:after="0"/>
              <w:rPr>
                <w:sz w:val="20"/>
                <w:szCs w:val="20"/>
                <w:color w:val="auto"/>
              </w:rPr>
            </w:pPr>
            <w:r>
              <w:rPr>
                <w:rFonts w:ascii="Arial" w:cs="Arial" w:eastAsia="Arial" w:hAnsi="Arial"/>
                <w:sz w:val="17"/>
                <w:szCs w:val="17"/>
                <w:color w:val="auto"/>
              </w:rPr>
              <w:t>Total operating lease liabilities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77,127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79,085</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7340" w:type="dxa"/>
            <w:vAlign w:val="bottom"/>
          </w:tcPr>
          <w:p>
            <w:pPr>
              <w:ind w:left="20"/>
              <w:spacing w:after="0"/>
              <w:rPr>
                <w:sz w:val="20"/>
                <w:szCs w:val="20"/>
                <w:color w:val="auto"/>
              </w:rPr>
            </w:pPr>
            <w:r>
              <w:rPr>
                <w:rFonts w:ascii="Arial" w:cs="Arial" w:eastAsia="Arial" w:hAnsi="Arial"/>
                <w:sz w:val="17"/>
                <w:szCs w:val="17"/>
                <w:b w:val="1"/>
                <w:bCs w:val="1"/>
                <w:color w:val="auto"/>
              </w:rPr>
              <w:t>Weighted-Average Remaining Lease Term</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2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years</w:t>
            </w:r>
          </w:p>
        </w:tc>
      </w:tr>
      <w:tr>
        <w:trPr>
          <w:trHeight w:val="258"/>
        </w:trPr>
        <w:tc>
          <w:tcPr>
            <w:tcW w:w="7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Discount Rate</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8"/>
        </w:trPr>
        <w:tc>
          <w:tcPr>
            <w:tcW w:w="734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4.23 %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4.34 %</w:t>
            </w:r>
          </w:p>
        </w:tc>
      </w:tr>
    </w:tbl>
    <w:p>
      <w:pPr>
        <w:spacing w:after="0" w:line="27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supplemental balance sheet information related to our finance leases (in thousands, except lease term and discount rate):</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r>
      <w:tr>
        <w:trPr>
          <w:trHeight w:val="200"/>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Pr>
          <w:p>
            <w:pPr>
              <w:spacing w:after="0"/>
              <w:rPr>
                <w:sz w:val="17"/>
                <w:szCs w:val="17"/>
                <w:color w:val="auto"/>
              </w:rPr>
            </w:pPr>
          </w:p>
        </w:tc>
        <w:tc>
          <w:tcPr>
            <w:tcW w:w="1680" w:type="dxa"/>
            <w:vAlign w:val="bottom"/>
          </w:tcPr>
          <w:p>
            <w:pPr>
              <w:jc w:val="right"/>
              <w:ind w:right="255"/>
              <w:spacing w:after="0"/>
              <w:rPr>
                <w:sz w:val="20"/>
                <w:szCs w:val="20"/>
                <w:color w:val="auto"/>
              </w:rPr>
            </w:pPr>
            <w:r>
              <w:rPr>
                <w:rFonts w:ascii="Arial" w:cs="Arial" w:eastAsia="Arial" w:hAnsi="Arial"/>
                <w:sz w:val="15"/>
                <w:szCs w:val="15"/>
                <w:b w:val="1"/>
                <w:bCs w:val="1"/>
                <w:color w:val="auto"/>
                <w:w w:val="97"/>
              </w:rPr>
              <w:t>December 31, 2022</w:t>
            </w:r>
          </w:p>
        </w:tc>
      </w:tr>
      <w:tr>
        <w:trPr>
          <w:trHeight w:val="201"/>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Finance leases</w:t>
            </w:r>
          </w:p>
        </w:tc>
        <w:tc>
          <w:tcPr>
            <w:tcW w:w="2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Finance lease right-of-use assets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2,814</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2,598</w:t>
            </w:r>
          </w:p>
        </w:tc>
      </w:tr>
      <w:tr>
        <w:trPr>
          <w:trHeight w:val="259"/>
        </w:trPr>
        <w:tc>
          <w:tcPr>
            <w:tcW w:w="7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897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816</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1,855</w:t>
            </w:r>
          </w:p>
        </w:tc>
      </w:tr>
      <w:tr>
        <w:trPr>
          <w:trHeight w:val="213"/>
        </w:trPr>
        <w:tc>
          <w:tcPr>
            <w:tcW w:w="7340" w:type="dxa"/>
            <w:vAlign w:val="bottom"/>
          </w:tcPr>
          <w:p>
            <w:pPr>
              <w:ind w:left="120"/>
              <w:spacing w:after="0"/>
              <w:rPr>
                <w:sz w:val="20"/>
                <w:szCs w:val="20"/>
                <w:color w:val="auto"/>
              </w:rPr>
            </w:pPr>
            <w:r>
              <w:rPr>
                <w:rFonts w:ascii="Arial" w:cs="Arial" w:eastAsia="Arial" w:hAnsi="Arial"/>
                <w:sz w:val="17"/>
                <w:szCs w:val="17"/>
                <w:color w:val="auto"/>
              </w:rPr>
              <w:t>Total finance lease liabilities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2,915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2,671</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7340" w:type="dxa"/>
            <w:vAlign w:val="bottom"/>
          </w:tcPr>
          <w:p>
            <w:pPr>
              <w:ind w:left="20"/>
              <w:spacing w:after="0"/>
              <w:rPr>
                <w:sz w:val="20"/>
                <w:szCs w:val="20"/>
                <w:color w:val="auto"/>
              </w:rPr>
            </w:pPr>
            <w:r>
              <w:rPr>
                <w:rFonts w:ascii="Arial" w:cs="Arial" w:eastAsia="Arial" w:hAnsi="Arial"/>
                <w:sz w:val="17"/>
                <w:szCs w:val="17"/>
                <w:b w:val="1"/>
                <w:bCs w:val="1"/>
                <w:color w:val="auto"/>
              </w:rPr>
              <w:t>Weighted-Average Remaining Lease Term</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Finance leases</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years</w:t>
            </w:r>
          </w:p>
        </w:tc>
      </w:tr>
      <w:tr>
        <w:trPr>
          <w:trHeight w:val="258"/>
        </w:trPr>
        <w:tc>
          <w:tcPr>
            <w:tcW w:w="7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Discount Rate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8"/>
        </w:trPr>
        <w:tc>
          <w:tcPr>
            <w:tcW w:w="7340" w:type="dxa"/>
            <w:vAlign w:val="bottom"/>
          </w:tcPr>
          <w:p>
            <w:pPr>
              <w:ind w:left="200"/>
              <w:spacing w:after="0"/>
              <w:rPr>
                <w:sz w:val="20"/>
                <w:szCs w:val="20"/>
                <w:color w:val="auto"/>
              </w:rPr>
            </w:pPr>
            <w:r>
              <w:rPr>
                <w:rFonts w:ascii="Arial" w:cs="Arial" w:eastAsia="Arial" w:hAnsi="Arial"/>
                <w:sz w:val="17"/>
                <w:szCs w:val="17"/>
                <w:color w:val="auto"/>
              </w:rPr>
              <w:t>Finance leases</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4.85 %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4.23 %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of September 30, 2023, the maturities of our operating and finance lease liabilities for each of the next five years are approximately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7"/>
                <w:szCs w:val="17"/>
                <w:b w:val="1"/>
                <w:bCs w:val="1"/>
                <w:color w:val="auto"/>
              </w:rPr>
              <w:t>Operating Leases</w:t>
            </w:r>
          </w:p>
        </w:tc>
        <w:tc>
          <w:tcPr>
            <w:tcW w:w="220" w:type="dxa"/>
            <w:vAlign w:val="bottom"/>
          </w:tcPr>
          <w:p>
            <w:pPr>
              <w:spacing w:after="0"/>
              <w:rPr>
                <w:sz w:val="19"/>
                <w:szCs w:val="19"/>
                <w:color w:val="auto"/>
              </w:rPr>
            </w:pPr>
          </w:p>
        </w:tc>
        <w:tc>
          <w:tcPr>
            <w:tcW w:w="1560" w:type="dxa"/>
            <w:vAlign w:val="bottom"/>
          </w:tcPr>
          <w:p>
            <w:pPr>
              <w:jc w:val="right"/>
              <w:ind w:right="254"/>
              <w:spacing w:after="0"/>
              <w:rPr>
                <w:sz w:val="20"/>
                <w:szCs w:val="20"/>
                <w:color w:val="auto"/>
              </w:rPr>
            </w:pPr>
            <w:r>
              <w:rPr>
                <w:rFonts w:ascii="Arial" w:cs="Arial" w:eastAsia="Arial" w:hAnsi="Arial"/>
                <w:sz w:val="17"/>
                <w:szCs w:val="17"/>
                <w:b w:val="1"/>
                <w:bCs w:val="1"/>
                <w:color w:val="auto"/>
                <w:w w:val="94"/>
              </w:rPr>
              <w:t>Finance Leases</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21,457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919</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2026</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14,179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590</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2028</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5,684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11"/>
        </w:trPr>
        <w:tc>
          <w:tcPr>
            <w:tcW w:w="7560" w:type="dxa"/>
            <w:vAlign w:val="bottom"/>
          </w:tcPr>
          <w:p>
            <w:pPr>
              <w:ind w:left="140"/>
              <w:spacing w:after="0"/>
              <w:rPr>
                <w:sz w:val="20"/>
                <w:szCs w:val="20"/>
                <w:color w:val="auto"/>
              </w:rPr>
            </w:pPr>
            <w:r>
              <w:rPr>
                <w:rFonts w:ascii="Arial" w:cs="Arial" w:eastAsia="Arial" w:hAnsi="Arial"/>
                <w:sz w:val="17"/>
                <w:szCs w:val="17"/>
                <w:color w:val="auto"/>
              </w:rPr>
              <w:t>Total Lease 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86,180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3,212</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r>
      <w:tr>
        <w:trPr>
          <w:trHeight w:val="213"/>
        </w:trPr>
        <w:tc>
          <w:tcPr>
            <w:tcW w:w="7560" w:type="dxa"/>
            <w:vAlign w:val="bottom"/>
          </w:tcPr>
          <w:p>
            <w:pPr>
              <w:ind w:left="1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77,127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2,915</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Net Income (Loss) Per Share</w:t>
      </w:r>
    </w:p>
    <w:p>
      <w:pPr>
        <w:spacing w:after="0" w:line="223"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Due to the net loss for the nine months ended September 30, 2023 and for the three and nine months ended September 30, 2022, any potentially dilutive common shares were not included in the computation of diluted earnings per share as they would have had an anti-dilutive effect; therefore, basic and diluted net loss per share are equal for each of these periods. There were 247,530 anti-dilutive securities for the three months ended September 30, 2023.</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calculation of net earnings per common share (“EPS”) — basic and diluted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right"/>
              <w:ind w:right="715"/>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5"/>
                <w:szCs w:val="15"/>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5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14"/>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(58,750)</w:t>
            </w:r>
          </w:p>
        </w:tc>
        <w:tc>
          <w:tcPr>
            <w:tcW w:w="0" w:type="dxa"/>
            <w:vAlign w:val="bottom"/>
          </w:tcPr>
          <w:p>
            <w:pPr>
              <w:spacing w:after="0"/>
              <w:rPr>
                <w:sz w:val="1"/>
                <w:szCs w:val="1"/>
                <w:color w:val="auto"/>
              </w:rPr>
            </w:pP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w w:val="93"/>
              </w:rPr>
              <w:t>Weighted-average number of common shares outstanding (basic)</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24,132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24,075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23,828</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Dilutive securities</w:t>
            </w:r>
            <w:r>
              <w:rPr>
                <w:rFonts w:ascii="Arial" w:cs="Arial" w:eastAsia="Arial" w:hAnsi="Arial"/>
                <w:sz w:val="22"/>
                <w:szCs w:val="22"/>
                <w:color w:val="auto"/>
                <w:vertAlign w:val="superscript"/>
              </w:rPr>
              <w:t>(1)</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4640" w:type="dxa"/>
            <w:vAlign w:val="bottom"/>
          </w:tcPr>
          <w:p>
            <w:pPr>
              <w:ind w:left="20"/>
              <w:spacing w:after="0" w:line="148" w:lineRule="exact"/>
              <w:rPr>
                <w:sz w:val="20"/>
                <w:szCs w:val="20"/>
                <w:color w:val="auto"/>
              </w:rPr>
            </w:pPr>
            <w:r>
              <w:rPr>
                <w:rFonts w:ascii="Arial" w:cs="Arial" w:eastAsia="Arial" w:hAnsi="Arial"/>
                <w:sz w:val="17"/>
                <w:szCs w:val="17"/>
                <w:color w:val="auto"/>
              </w:rPr>
              <w:t>Weighted-average common and common equivalent shares</w:t>
            </w:r>
          </w:p>
        </w:tc>
        <w:tc>
          <w:tcPr>
            <w:tcW w:w="4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24,368</w:t>
            </w: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23,908</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24,075</w:t>
            </w: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23,828</w:t>
            </w:r>
          </w:p>
        </w:tc>
        <w:tc>
          <w:tcPr>
            <w:tcW w:w="0" w:type="dxa"/>
            <w:vAlign w:val="bottom"/>
          </w:tcPr>
          <w:p>
            <w:pPr>
              <w:spacing w:after="0"/>
              <w:rPr>
                <w:sz w:val="1"/>
                <w:szCs w:val="1"/>
                <w:color w:val="auto"/>
              </w:rPr>
            </w:pPr>
          </w:p>
        </w:tc>
      </w:tr>
      <w:tr>
        <w:trPr>
          <w:trHeight w:val="206"/>
        </w:trPr>
        <w:tc>
          <w:tcPr>
            <w:tcW w:w="4640" w:type="dxa"/>
            <w:vAlign w:val="bottom"/>
          </w:tcPr>
          <w:p>
            <w:pPr>
              <w:ind w:left="20"/>
              <w:spacing w:after="0"/>
              <w:rPr>
                <w:sz w:val="20"/>
                <w:szCs w:val="20"/>
                <w:color w:val="auto"/>
              </w:rPr>
            </w:pPr>
            <w:r>
              <w:rPr>
                <w:rFonts w:ascii="Arial" w:cs="Arial" w:eastAsia="Arial" w:hAnsi="Arial"/>
                <w:sz w:val="17"/>
                <w:szCs w:val="17"/>
                <w:color w:val="auto"/>
              </w:rPr>
              <w:t>outstanding (diluted)</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EPS — basic</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rPr>
              <w:t>EPS — diluted</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0.30</w:t>
            </w:r>
          </w:p>
        </w:tc>
        <w:tc>
          <w:tcPr>
            <w:tcW w:w="100" w:type="dxa"/>
            <w:vAlign w:val="bottom"/>
          </w:tcPr>
          <w:p>
            <w:pPr>
              <w:spacing w:after="0"/>
              <w:rPr>
                <w:sz w:val="18"/>
                <w:szCs w:val="18"/>
                <w:color w:val="auto"/>
              </w:rPr>
            </w:pPr>
          </w:p>
        </w:tc>
        <w:tc>
          <w:tcPr>
            <w:tcW w:w="680" w:type="dxa"/>
            <w:vAlign w:val="bottom"/>
          </w:tcPr>
          <w:p>
            <w:pPr>
              <w:jc w:val="right"/>
              <w:ind w:right="49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(0.52)</w:t>
            </w:r>
          </w:p>
        </w:tc>
        <w:tc>
          <w:tcPr>
            <w:tcW w:w="10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67" w:lineRule="exact"/>
        <w:rPr>
          <w:sz w:val="20"/>
          <w:szCs w:val="20"/>
          <w:color w:val="auto"/>
        </w:rPr>
      </w:pPr>
    </w:p>
    <w:p>
      <w:pPr>
        <w:ind w:left="320" w:right="320" w:hanging="317"/>
        <w:spacing w:after="0" w:line="232" w:lineRule="auto"/>
        <w:tabs>
          <w:tab w:leader="none" w:pos="228"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Due to the net loss for the nine months ended September 30, 2023 and the three and nine months ended September 30, 2022, there are no potentially dilutive common shares included in the computation of diluted earnings per share.</w:t>
      </w:r>
    </w:p>
    <w:p>
      <w:pPr>
        <w:spacing w:after="0" w:line="20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Derivatives and Hedging Activities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w:t>
      </w:r>
    </w:p>
    <w:p>
      <w:pPr>
        <w:spacing w:after="0" w:line="243" w:lineRule="exact"/>
        <w:rPr>
          <w:sz w:val="20"/>
          <w:szCs w:val="20"/>
          <w:color w:val="auto"/>
        </w:rPr>
      </w:pPr>
    </w:p>
    <w:p>
      <w:pPr>
        <w:ind w:right="240" w:firstLine="215"/>
        <w:spacing w:after="0" w:line="266" w:lineRule="auto"/>
        <w:rPr>
          <w:sz w:val="20"/>
          <w:szCs w:val="20"/>
          <w:color w:val="auto"/>
        </w:rPr>
      </w:pPr>
      <w:r>
        <w:rPr>
          <w:rFonts w:ascii="Arial" w:cs="Arial" w:eastAsia="Arial" w:hAnsi="Arial"/>
          <w:sz w:val="17"/>
          <w:szCs w:val="17"/>
          <w:color w:val="auto"/>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January 2022. We do not issue derivatives for trading or speculative purposes.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firstLine="172"/>
        <w:spacing w:after="0" w:line="297" w:lineRule="auto"/>
        <w:rPr>
          <w:sz w:val="20"/>
          <w:szCs w:val="20"/>
          <w:color w:val="auto"/>
        </w:rPr>
      </w:pPr>
      <w:r>
        <w:rPr>
          <w:rFonts w:ascii="Arial" w:cs="Arial" w:eastAsia="Arial" w:hAnsi="Arial"/>
          <w:sz w:val="15"/>
          <w:szCs w:val="15"/>
          <w:color w:val="auto"/>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income (loss)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Rate Risk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Foreign Exchange Forward Contracts</w:t>
      </w:r>
    </w:p>
    <w:p>
      <w:pPr>
        <w:spacing w:after="0" w:line="243" w:lineRule="exact"/>
        <w:rPr>
          <w:sz w:val="20"/>
          <w:szCs w:val="20"/>
          <w:color w:val="auto"/>
        </w:rPr>
      </w:pPr>
    </w:p>
    <w:p>
      <w:pPr>
        <w:jc w:val="both"/>
        <w:ind w:right="20" w:firstLine="619"/>
        <w:spacing w:after="0" w:line="289" w:lineRule="auto"/>
        <w:rPr>
          <w:sz w:val="20"/>
          <w:szCs w:val="20"/>
          <w:color w:val="auto"/>
        </w:rPr>
      </w:pPr>
      <w:r>
        <w:rPr>
          <w:rFonts w:ascii="Arial" w:cs="Arial" w:eastAsia="Arial" w:hAnsi="Arial"/>
          <w:sz w:val="15"/>
          <w:szCs w:val="15"/>
          <w:color w:val="auto"/>
        </w:rPr>
        <w:t>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("MXN"), Euros, Czech Koruna ("CZK"), Japanese Yen ("JPY"), Swedish Krona ("SEK"), Danish Krone ("DKK"), Chinese Renminbi ("CNH"), Canadian Dollar ("CAD"), U.S. Dollar ("USD") and Australian Dollar ("AUD") and have varying maturities with an average term of approximately eleven months. The total notional amount of these outstanding derivative contracts as of September 30, 2023 was $152.7 million, which included the notional equivalent of $44.1 million in MXN,</w:t>
      </w:r>
    </w:p>
    <w:p>
      <w:pPr>
        <w:spacing w:after="0" w:line="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$25.5 million in Euros, $14.4 million in JPY, $6.4 million in CNH, $13.8 million in CAD, $10.3 million in AUD, $30.8 million in USD and $7.4 million in other foreign currencies, with terms currently through January 2025.</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Cross-currency Par Forward Contracts</w:t>
      </w:r>
    </w:p>
    <w:p>
      <w:pPr>
        <w:spacing w:after="0" w:line="243"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We have entered into cross-currency par forward contracts to hedge a portion of our Mexico forecasted expenses denominated in MXN. These contracts are agreements to exchange cash flows from one currency to another at specified intervals over the contract term with all exchanges occurring at the same predetermined rate. In November 2021, we entered into a one-year cross-currency par forward contract with a term from December 1, 2021 to December 1, 2022. The total notional amount of this outstanding derivative as of September 30, 2022 was approximately 103.8 million MXN. This derivative instrument matured in equal monthly amounts at a fixed forward rate of 21.60 MXN/USD.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Floating Interest Rate Risk</w:t>
      </w:r>
    </w:p>
    <w:p>
      <w:pPr>
        <w:spacing w:after="0" w:line="243" w:lineRule="exact"/>
        <w:rPr>
          <w:sz w:val="20"/>
          <w:szCs w:val="20"/>
          <w:color w:val="auto"/>
        </w:rPr>
      </w:pPr>
    </w:p>
    <w:p>
      <w:pPr>
        <w:ind w:firstLine="619"/>
        <w:spacing w:after="0" w:line="295" w:lineRule="auto"/>
        <w:rPr>
          <w:sz w:val="20"/>
          <w:szCs w:val="20"/>
          <w:color w:val="auto"/>
        </w:rPr>
      </w:pPr>
      <w:r>
        <w:rPr>
          <w:rFonts w:ascii="Arial" w:cs="Arial" w:eastAsia="Arial" w:hAnsi="Arial"/>
          <w:sz w:val="15"/>
          <w:szCs w:val="15"/>
          <w:color w:val="auto"/>
        </w:rPr>
        <w:t>In November 2021, in anticipation of entering into the new senior secured credit facilities in January 2022, which includes a variable-rate term loan A and a variable-rate term loan B (see Note 17: Long-Term Debt), we entered into two forward-starting interest rate swaps. In February 2022, certain terms under the agreements were amended to reflect the transition from LIBOR to the Secured Overnight Financing Rate ("SOFR"), an alternative reference rate. Under the interest rate swap agreements,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will pay a fixed rate of 1.32% and will receive the greater of 3-months USD SOFR or (0.15)%. Effective March 30, 2022, the term loan B swap, as amended, has an initial notional amount of $750.0 million, reducing to $46.9 million evenly on a quarterly basis excluding its final maturity on March 30, 2026. We will pay a fixed rate of 1.17% and will receive the greater of 3-months USD SOFR or 0.35%.</w:t>
      </w:r>
    </w:p>
    <w:p>
      <w:pPr>
        <w:spacing w:after="0" w:line="186" w:lineRule="exact"/>
        <w:rPr>
          <w:sz w:val="20"/>
          <w:szCs w:val="20"/>
          <w:color w:val="auto"/>
        </w:rPr>
      </w:pPr>
    </w:p>
    <w:p>
      <w:pPr>
        <w:ind w:right="100" w:firstLine="619"/>
        <w:spacing w:after="0" w:line="312" w:lineRule="auto"/>
        <w:rPr>
          <w:sz w:val="20"/>
          <w:szCs w:val="20"/>
          <w:color w:val="auto"/>
        </w:rPr>
      </w:pPr>
      <w:r>
        <w:rPr>
          <w:rFonts w:ascii="Arial" w:cs="Arial" w:eastAsia="Arial" w:hAnsi="Arial"/>
          <w:sz w:val="16"/>
          <w:szCs w:val="16"/>
          <w:color w:val="auto"/>
        </w:rPr>
        <w:t>In June 2023, we entered into an additional interest rate swap that hedges both term loan A and term loan B interest payments. The total notional amount of the swap is $300 million. The hedge matures on June 30, 2028. We will pay a fixed rate of 3.88% and will receive 3-months USD SOFR.</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These swaps effectively convert the relevant portion of the floating-rate term loans to fixed rates.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fair values of our derivative instruments included within the Condensed Consolidated Balance Sheets (in thousands):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0" w:type="dxa"/>
            <w:vAlign w:val="bottom"/>
            <w:gridSpan w:val="5"/>
          </w:tcPr>
          <w:p>
            <w:pPr>
              <w:ind w:left="140"/>
              <w:spacing w:after="0"/>
              <w:rPr>
                <w:sz w:val="20"/>
                <w:szCs w:val="20"/>
                <w:color w:val="auto"/>
              </w:rPr>
            </w:pPr>
            <w:r>
              <w:rPr>
                <w:rFonts w:ascii="Arial" w:cs="Arial" w:eastAsia="Arial" w:hAnsi="Arial"/>
                <w:sz w:val="15"/>
                <w:szCs w:val="15"/>
                <w:b w:val="1"/>
                <w:bCs w:val="1"/>
                <w:color w:val="auto"/>
              </w:rPr>
              <w:t>Derivatives Designated as Cash Flow Hedging</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363"/>
              <w:spacing w:after="0"/>
              <w:rPr>
                <w:sz w:val="20"/>
                <w:szCs w:val="20"/>
                <w:color w:val="auto"/>
              </w:rPr>
            </w:pPr>
            <w:r>
              <w:rPr>
                <w:rFonts w:ascii="Arial" w:cs="Arial" w:eastAsia="Arial" w:hAnsi="Arial"/>
                <w:sz w:val="15"/>
                <w:szCs w:val="15"/>
                <w:b w:val="1"/>
                <w:bCs w:val="1"/>
                <w:color w:val="auto"/>
              </w:rPr>
              <w:t>Instruments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6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Condensed Consolidated Balance Sheet Location</w:t>
            </w:r>
          </w:p>
        </w:tc>
        <w:tc>
          <w:tcPr>
            <w:tcW w:w="200" w:type="dxa"/>
            <w:vAlign w:val="bottom"/>
          </w:tcPr>
          <w:p>
            <w:pPr>
              <w:spacing w:after="0"/>
              <w:rPr>
                <w:sz w:val="13"/>
                <w:szCs w:val="13"/>
                <w:color w:val="auto"/>
              </w:rPr>
            </w:pPr>
          </w:p>
        </w:tc>
        <w:tc>
          <w:tcPr>
            <w:tcW w:w="1700" w:type="dxa"/>
            <w:vAlign w:val="bottom"/>
            <w:gridSpan w:val="2"/>
          </w:tcPr>
          <w:p>
            <w:pPr>
              <w:jc w:val="center"/>
              <w:ind w:right="300"/>
              <w:spacing w:after="0" w:line="150" w:lineRule="exact"/>
              <w:rPr>
                <w:sz w:val="20"/>
                <w:szCs w:val="20"/>
                <w:color w:val="auto"/>
              </w:rPr>
            </w:pPr>
            <w:r>
              <w:rPr>
                <w:rFonts w:ascii="Arial" w:cs="Arial" w:eastAsia="Arial" w:hAnsi="Arial"/>
                <w:sz w:val="15"/>
                <w:szCs w:val="15"/>
                <w:b w:val="1"/>
                <w:bCs w:val="1"/>
                <w:color w:val="auto"/>
                <w:w w:val="92"/>
              </w:rPr>
              <w:t>Foreign Exchange</w:t>
            </w:r>
          </w:p>
        </w:tc>
        <w:tc>
          <w:tcPr>
            <w:tcW w:w="160" w:type="dxa"/>
            <w:vAlign w:val="bottom"/>
          </w:tcPr>
          <w:p>
            <w:pPr>
              <w:spacing w:after="0"/>
              <w:rPr>
                <w:sz w:val="13"/>
                <w:szCs w:val="13"/>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Interest Rate Swaps</w:t>
            </w:r>
          </w:p>
        </w:tc>
        <w:tc>
          <w:tcPr>
            <w:tcW w:w="200" w:type="dxa"/>
            <w:vAlign w:val="bottom"/>
          </w:tcPr>
          <w:p>
            <w:pPr>
              <w:spacing w:after="0"/>
              <w:rPr>
                <w:sz w:val="13"/>
                <w:szCs w:val="13"/>
                <w:color w:val="auto"/>
              </w:rPr>
            </w:pPr>
          </w:p>
        </w:tc>
        <w:tc>
          <w:tcPr>
            <w:tcW w:w="158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w w:val="98"/>
              </w:rPr>
              <w:t>Gross Derivatives</w:t>
            </w:r>
          </w:p>
        </w:tc>
        <w:tc>
          <w:tcPr>
            <w:tcW w:w="0" w:type="dxa"/>
            <w:vAlign w:val="bottom"/>
          </w:tcPr>
          <w:p>
            <w:pPr>
              <w:spacing w:after="0"/>
              <w:rPr>
                <w:sz w:val="1"/>
                <w:szCs w:val="1"/>
                <w:color w:val="auto"/>
              </w:rPr>
            </w:pPr>
          </w:p>
        </w:tc>
      </w:tr>
      <w:tr>
        <w:trPr>
          <w:trHeight w:val="204"/>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Contracts</w:t>
            </w:r>
          </w:p>
        </w:tc>
        <w:tc>
          <w:tcPr>
            <w:tcW w:w="16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5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As of September 30, 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30,447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39,077</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22,167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22,709</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52,614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61,786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1,890</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22"/>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liabilities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 of December 31, 2022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4,860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28,431</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33,291</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26,753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26,847</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4,954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55,184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60,138</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rPr>
                <w:sz w:val="20"/>
                <w:szCs w:val="20"/>
                <w:color w:val="auto"/>
              </w:rPr>
            </w:pPr>
            <w:r>
              <w:rPr>
                <w:rFonts w:ascii="Arial" w:cs="Arial" w:eastAsia="Arial" w:hAnsi="Arial"/>
                <w:sz w:val="15"/>
                <w:szCs w:val="15"/>
                <w:color w:val="auto"/>
              </w:rPr>
              <w:t>Accrued liabilities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1,847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1,847</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Arial" w:cs="Arial" w:eastAsia="Arial" w:hAnsi="Arial"/>
                <w:sz w:val="15"/>
                <w:szCs w:val="15"/>
                <w:color w:val="auto"/>
              </w:rPr>
              <w:t>Total liabilities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2,014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2,014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We recognized the following gains on our derivative instruments designated as cash flow hedges in other comprehensive income before reclassifications to net loss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9"/>
          </w:tcPr>
          <w:p>
            <w:pPr>
              <w:jc w:val="right"/>
              <w:ind w:right="223"/>
              <w:spacing w:after="0"/>
              <w:rPr>
                <w:sz w:val="20"/>
                <w:szCs w:val="20"/>
                <w:color w:val="auto"/>
              </w:rPr>
            </w:pPr>
            <w:r>
              <w:rPr>
                <w:rFonts w:ascii="Arial" w:cs="Arial" w:eastAsia="Arial" w:hAnsi="Arial"/>
                <w:sz w:val="15"/>
                <w:szCs w:val="15"/>
                <w:b w:val="1"/>
                <w:bCs w:val="1"/>
                <w:color w:val="auto"/>
              </w:rPr>
              <w:t>Gain Recognized in Other Comprehensive Income</w:t>
            </w:r>
          </w:p>
        </w:tc>
        <w:tc>
          <w:tcPr>
            <w:tcW w:w="900" w:type="dxa"/>
            <w:vAlign w:val="bottom"/>
            <w:tcBorders>
              <w:bottom w:val="single" w:sz="8" w:color="auto"/>
            </w:tcBorders>
          </w:tcPr>
          <w:p>
            <w:pPr>
              <w:spacing w:after="0"/>
              <w:rPr>
                <w:sz w:val="17"/>
                <w:szCs w:val="17"/>
                <w:color w:val="auto"/>
              </w:rPr>
            </w:pPr>
          </w:p>
        </w:tc>
      </w:tr>
      <w:tr>
        <w:trPr>
          <w:trHeight w:val="150"/>
        </w:trPr>
        <w:tc>
          <w:tcPr>
            <w:tcW w:w="5060" w:type="dxa"/>
            <w:vAlign w:val="bottom"/>
          </w:tcPr>
          <w:p>
            <w:pPr>
              <w:spacing w:after="0"/>
              <w:rPr>
                <w:sz w:val="13"/>
                <w:szCs w:val="13"/>
                <w:color w:val="auto"/>
              </w:rPr>
            </w:pPr>
          </w:p>
        </w:tc>
        <w:tc>
          <w:tcPr>
            <w:tcW w:w="2280" w:type="dxa"/>
            <w:vAlign w:val="bottom"/>
            <w:gridSpan w:val="4"/>
          </w:tcPr>
          <w:p>
            <w:pPr>
              <w:jc w:val="right"/>
              <w:ind w:right="143"/>
              <w:spacing w:after="0" w:line="151" w:lineRule="exact"/>
              <w:rPr>
                <w:sz w:val="20"/>
                <w:szCs w:val="20"/>
                <w:color w:val="auto"/>
              </w:rPr>
            </w:pPr>
            <w:r>
              <w:rPr>
                <w:rFonts w:ascii="Arial" w:cs="Arial" w:eastAsia="Arial" w:hAnsi="Arial"/>
                <w:sz w:val="15"/>
                <w:szCs w:val="15"/>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4"/>
          </w:tcPr>
          <w:p>
            <w:pPr>
              <w:jc w:val="right"/>
              <w:ind w:right="723"/>
              <w:spacing w:after="0" w:line="151" w:lineRule="exact"/>
              <w:rPr>
                <w:sz w:val="20"/>
                <w:szCs w:val="20"/>
                <w:color w:val="auto"/>
              </w:rPr>
            </w:pPr>
            <w:r>
              <w:rPr>
                <w:rFonts w:ascii="Arial" w:cs="Arial" w:eastAsia="Arial" w:hAnsi="Arial"/>
                <w:sz w:val="15"/>
                <w:szCs w:val="15"/>
                <w:b w:val="1"/>
                <w:bCs w:val="1"/>
                <w:color w:val="auto"/>
              </w:rPr>
              <w:t>Nine months ended</w:t>
            </w:r>
          </w:p>
        </w:tc>
      </w:tr>
      <w:tr>
        <w:trPr>
          <w:trHeight w:val="204"/>
        </w:trPr>
        <w:tc>
          <w:tcPr>
            <w:tcW w:w="50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5"/>
                <w:szCs w:val="15"/>
                <w:b w:val="1"/>
                <w:bCs w:val="1"/>
                <w:color w:val="auto"/>
                <w:w w:val="99"/>
              </w:rPr>
              <w:t>September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9"/>
        </w:trPr>
        <w:tc>
          <w:tcPr>
            <w:tcW w:w="50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2022</w:t>
            </w:r>
          </w:p>
        </w:tc>
      </w:tr>
      <w:tr>
        <w:trPr>
          <w:trHeight w:val="188"/>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Derivatives designated as cash flow hedging instruments:</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5060" w:type="dxa"/>
            <w:vAlign w:val="bottom"/>
          </w:tcPr>
          <w:p>
            <w:pPr>
              <w:ind w:left="140"/>
              <w:spacing w:after="0"/>
              <w:rPr>
                <w:sz w:val="20"/>
                <w:szCs w:val="20"/>
                <w:color w:val="auto"/>
              </w:rPr>
            </w:pPr>
            <w:r>
              <w:rPr>
                <w:rFonts w:ascii="Arial" w:cs="Arial" w:eastAsia="Arial" w:hAnsi="Arial"/>
                <w:sz w:val="15"/>
                <w:szCs w:val="15"/>
                <w:color w:val="auto"/>
              </w:rPr>
              <w:t>Foreign exchange contracts</w:t>
            </w:r>
          </w:p>
        </w:tc>
        <w:tc>
          <w:tcPr>
            <w:tcW w:w="840" w:type="dxa"/>
            <w:vAlign w:val="bottom"/>
          </w:tcPr>
          <w:p>
            <w:pPr>
              <w:jc w:val="right"/>
              <w:ind w:right="663"/>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1,757</w:t>
            </w:r>
          </w:p>
        </w:tc>
        <w:tc>
          <w:tcPr>
            <w:tcW w:w="80" w:type="dxa"/>
            <w:vAlign w:val="bottom"/>
          </w:tcPr>
          <w:p>
            <w:pPr>
              <w:spacing w:after="0"/>
              <w:rPr>
                <w:sz w:val="17"/>
                <w:szCs w:val="17"/>
                <w:color w:val="auto"/>
              </w:rPr>
            </w:pPr>
          </w:p>
        </w:tc>
        <w:tc>
          <w:tcPr>
            <w:tcW w:w="840" w:type="dxa"/>
            <w:vAlign w:val="bottom"/>
          </w:tcPr>
          <w:p>
            <w:pPr>
              <w:jc w:val="right"/>
              <w:ind w:right="663"/>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3,383</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10,260</w:t>
            </w:r>
          </w:p>
        </w:tc>
        <w:tc>
          <w:tcPr>
            <w:tcW w:w="1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11,720</w:t>
            </w:r>
          </w:p>
        </w:tc>
      </w:tr>
      <w:tr>
        <w:trPr>
          <w:trHeight w:val="206"/>
        </w:trPr>
        <w:tc>
          <w:tcPr>
            <w:tcW w:w="5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rate swaps</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1"/>
              </w:rPr>
              <w:t>12,496</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1"/>
              </w:rPr>
              <w:t>21,201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21,236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60,398</w:t>
            </w:r>
          </w:p>
        </w:tc>
      </w:tr>
      <w:tr>
        <w:trPr>
          <w:trHeight w:val="202"/>
        </w:trPr>
        <w:tc>
          <w:tcPr>
            <w:tcW w:w="5060" w:type="dxa"/>
            <w:vAlign w:val="bottom"/>
          </w:tcPr>
          <w:p>
            <w:pPr>
              <w:ind w:left="20"/>
              <w:spacing w:after="0"/>
              <w:rPr>
                <w:sz w:val="20"/>
                <w:szCs w:val="20"/>
                <w:color w:val="auto"/>
              </w:rPr>
            </w:pPr>
            <w:r>
              <w:rPr>
                <w:rFonts w:ascii="Arial" w:cs="Arial" w:eastAsia="Arial" w:hAnsi="Arial"/>
                <w:sz w:val="15"/>
                <w:szCs w:val="15"/>
                <w:color w:val="auto"/>
              </w:rPr>
              <w:t>Total derivatives designated as cash flow hedging instruments</w:t>
            </w:r>
          </w:p>
        </w:tc>
        <w:tc>
          <w:tcPr>
            <w:tcW w:w="84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1"/>
              </w:rPr>
              <w:t>14,253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1"/>
              </w:rPr>
              <w:t>24,584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31,496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72,118</w:t>
            </w:r>
          </w:p>
        </w:tc>
      </w:tr>
      <w:tr>
        <w:trPr>
          <w:trHeight w:val="20"/>
        </w:trPr>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effects of our derivative instruments designated as cash flow hedges on the Condensed Consolidated Statements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Operations (in thousands):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160" w:type="dxa"/>
            <w:vAlign w:val="bottom"/>
          </w:tcPr>
          <w:p>
            <w:pPr>
              <w:spacing w:after="0"/>
              <w:rPr>
                <w:sz w:val="17"/>
                <w:szCs w:val="17"/>
                <w:color w:val="auto"/>
              </w:rPr>
            </w:pPr>
          </w:p>
        </w:tc>
        <w:tc>
          <w:tcPr>
            <w:tcW w:w="7560" w:type="dxa"/>
            <w:vAlign w:val="bottom"/>
            <w:tcBorders>
              <w:bottom w:val="single" w:sz="8" w:color="auto"/>
            </w:tcBorders>
            <w:gridSpan w:val="12"/>
          </w:tcPr>
          <w:p>
            <w:pPr>
              <w:jc w:val="right"/>
              <w:ind w:right="683"/>
              <w:spacing w:after="0"/>
              <w:rPr>
                <w:sz w:val="20"/>
                <w:szCs w:val="20"/>
                <w:color w:val="auto"/>
              </w:rPr>
            </w:pPr>
            <w:r>
              <w:rPr>
                <w:rFonts w:ascii="Arial" w:cs="Arial" w:eastAsia="Arial" w:hAnsi="Arial"/>
                <w:sz w:val="15"/>
                <w:szCs w:val="15"/>
                <w:b w:val="1"/>
                <w:bCs w:val="1"/>
                <w:color w:val="auto"/>
              </w:rPr>
              <w:t>Gain (Loss) Reclassified From Accumulated Other Comprehensive Loss into Income</w:t>
            </w:r>
          </w:p>
        </w:tc>
        <w:tc>
          <w:tcPr>
            <w:tcW w:w="0" w:type="dxa"/>
            <w:vAlign w:val="bottom"/>
          </w:tcPr>
          <w:p>
            <w:pPr>
              <w:spacing w:after="0"/>
              <w:rPr>
                <w:sz w:val="1"/>
                <w:szCs w:val="1"/>
                <w:color w:val="auto"/>
              </w:rPr>
            </w:pPr>
          </w:p>
        </w:tc>
      </w:tr>
      <w:tr>
        <w:trPr>
          <w:trHeight w:val="150"/>
        </w:trPr>
        <w:tc>
          <w:tcPr>
            <w:tcW w:w="31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jc w:val="center"/>
              <w:ind w:right="360"/>
              <w:spacing w:after="0" w:line="151" w:lineRule="exact"/>
              <w:rPr>
                <w:sz w:val="20"/>
                <w:szCs w:val="20"/>
                <w:color w:val="auto"/>
              </w:rPr>
            </w:pPr>
            <w:r>
              <w:rPr>
                <w:rFonts w:ascii="Arial" w:cs="Arial" w:eastAsia="Arial" w:hAnsi="Arial"/>
                <w:sz w:val="15"/>
                <w:szCs w:val="15"/>
                <w:b w:val="1"/>
                <w:bCs w:val="1"/>
                <w:color w:val="auto"/>
                <w:w w:val="92"/>
              </w:rPr>
              <w:t>Three months ended</w:t>
            </w:r>
          </w:p>
        </w:tc>
        <w:tc>
          <w:tcPr>
            <w:tcW w:w="320" w:type="dxa"/>
            <w:vAlign w:val="bottom"/>
          </w:tcPr>
          <w:p>
            <w:pPr>
              <w:spacing w:after="0"/>
              <w:rPr>
                <w:sz w:val="13"/>
                <w:szCs w:val="13"/>
                <w:color w:val="auto"/>
              </w:rPr>
            </w:pPr>
          </w:p>
        </w:tc>
        <w:tc>
          <w:tcPr>
            <w:tcW w:w="2040" w:type="dxa"/>
            <w:vAlign w:val="bottom"/>
            <w:gridSpan w:val="3"/>
          </w:tcPr>
          <w:p>
            <w:pPr>
              <w:jc w:val="right"/>
              <w:ind w:right="263"/>
              <w:spacing w:after="0" w:line="151" w:lineRule="exact"/>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1"/>
              </w:rPr>
              <w:t>September 30,</w:t>
            </w:r>
          </w:p>
        </w:tc>
        <w:tc>
          <w:tcPr>
            <w:tcW w:w="320" w:type="dxa"/>
            <w:vAlign w:val="bottom"/>
          </w:tcPr>
          <w:p>
            <w:pPr>
              <w:spacing w:after="0"/>
              <w:rPr>
                <w:sz w:val="17"/>
                <w:szCs w:val="17"/>
                <w:color w:val="auto"/>
              </w:rPr>
            </w:pPr>
          </w:p>
        </w:tc>
        <w:tc>
          <w:tcPr>
            <w:tcW w:w="2040" w:type="dxa"/>
            <w:vAlign w:val="bottom"/>
            <w:gridSpan w:val="3"/>
          </w:tcPr>
          <w:p>
            <w:pPr>
              <w:jc w:val="right"/>
              <w:ind w:right="403"/>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2740" w:type="dxa"/>
            <w:vAlign w:val="bottom"/>
            <w:gridSpan w:val="2"/>
          </w:tcPr>
          <w:p>
            <w:pPr>
              <w:jc w:val="right"/>
              <w:ind w:right="320"/>
              <w:spacing w:after="0" w:line="139" w:lineRule="exact"/>
              <w:rPr>
                <w:sz w:val="20"/>
                <w:szCs w:val="20"/>
                <w:color w:val="auto"/>
              </w:rPr>
            </w:pPr>
            <w:r>
              <w:rPr>
                <w:rFonts w:ascii="Arial" w:cs="Arial" w:eastAsia="Arial" w:hAnsi="Arial"/>
                <w:sz w:val="15"/>
                <w:szCs w:val="15"/>
                <w:b w:val="1"/>
                <w:bCs w:val="1"/>
                <w:color w:val="auto"/>
                <w:w w:val="93"/>
              </w:rPr>
              <w:t>Location of Gain (Loss) Recognized</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4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43"/>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4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04"/>
        </w:trPr>
        <w:tc>
          <w:tcPr>
            <w:tcW w:w="3160" w:type="dxa"/>
            <w:vAlign w:val="bottom"/>
          </w:tcPr>
          <w:p>
            <w:pPr>
              <w:spacing w:after="0"/>
              <w:rPr>
                <w:sz w:val="17"/>
                <w:szCs w:val="17"/>
                <w:color w:val="auto"/>
              </w:rPr>
            </w:pPr>
          </w:p>
        </w:tc>
        <w:tc>
          <w:tcPr>
            <w:tcW w:w="2740" w:type="dxa"/>
            <w:vAlign w:val="bottom"/>
            <w:gridSpan w:val="2"/>
          </w:tcPr>
          <w:p>
            <w:pPr>
              <w:jc w:val="right"/>
              <w:ind w:right="1180"/>
              <w:spacing w:after="0"/>
              <w:rPr>
                <w:sz w:val="20"/>
                <w:szCs w:val="20"/>
                <w:color w:val="auto"/>
              </w:rPr>
            </w:pPr>
            <w:r>
              <w:rPr>
                <w:rFonts w:ascii="Arial" w:cs="Arial" w:eastAsia="Arial" w:hAnsi="Arial"/>
                <w:sz w:val="15"/>
                <w:szCs w:val="15"/>
                <w:b w:val="1"/>
                <w:bCs w:val="1"/>
                <w:color w:val="auto"/>
              </w:rPr>
              <w:t>in Income</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5"/>
                <w:szCs w:val="15"/>
                <w:i w:val="1"/>
                <w:iCs w:val="1"/>
                <w:color w:val="auto"/>
              </w:rPr>
              <w:t>Derivatives designated as cash flow hedging</w:t>
            </w:r>
          </w:p>
        </w:tc>
        <w:tc>
          <w:tcPr>
            <w:tcW w:w="2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16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instruments:</w:t>
            </w:r>
          </w:p>
        </w:tc>
        <w:tc>
          <w:tcPr>
            <w:tcW w:w="2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40"/>
              <w:spacing w:after="0"/>
              <w:rPr>
                <w:sz w:val="20"/>
                <w:szCs w:val="20"/>
                <w:color w:val="auto"/>
              </w:rPr>
            </w:pPr>
            <w:r>
              <w:rPr>
                <w:rFonts w:ascii="Arial" w:cs="Arial" w:eastAsia="Arial" w:hAnsi="Arial"/>
                <w:sz w:val="15"/>
                <w:szCs w:val="15"/>
                <w:color w:val="auto"/>
              </w:rPr>
              <w:t>Foreign exchange contracts</w:t>
            </w:r>
          </w:p>
        </w:tc>
        <w:tc>
          <w:tcPr>
            <w:tcW w:w="2740" w:type="dxa"/>
            <w:vAlign w:val="bottom"/>
            <w:gridSpan w:val="2"/>
          </w:tcPr>
          <w:p>
            <w:pPr>
              <w:jc w:val="right"/>
              <w:ind w:right="280"/>
              <w:spacing w:after="0"/>
              <w:rPr>
                <w:sz w:val="20"/>
                <w:szCs w:val="20"/>
                <w:color w:val="auto"/>
              </w:rPr>
            </w:pPr>
            <w:r>
              <w:rPr>
                <w:rFonts w:ascii="Arial" w:cs="Arial" w:eastAsia="Arial" w:hAnsi="Arial"/>
                <w:sz w:val="15"/>
                <w:szCs w:val="15"/>
                <w:color w:val="auto"/>
              </w:rPr>
              <w:t>Total revenues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1,019</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(1,690)</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(429)</w:t>
            </w:r>
          </w:p>
        </w:tc>
        <w:tc>
          <w:tcPr>
            <w:tcW w:w="100" w:type="dxa"/>
            <w:vAlign w:val="bottom"/>
          </w:tcPr>
          <w:p>
            <w:pPr>
              <w:spacing w:after="0"/>
              <w:rPr>
                <w:sz w:val="17"/>
                <w:szCs w:val="17"/>
                <w:color w:val="auto"/>
              </w:rPr>
            </w:pP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exchange contracts</w:t>
            </w:r>
          </w:p>
        </w:tc>
        <w:tc>
          <w:tcPr>
            <w:tcW w:w="2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Cost of goods sold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40"/>
              <w:spacing w:after="0"/>
              <w:rPr>
                <w:sz w:val="20"/>
                <w:szCs w:val="20"/>
                <w:color w:val="auto"/>
              </w:rPr>
            </w:pPr>
            <w:r>
              <w:rPr>
                <w:rFonts w:ascii="Arial" w:cs="Arial" w:eastAsia="Arial" w:hAnsi="Arial"/>
                <w:sz w:val="15"/>
                <w:szCs w:val="15"/>
                <w:color w:val="auto"/>
              </w:rPr>
              <w:t>Foreign exchange contracts</w:t>
            </w:r>
          </w:p>
        </w:tc>
        <w:tc>
          <w:tcPr>
            <w:tcW w:w="2740" w:type="dxa"/>
            <w:vAlign w:val="bottom"/>
            <w:gridSpan w:val="2"/>
          </w:tcPr>
          <w:p>
            <w:pPr>
              <w:jc w:val="right"/>
              <w:ind w:right="120"/>
              <w:spacing w:after="0"/>
              <w:rPr>
                <w:sz w:val="20"/>
                <w:szCs w:val="20"/>
                <w:color w:val="auto"/>
              </w:rPr>
            </w:pPr>
            <w:r>
              <w:rPr>
                <w:rFonts w:ascii="Arial" w:cs="Arial" w:eastAsia="Arial" w:hAnsi="Arial"/>
                <w:sz w:val="15"/>
                <w:szCs w:val="15"/>
                <w:color w:val="auto"/>
              </w:rPr>
              <w:t xml:space="preserve">Other expense, net </w:t>
            </w:r>
            <w:r>
              <w:rPr>
                <w:rFonts w:ascii="Arial" w:cs="Arial" w:eastAsia="Arial" w:hAnsi="Arial"/>
                <w:sz w:val="10"/>
                <w:szCs w:val="10"/>
                <w:color w:val="auto"/>
              </w:rPr>
              <w:t>(1)</w:t>
            </w: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exchange contracts</w:t>
            </w:r>
          </w:p>
        </w:tc>
        <w:tc>
          <w:tcPr>
            <w:tcW w:w="2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 xml:space="preserve">Interest expense </w:t>
            </w:r>
            <w:r>
              <w:rPr>
                <w:rFonts w:ascii="Arial" w:cs="Arial" w:eastAsia="Arial" w:hAnsi="Arial"/>
                <w:sz w:val="10"/>
                <w:szCs w:val="10"/>
                <w:color w:val="auto"/>
              </w:rPr>
              <w:t>(2)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Interest rate swaps</w:t>
            </w:r>
          </w:p>
        </w:tc>
        <w:tc>
          <w:tcPr>
            <w:tcW w:w="27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5"/>
                <w:szCs w:val="15"/>
                <w:color w:val="auto"/>
              </w:rPr>
              <w:t>Interest expense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8,813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23,807</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rPr>
              <w:t>Total derivatives designated as cash flow</w:t>
            </w:r>
          </w:p>
        </w:tc>
        <w:tc>
          <w:tcPr>
            <w:tcW w:w="2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12,079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3,995</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29,683</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hedging instruments</w:t>
            </w:r>
          </w:p>
        </w:tc>
        <w:tc>
          <w:tcPr>
            <w:tcW w:w="2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33" w:lineRule="exact"/>
        <w:rPr>
          <w:sz w:val="20"/>
          <w:szCs w:val="20"/>
          <w:color w:val="auto"/>
        </w:rPr>
      </w:pPr>
    </w:p>
    <w:p>
      <w:pPr>
        <w:ind w:left="220" w:hanging="217"/>
        <w:spacing w:after="0"/>
        <w:tabs>
          <w:tab w:leader="none" w:pos="220"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Represents location of gain reclassified from accumulated other comprehensive loss into income as a result of ineffectiveness.</w:t>
      </w:r>
    </w:p>
    <w:p>
      <w:pPr>
        <w:spacing w:after="0" w:line="9" w:lineRule="exact"/>
        <w:rPr>
          <w:rFonts w:ascii="Arial" w:cs="Arial" w:eastAsia="Arial" w:hAnsi="Arial"/>
          <w:sz w:val="20"/>
          <w:szCs w:val="20"/>
          <w:color w:val="auto"/>
          <w:vertAlign w:val="superscript"/>
        </w:rPr>
      </w:pPr>
    </w:p>
    <w:p>
      <w:pPr>
        <w:ind w:left="280" w:hanging="277"/>
        <w:spacing w:after="0" w:line="191" w:lineRule="auto"/>
        <w:tabs>
          <w:tab w:leader="none" w:pos="280"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Represents location of gain reclassified from accumulated other comprehensive loss into income as a result of forecasted transactions no longer probable of occurring.</w:t>
      </w:r>
    </w:p>
    <w:p>
      <w:pPr>
        <w:spacing w:after="0" w:line="30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of September 30, 2023, we expect an estimated $6.7 million in deferred gains on the outstanding foreign exchange contracts and an estimated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$31.6 million in deferred gains on the interest rate swaps will be reclassified from accumulated other comprehensive loss to net income during the next 12 months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concurrent with the underlying hedged transactions also being reported in net income.</w:t>
      </w:r>
    </w:p>
    <w:p>
      <w:pPr>
        <w:spacing w:after="0" w:line="22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Fair Value Measurements</w:t>
      </w:r>
    </w:p>
    <w:p>
      <w:pPr>
        <w:spacing w:after="0" w:line="223" w:lineRule="exact"/>
        <w:rPr>
          <w:sz w:val="20"/>
          <w:szCs w:val="20"/>
          <w:color w:val="auto"/>
        </w:rPr>
      </w:pPr>
    </w:p>
    <w:p>
      <w:pPr>
        <w:ind w:right="520" w:firstLine="172"/>
        <w:spacing w:after="0" w:line="279" w:lineRule="auto"/>
        <w:rPr>
          <w:sz w:val="20"/>
          <w:szCs w:val="20"/>
          <w:color w:val="auto"/>
        </w:rPr>
      </w:pPr>
      <w:r>
        <w:rPr>
          <w:rFonts w:ascii="Arial" w:cs="Arial" w:eastAsia="Arial" w:hAnsi="Arial"/>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90"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21" w:lineRule="exact"/>
        <w:rPr>
          <w:rFonts w:ascii="Arial" w:cs="Arial" w:eastAsia="Arial" w:hAnsi="Arial"/>
          <w:sz w:val="17"/>
          <w:szCs w:val="17"/>
          <w:color w:val="auto"/>
        </w:rPr>
      </w:pPr>
    </w:p>
    <w:p>
      <w:pPr>
        <w:ind w:left="620" w:right="24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ind w:left="620" w:hanging="30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values of the assets or liabilities.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Contingent Earn-out Liabilities</w:t>
      </w:r>
    </w:p>
    <w:p>
      <w:pPr>
        <w:spacing w:after="0" w:line="243" w:lineRule="exact"/>
        <w:rPr>
          <w:sz w:val="20"/>
          <w:szCs w:val="20"/>
          <w:color w:val="auto"/>
        </w:rPr>
      </w:pPr>
    </w:p>
    <w:p>
      <w:pPr>
        <w:ind w:right="100" w:firstLine="619"/>
        <w:spacing w:after="0" w:line="293" w:lineRule="auto"/>
        <w:rPr>
          <w:sz w:val="20"/>
          <w:szCs w:val="20"/>
          <w:color w:val="auto"/>
        </w:rPr>
      </w:pPr>
      <w:r>
        <w:rPr>
          <w:rFonts w:ascii="Arial" w:cs="Arial" w:eastAsia="Arial" w:hAnsi="Arial"/>
          <w:sz w:val="15"/>
          <w:szCs w:val="15"/>
          <w:color w:val="auto"/>
        </w:rPr>
        <w:t>On January 6, 2022, we acquired Smiths Medical with a combination of cash consideration and share consideration issued at closing. Total consideration for the acquisition includes a potential earn-out payment of $100.0 million in cash contingent on our common stock achieving certain Price Targets from the closing date to either the third or fourth anniversary of closing (see Note 3: Acquisitions for additional information) and provided Smiths beneficially owns at least 50.0% of the shares of common stock issued at closing at the time the Price Target is achieved. The initial estimated fair value of the earn-out was determined to be $53.5 million. The initial fair value of the earn-out was determined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remeasure the earn-out liability and recognize any changes in its fair value in our consolidated statements of operations. If the probability of achieving the Price Targets during their respective measurement periods is significantly greater than initially anticipated, the realization of an additional liability and related expense will have a significant impact on our consolidated financial statements in the period recognized. As of September 30, 2023, the estimated fair value of the contingent earn-out is $7.1 million.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December 31, 2022, the measurement period related to (i) above ended, and based on the actual revenue achieved during the measurement period we determined that the fair value of the contingent earn-out was zero as the minimum threshold for earning the earn-out was not met. As of September 30, 2023, the estimated fair value for the contingent earn-out related to certain product-related regulatory certifications was estimated to be $1.5 million.</w:t>
      </w:r>
    </w:p>
    <w:p>
      <w:pPr>
        <w:spacing w:after="0" w:line="196" w:lineRule="exact"/>
        <w:rPr>
          <w:sz w:val="20"/>
          <w:szCs w:val="20"/>
          <w:color w:val="auto"/>
        </w:rPr>
      </w:pPr>
    </w:p>
    <w:p>
      <w:pPr>
        <w:ind w:right="80" w:firstLine="619"/>
        <w:spacing w:after="0" w:line="257" w:lineRule="auto"/>
        <w:rPr>
          <w:sz w:val="20"/>
          <w:szCs w:val="20"/>
          <w:color w:val="auto"/>
        </w:rPr>
      </w:pPr>
      <w:r>
        <w:rPr>
          <w:rFonts w:ascii="Arial" w:cs="Arial" w:eastAsia="Arial" w:hAnsi="Arial"/>
          <w:sz w:val="17"/>
          <w:szCs w:val="17"/>
          <w:color w:val="auto"/>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payment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September 30, 2023, the estimated fair value of the contingent earn-out is $4.3 million. The estimated fair value of the contingent earn-out is calculated using a probability-weighted cash flow model based on historical revenue streams and the likelihood that the revenue targets will be met.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contingent earn-out liabilities are separately stated on our condensed consolidated balance sheets.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provide a reconciliation of the Level 3 earn-out liabilities measured at estimated fair value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rPr>
              <w:t>Earn-out Liability</w:t>
            </w:r>
          </w:p>
        </w:tc>
      </w:tr>
      <w:tr>
        <w:trPr>
          <w:trHeight w:val="215"/>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2023</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25,572</w:t>
            </w:r>
          </w:p>
        </w:tc>
      </w:tr>
      <w:tr>
        <w:trPr>
          <w:trHeight w:val="219"/>
        </w:trPr>
        <w:tc>
          <w:tcPr>
            <w:tcW w:w="9460" w:type="dxa"/>
            <w:vAlign w:val="bottom"/>
          </w:tcPr>
          <w:p>
            <w:pPr>
              <w:ind w:left="140"/>
              <w:spacing w:after="0" w:line="219" w:lineRule="exact"/>
              <w:rPr>
                <w:sz w:val="20"/>
                <w:szCs w:val="20"/>
                <w:color w:val="auto"/>
              </w:rPr>
            </w:pPr>
            <w:r>
              <w:rPr>
                <w:rFonts w:ascii="Arial" w:cs="Arial" w:eastAsia="Arial" w:hAnsi="Arial"/>
                <w:sz w:val="17"/>
                <w:szCs w:val="17"/>
                <w:color w:val="auto"/>
              </w:rPr>
              <w:t>Change in fair value of earn-out (included in income from operations as a separate line item)</w:t>
            </w:r>
            <w:r>
              <w:rPr>
                <w:rFonts w:ascii="Arial" w:cs="Arial" w:eastAsia="Arial" w:hAnsi="Arial"/>
                <w:sz w:val="22"/>
                <w:szCs w:val="22"/>
                <w:color w:val="auto"/>
                <w:vertAlign w:val="superscript"/>
              </w:rPr>
              <w:t>(1)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(700)</w:t>
            </w:r>
          </w:p>
        </w:tc>
      </w:tr>
      <w:tr>
        <w:trPr>
          <w:trHeight w:val="219"/>
        </w:trPr>
        <w:tc>
          <w:tcPr>
            <w:tcW w:w="9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1"/>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Accrued balance, March 31, 2023</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24,905</w:t>
            </w:r>
          </w:p>
        </w:tc>
      </w:tr>
      <w:tr>
        <w:trPr>
          <w:trHeight w:val="213"/>
        </w:trPr>
        <w:tc>
          <w:tcPr>
            <w:tcW w:w="9460" w:type="dxa"/>
            <w:vAlign w:val="bottom"/>
            <w:shd w:val="clear" w:color="auto" w:fill="CCEEFF"/>
          </w:tcPr>
          <w:p>
            <w:pPr>
              <w:ind w:left="140"/>
              <w:spacing w:after="0" w:line="212" w:lineRule="exact"/>
              <w:rPr>
                <w:sz w:val="20"/>
                <w:szCs w:val="20"/>
                <w:color w:val="auto"/>
              </w:rPr>
            </w:pPr>
            <w:r>
              <w:rPr>
                <w:rFonts w:ascii="Arial" w:cs="Arial" w:eastAsia="Arial" w:hAnsi="Arial"/>
                <w:sz w:val="17"/>
                <w:szCs w:val="17"/>
                <w:color w:val="auto"/>
              </w:rPr>
              <w:t>Change in fair value of earn-out (included in income from operations as a separate line item)</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w:t>
            </w:r>
          </w:p>
        </w:tc>
      </w:tr>
      <w:tr>
        <w:trPr>
          <w:trHeight w:val="218"/>
        </w:trPr>
        <w:tc>
          <w:tcPr>
            <w:tcW w:w="9460" w:type="dxa"/>
            <w:vAlign w:val="bottom"/>
          </w:tcPr>
          <w:p>
            <w:pPr>
              <w:ind w:left="14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9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1"/>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Accrued balance, June 30, 2023</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28,933</w:t>
            </w:r>
          </w:p>
        </w:tc>
      </w:tr>
      <w:tr>
        <w:trPr>
          <w:trHeight w:val="213"/>
        </w:trPr>
        <w:tc>
          <w:tcPr>
            <w:tcW w:w="9460" w:type="dxa"/>
            <w:vAlign w:val="bottom"/>
            <w:shd w:val="clear" w:color="auto" w:fill="CCEEFF"/>
          </w:tcPr>
          <w:p>
            <w:pPr>
              <w:ind w:left="140"/>
              <w:spacing w:after="0" w:line="212" w:lineRule="exact"/>
              <w:rPr>
                <w:sz w:val="20"/>
                <w:szCs w:val="20"/>
                <w:color w:val="auto"/>
              </w:rPr>
            </w:pPr>
            <w:r>
              <w:rPr>
                <w:rFonts w:ascii="Arial" w:cs="Arial" w:eastAsia="Arial" w:hAnsi="Arial"/>
                <w:sz w:val="17"/>
                <w:szCs w:val="17"/>
                <w:color w:val="auto"/>
              </w:rPr>
              <w:t>Change in fair value of earn-out (included in income from operations as a separate line item)</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(15,572)</w:t>
            </w:r>
          </w:p>
        </w:tc>
      </w:tr>
      <w:tr>
        <w:trPr>
          <w:trHeight w:val="218"/>
        </w:trPr>
        <w:tc>
          <w:tcPr>
            <w:tcW w:w="9460" w:type="dxa"/>
            <w:vAlign w:val="bottom"/>
          </w:tcPr>
          <w:p>
            <w:pPr>
              <w:ind w:left="14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9"/>
        </w:trPr>
        <w:tc>
          <w:tcPr>
            <w:tcW w:w="9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Accrued balance, September 30, 2023</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13,361</w:t>
            </w:r>
          </w:p>
        </w:tc>
      </w:tr>
      <w:tr>
        <w:trPr>
          <w:trHeight w:val="20"/>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63"/>
        </w:trPr>
        <w:tc>
          <w:tcPr>
            <w:tcW w:w="94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rPr>
              <w:t>Earn-out Liability</w:t>
            </w:r>
          </w:p>
        </w:tc>
      </w:tr>
      <w:tr>
        <w:trPr>
          <w:trHeight w:val="215"/>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2022</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w:t>
            </w:r>
          </w:p>
        </w:tc>
      </w:tr>
      <w:tr>
        <w:trPr>
          <w:trHeight w:val="219"/>
        </w:trPr>
        <w:tc>
          <w:tcPr>
            <w:tcW w:w="9460" w:type="dxa"/>
            <w:vAlign w:val="bottom"/>
          </w:tcPr>
          <w:p>
            <w:pPr>
              <w:ind w:left="140"/>
              <w:spacing w:after="0" w:line="219" w:lineRule="exact"/>
              <w:rPr>
                <w:sz w:val="20"/>
                <w:szCs w:val="20"/>
                <w:color w:val="auto"/>
              </w:rPr>
            </w:pPr>
            <w:r>
              <w:rPr>
                <w:rFonts w:ascii="Arial" w:cs="Arial" w:eastAsia="Arial" w:hAnsi="Arial"/>
                <w:sz w:val="17"/>
                <w:szCs w:val="17"/>
                <w:color w:val="auto"/>
              </w:rPr>
              <w:t>Acquisition date fair value estimate of earn-out</w:t>
            </w:r>
            <w:r>
              <w:rPr>
                <w:rFonts w:ascii="Arial" w:cs="Arial" w:eastAsia="Arial" w:hAnsi="Arial"/>
                <w:sz w:val="22"/>
                <w:szCs w:val="22"/>
                <w:color w:val="auto"/>
                <w:vertAlign w:val="superscript"/>
              </w:rPr>
              <w:t>(3)</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55,158</w:t>
            </w:r>
          </w:p>
        </w:tc>
      </w:tr>
      <w:tr>
        <w:trPr>
          <w:trHeight w:val="219"/>
        </w:trPr>
        <w:tc>
          <w:tcPr>
            <w:tcW w:w="9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1"/>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Accrued balance, March 31, 2022</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57,701</w:t>
            </w:r>
          </w:p>
        </w:tc>
      </w:tr>
      <w:tr>
        <w:trPr>
          <w:trHeight w:val="213"/>
        </w:trPr>
        <w:tc>
          <w:tcPr>
            <w:tcW w:w="9460" w:type="dxa"/>
            <w:vAlign w:val="bottom"/>
            <w:shd w:val="clear" w:color="auto" w:fill="CCEEFF"/>
          </w:tcPr>
          <w:p>
            <w:pPr>
              <w:ind w:left="140"/>
              <w:spacing w:after="0" w:line="212" w:lineRule="exact"/>
              <w:rPr>
                <w:sz w:val="20"/>
                <w:szCs w:val="20"/>
                <w:color w:val="auto"/>
              </w:rPr>
            </w:pPr>
            <w:r>
              <w:rPr>
                <w:rFonts w:ascii="Arial" w:cs="Arial" w:eastAsia="Arial" w:hAnsi="Arial"/>
                <w:sz w:val="17"/>
                <w:szCs w:val="17"/>
                <w:color w:val="auto"/>
              </w:rPr>
              <w:t>Change in fair value of earn-out (included in income from operations as a separate line item)</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(27,194)</w:t>
            </w:r>
          </w:p>
        </w:tc>
      </w:tr>
      <w:tr>
        <w:trPr>
          <w:trHeight w:val="21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Currency translation</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r>
      <w:tr>
        <w:trPr>
          <w:trHeight w:val="213"/>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June 30, 2022</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30,409</w:t>
            </w:r>
          </w:p>
        </w:tc>
      </w:tr>
      <w:tr>
        <w:trPr>
          <w:trHeight w:val="212"/>
        </w:trPr>
        <w:tc>
          <w:tcPr>
            <w:tcW w:w="9460" w:type="dxa"/>
            <w:vAlign w:val="bottom"/>
          </w:tcPr>
          <w:p>
            <w:pPr>
              <w:ind w:left="140"/>
              <w:spacing w:after="0" w:line="212" w:lineRule="exact"/>
              <w:rPr>
                <w:sz w:val="20"/>
                <w:szCs w:val="20"/>
                <w:color w:val="auto"/>
              </w:rPr>
            </w:pPr>
            <w:r>
              <w:rPr>
                <w:rFonts w:ascii="Arial" w:cs="Arial" w:eastAsia="Arial" w:hAnsi="Arial"/>
                <w:sz w:val="17"/>
                <w:szCs w:val="17"/>
                <w:color w:val="auto"/>
              </w:rPr>
              <w:t>Change in fair value of earn-out (included in income from operations as a separate line item)</w:t>
            </w:r>
            <w:r>
              <w:rPr>
                <w:rFonts w:ascii="Arial" w:cs="Arial" w:eastAsia="Arial" w:hAnsi="Arial"/>
                <w:sz w:val="22"/>
                <w:szCs w:val="22"/>
                <w:color w:val="auto"/>
                <w:vertAlign w:val="superscript"/>
              </w:rPr>
              <w:t>(1)</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(4,059)</w:t>
            </w:r>
          </w:p>
        </w:tc>
      </w:tr>
      <w:tr>
        <w:trPr>
          <w:trHeight w:val="218"/>
        </w:trPr>
        <w:tc>
          <w:tcPr>
            <w:tcW w:w="9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Currency translation</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13"/>
        </w:trPr>
        <w:tc>
          <w:tcPr>
            <w:tcW w:w="9460" w:type="dxa"/>
            <w:vAlign w:val="bottom"/>
          </w:tcPr>
          <w:p>
            <w:pPr>
              <w:ind w:left="20"/>
              <w:spacing w:after="0"/>
              <w:rPr>
                <w:sz w:val="20"/>
                <w:szCs w:val="20"/>
                <w:color w:val="auto"/>
              </w:rPr>
            </w:pPr>
            <w:r>
              <w:rPr>
                <w:rFonts w:ascii="Arial" w:cs="Arial" w:eastAsia="Arial" w:hAnsi="Arial"/>
                <w:sz w:val="17"/>
                <w:szCs w:val="17"/>
                <w:b w:val="1"/>
                <w:bCs w:val="1"/>
                <w:color w:val="auto"/>
              </w:rPr>
              <w:t>Accrued balance, September 30,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26,242</w:t>
            </w:r>
          </w:p>
        </w:tc>
      </w:tr>
      <w:tr>
        <w:trPr>
          <w:trHeight w:val="20"/>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34" w:lineRule="exact"/>
        <w:rPr>
          <w:sz w:val="20"/>
          <w:szCs w:val="20"/>
          <w:color w:val="auto"/>
        </w:rPr>
      </w:pPr>
    </w:p>
    <w:p>
      <w:pPr>
        <w:ind w:left="180" w:hanging="177"/>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Primarily relates to the change in fair value of our Smiths Medical earn-out.</w:t>
      </w:r>
    </w:p>
    <w:p>
      <w:pPr>
        <w:spacing w:after="0" w:line="61" w:lineRule="exact"/>
        <w:rPr>
          <w:rFonts w:ascii="Arial" w:cs="Arial" w:eastAsia="Arial" w:hAnsi="Arial"/>
          <w:sz w:val="21"/>
          <w:szCs w:val="21"/>
          <w:color w:val="auto"/>
          <w:vertAlign w:val="superscript"/>
        </w:rPr>
      </w:pPr>
    </w:p>
    <w:p>
      <w:pPr>
        <w:ind w:left="160" w:hanging="157"/>
        <w:spacing w:after="0" w:line="201" w:lineRule="auto"/>
        <w:tabs>
          <w:tab w:leader="none" w:pos="16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Primarily relates to the change in fair value of our Smiths Medical earn-out and the earnout with one of our international distributors.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20" w:lineRule="exact"/>
        <w:rPr>
          <w:sz w:val="20"/>
          <w:szCs w:val="20"/>
          <w:color w:val="auto"/>
        </w:rPr>
      </w:pPr>
    </w:p>
    <w:p>
      <w:pPr>
        <w:ind w:right="80" w:firstLine="3"/>
        <w:spacing w:after="0" w:line="271" w:lineRule="auto"/>
        <w:tabs>
          <w:tab w:leader="none" w:pos="158"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$53.5 million of the change in fair value of earn-out relates to our acquisition of Smiths Medical, and $1.6 million of the change in fair value of earn-out relates to our acquisition of a small foreign infusions systems supplier in the fourth quarter of 2021 (see Note 3: Acquisitions).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tables provide quantitative information about Level 3 inputs for fair value measurement of our earn-out liabilities related to Smiths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Medical:</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Smiths Medical Earn-out Liability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Simulation Input</w:t>
            </w:r>
          </w:p>
        </w:tc>
        <w:tc>
          <w:tcPr>
            <w:tcW w:w="80" w:type="dxa"/>
            <w:vAlign w:val="bottom"/>
            <w:vMerge w:val="restart"/>
          </w:tcPr>
          <w:p>
            <w:pPr>
              <w:spacing w:after="0"/>
              <w:rPr>
                <w:sz w:val="14"/>
                <w:szCs w:val="14"/>
                <w:color w:val="auto"/>
              </w:rPr>
            </w:pPr>
          </w:p>
        </w:tc>
        <w:tc>
          <w:tcPr>
            <w:tcW w:w="1880" w:type="dxa"/>
            <w:vAlign w:val="bottom"/>
            <w:gridSpan w:val="2"/>
          </w:tcPr>
          <w:p>
            <w:pPr>
              <w:ind w:left="720"/>
              <w:spacing w:after="0"/>
              <w:rPr>
                <w:sz w:val="20"/>
                <w:szCs w:val="20"/>
                <w:color w:val="auto"/>
              </w:rPr>
            </w:pPr>
            <w:r>
              <w:rPr>
                <w:rFonts w:ascii="Arial" w:cs="Arial" w:eastAsia="Arial" w:hAnsi="Arial"/>
                <w:sz w:val="15"/>
                <w:szCs w:val="15"/>
                <w:b w:val="1"/>
                <w:bCs w:val="1"/>
                <w:color w:val="auto"/>
              </w:rPr>
              <w:t>As of</w:t>
            </w:r>
          </w:p>
        </w:tc>
        <w:tc>
          <w:tcPr>
            <w:tcW w:w="1900" w:type="dxa"/>
            <w:vAlign w:val="bottom"/>
          </w:tcPr>
          <w:p>
            <w:pPr>
              <w:jc w:val="right"/>
              <w:ind w:right="723"/>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204"/>
        </w:trPr>
        <w:tc>
          <w:tcPr>
            <w:tcW w:w="73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September 30, 2023</w:t>
            </w:r>
          </w:p>
        </w:tc>
        <w:tc>
          <w:tcPr>
            <w:tcW w:w="8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201"/>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Volatility</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41.00 %</w:t>
            </w:r>
          </w:p>
        </w:tc>
        <w:tc>
          <w:tcPr>
            <w:tcW w:w="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38.00 %</w:t>
            </w:r>
          </w:p>
        </w:tc>
        <w:tc>
          <w:tcPr>
            <w:tcW w:w="0" w:type="dxa"/>
            <w:vAlign w:val="bottom"/>
          </w:tcPr>
          <w:p>
            <w:pPr>
              <w:spacing w:after="0"/>
              <w:rPr>
                <w:sz w:val="1"/>
                <w:szCs w:val="1"/>
                <w:color w:val="auto"/>
              </w:rPr>
            </w:pPr>
          </w:p>
        </w:tc>
      </w:tr>
      <w:tr>
        <w:trPr>
          <w:trHeight w:val="201"/>
        </w:trPr>
        <w:tc>
          <w:tcPr>
            <w:tcW w:w="7460" w:type="dxa"/>
            <w:vAlign w:val="bottom"/>
            <w:gridSpan w:val="2"/>
          </w:tcPr>
          <w:p>
            <w:pPr>
              <w:ind w:left="20"/>
              <w:spacing w:after="0"/>
              <w:rPr>
                <w:sz w:val="20"/>
                <w:szCs w:val="20"/>
                <w:color w:val="auto"/>
              </w:rPr>
            </w:pPr>
            <w:r>
              <w:rPr>
                <w:rFonts w:ascii="Arial" w:cs="Arial" w:eastAsia="Arial" w:hAnsi="Arial"/>
                <w:sz w:val="15"/>
                <w:szCs w:val="15"/>
                <w:color w:val="auto"/>
              </w:rPr>
              <w:t>Risk-Free Rate</w:t>
            </w:r>
          </w:p>
        </w:tc>
        <w:tc>
          <w:tcPr>
            <w:tcW w:w="1800" w:type="dxa"/>
            <w:vAlign w:val="bottom"/>
          </w:tcPr>
          <w:p>
            <w:pPr>
              <w:jc w:val="right"/>
              <w:spacing w:after="0"/>
              <w:rPr>
                <w:sz w:val="20"/>
                <w:szCs w:val="20"/>
                <w:color w:val="auto"/>
              </w:rPr>
            </w:pPr>
            <w:r>
              <w:rPr>
                <w:rFonts w:ascii="Arial" w:cs="Arial" w:eastAsia="Arial" w:hAnsi="Arial"/>
                <w:sz w:val="15"/>
                <w:szCs w:val="15"/>
                <w:color w:val="auto"/>
              </w:rPr>
              <w:t>4.91 %</w:t>
            </w:r>
          </w:p>
        </w:tc>
        <w:tc>
          <w:tcPr>
            <w:tcW w:w="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4.17 %</w:t>
            </w:r>
          </w:p>
        </w:tc>
        <w:tc>
          <w:tcPr>
            <w:tcW w:w="0" w:type="dxa"/>
            <w:vAlign w:val="bottom"/>
          </w:tcPr>
          <w:p>
            <w:pPr>
              <w:spacing w:after="0"/>
              <w:rPr>
                <w:sz w:val="1"/>
                <w:szCs w:val="1"/>
                <w:color w:val="auto"/>
              </w:rPr>
            </w:pPr>
          </w:p>
        </w:tc>
      </w:tr>
      <w:tr>
        <w:trPr>
          <w:trHeight w:val="520"/>
        </w:trPr>
        <w:tc>
          <w:tcPr>
            <w:tcW w:w="7460" w:type="dxa"/>
            <w:vAlign w:val="bottom"/>
            <w:gridSpan w:val="2"/>
          </w:tcPr>
          <w:p>
            <w:pPr>
              <w:spacing w:after="0"/>
              <w:rPr>
                <w:sz w:val="20"/>
                <w:szCs w:val="20"/>
                <w:color w:val="auto"/>
              </w:rPr>
            </w:pPr>
            <w:r>
              <w:rPr>
                <w:rFonts w:ascii="Arial" w:cs="Arial" w:eastAsia="Arial" w:hAnsi="Arial"/>
                <w:sz w:val="17"/>
                <w:szCs w:val="17"/>
                <w:i w:val="1"/>
                <w:iCs w:val="1"/>
                <w:color w:val="auto"/>
              </w:rPr>
              <w:t>Investments, Foreign Exchange Contracts and Interest Rate Contracts</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340" w:firstLine="172"/>
        <w:spacing w:after="0" w:line="266" w:lineRule="auto"/>
        <w:rPr>
          <w:sz w:val="20"/>
          <w:szCs w:val="20"/>
          <w:color w:val="auto"/>
        </w:rPr>
      </w:pPr>
      <w:r>
        <w:rPr>
          <w:rFonts w:ascii="Arial" w:cs="Arial" w:eastAsia="Arial" w:hAnsi="Arial"/>
          <w:sz w:val="17"/>
          <w:szCs w:val="17"/>
          <w:color w:val="auto"/>
        </w:rPr>
        <w:t>Our investments consist of corporate and government bonds and U.S. treasury securities. The fair value of our corporate and government bonds is estimated using observable market-based inputs such as quoted prices, interest rates and yield curves or Level 2 inputs. The fair value of our U.S. treasury securities are based on quoted market prices in active markets and are included in the Level 1 fair value hierarchy.</w:t>
      </w:r>
    </w:p>
    <w:p>
      <w:pPr>
        <w:spacing w:after="0" w:line="201" w:lineRule="exact"/>
        <w:rPr>
          <w:sz w:val="20"/>
          <w:szCs w:val="20"/>
          <w:color w:val="auto"/>
        </w:rPr>
      </w:pPr>
    </w:p>
    <w:p>
      <w:pPr>
        <w:ind w:right="80" w:firstLine="172"/>
        <w:spacing w:after="0" w:line="266" w:lineRule="auto"/>
        <w:rPr>
          <w:sz w:val="20"/>
          <w:szCs w:val="20"/>
          <w:color w:val="auto"/>
        </w:rPr>
      </w:pPr>
      <w:r>
        <w:rPr>
          <w:rFonts w:ascii="Arial" w:cs="Arial" w:eastAsia="Arial" w:hAnsi="Arial"/>
          <w:sz w:val="17"/>
          <w:szCs w:val="17"/>
          <w:color w:val="auto"/>
        </w:rPr>
        <w:t>The fair value of our Level 2 foreign exchange contracts, including forward contracts and cross-currency par forward contracts,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201"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assets and liabilities measured at fair value on a recurring basis consisted of the following Level 1, 2 and 3 inputs as defined above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9"/>
          </w:tcPr>
          <w:p>
            <w:pPr>
              <w:jc w:val="right"/>
              <w:ind w:right="14"/>
              <w:spacing w:after="0"/>
              <w:rPr>
                <w:sz w:val="20"/>
                <w:szCs w:val="20"/>
                <w:color w:val="auto"/>
              </w:rPr>
            </w:pPr>
            <w:r>
              <w:rPr>
                <w:rFonts w:ascii="Arial" w:cs="Arial" w:eastAsia="Arial" w:hAnsi="Arial"/>
                <w:sz w:val="17"/>
                <w:szCs w:val="17"/>
                <w:b w:val="1"/>
                <w:bCs w:val="1"/>
                <w:color w:val="auto"/>
              </w:rPr>
              <w:t>Fair value measurements as of September 30, 2023</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left="154"/>
              <w:spacing w:after="0" w:line="162" w:lineRule="exact"/>
              <w:rPr>
                <w:sz w:val="20"/>
                <w:szCs w:val="20"/>
                <w:color w:val="auto"/>
              </w:rPr>
            </w:pPr>
            <w:r>
              <w:rPr>
                <w:rFonts w:ascii="Arial" w:cs="Arial" w:eastAsia="Arial" w:hAnsi="Arial"/>
                <w:sz w:val="17"/>
                <w:szCs w:val="17"/>
                <w:b w:val="1"/>
                <w:bCs w:val="1"/>
                <w:color w:val="auto"/>
                <w:w w:val="90"/>
              </w:rPr>
              <w:t>Quoted prices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left="154"/>
              <w:spacing w:after="0" w:line="180" w:lineRule="exact"/>
              <w:rPr>
                <w:sz w:val="20"/>
                <w:szCs w:val="20"/>
                <w:color w:val="auto"/>
              </w:rPr>
            </w:pPr>
            <w:r>
              <w:rPr>
                <w:rFonts w:ascii="Arial" w:cs="Arial" w:eastAsia="Arial" w:hAnsi="Arial"/>
                <w:sz w:val="17"/>
                <w:szCs w:val="17"/>
                <w:b w:val="1"/>
                <w:bCs w:val="1"/>
                <w:color w:val="auto"/>
                <w:w w:val="88"/>
              </w:rPr>
              <w:t>in active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20"/>
              <w:spacing w:after="0" w:line="180" w:lineRule="exact"/>
              <w:rPr>
                <w:sz w:val="20"/>
                <w:szCs w:val="20"/>
                <w:color w:val="auto"/>
              </w:rPr>
            </w:pPr>
            <w:r>
              <w:rPr>
                <w:rFonts w:ascii="Arial" w:cs="Arial" w:eastAsia="Arial" w:hAnsi="Arial"/>
                <w:sz w:val="17"/>
                <w:szCs w:val="17"/>
                <w:b w:val="1"/>
                <w:bCs w:val="1"/>
                <w:color w:val="auto"/>
                <w:w w:val="91"/>
              </w:rPr>
              <w:t>Significant</w:t>
            </w: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700" w:type="dxa"/>
            <w:vAlign w:val="bottom"/>
            <w:gridSpan w:val="3"/>
            <w:vMerge w:val="restart"/>
          </w:tcPr>
          <w:p>
            <w:pPr>
              <w:ind w:left="260"/>
              <w:spacing w:after="0"/>
              <w:rPr>
                <w:sz w:val="20"/>
                <w:szCs w:val="20"/>
                <w:color w:val="auto"/>
              </w:rPr>
            </w:pPr>
            <w:r>
              <w:rPr>
                <w:rFonts w:ascii="Arial" w:cs="Arial" w:eastAsia="Arial" w:hAnsi="Arial"/>
                <w:sz w:val="17"/>
                <w:szCs w:val="17"/>
                <w:b w:val="1"/>
                <w:bCs w:val="1"/>
                <w:color w:val="auto"/>
              </w:rPr>
              <w:t>Total carrying</w:t>
            </w:r>
          </w:p>
        </w:tc>
        <w:tc>
          <w:tcPr>
            <w:tcW w:w="1320" w:type="dxa"/>
            <w:vAlign w:val="bottom"/>
          </w:tcPr>
          <w:p>
            <w:pPr>
              <w:jc w:val="center"/>
              <w:ind w:left="154"/>
              <w:spacing w:after="0" w:line="167" w:lineRule="exact"/>
              <w:rPr>
                <w:sz w:val="20"/>
                <w:szCs w:val="20"/>
                <w:color w:val="auto"/>
              </w:rPr>
            </w:pPr>
            <w:r>
              <w:rPr>
                <w:rFonts w:ascii="Arial" w:cs="Arial" w:eastAsia="Arial" w:hAnsi="Arial"/>
                <w:sz w:val="17"/>
                <w:szCs w:val="17"/>
                <w:b w:val="1"/>
                <w:bCs w:val="1"/>
                <w:color w:val="auto"/>
                <w:w w:val="94"/>
              </w:rPr>
              <w:t>markets for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7" w:lineRule="exact"/>
              <w:rPr>
                <w:sz w:val="20"/>
                <w:szCs w:val="20"/>
                <w:color w:val="auto"/>
              </w:rPr>
            </w:pPr>
            <w:r>
              <w:rPr>
                <w:rFonts w:ascii="Arial" w:cs="Arial" w:eastAsia="Arial" w:hAnsi="Arial"/>
                <w:sz w:val="17"/>
                <w:szCs w:val="17"/>
                <w:b w:val="1"/>
                <w:bCs w:val="1"/>
                <w:color w:val="auto"/>
                <w:w w:val="94"/>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320" w:type="dxa"/>
            <w:vAlign w:val="bottom"/>
          </w:tcPr>
          <w:p>
            <w:pPr>
              <w:jc w:val="center"/>
              <w:ind w:left="154"/>
              <w:spacing w:after="0" w:line="167" w:lineRule="exact"/>
              <w:rPr>
                <w:sz w:val="20"/>
                <w:szCs w:val="20"/>
                <w:color w:val="auto"/>
              </w:rPr>
            </w:pPr>
            <w:r>
              <w:rPr>
                <w:rFonts w:ascii="Arial" w:cs="Arial" w:eastAsia="Arial" w:hAnsi="Arial"/>
                <w:sz w:val="17"/>
                <w:szCs w:val="17"/>
                <w:b w:val="1"/>
                <w:bCs w:val="1"/>
                <w:color w:val="auto"/>
                <w:w w:val="92"/>
              </w:rPr>
              <w:t>identical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7" w:lineRule="exact"/>
              <w:rPr>
                <w:sz w:val="20"/>
                <w:szCs w:val="20"/>
                <w:color w:val="auto"/>
              </w:rPr>
            </w:pPr>
            <w:r>
              <w:rPr>
                <w:rFonts w:ascii="Arial" w:cs="Arial" w:eastAsia="Arial" w:hAnsi="Arial"/>
                <w:sz w:val="17"/>
                <w:szCs w:val="17"/>
                <w:b w:val="1"/>
                <w:bCs w:val="1"/>
                <w:color w:val="auto"/>
                <w:w w:val="89"/>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Arial" w:cs="Arial" w:eastAsia="Arial" w:hAnsi="Arial"/>
                <w:sz w:val="17"/>
                <w:szCs w:val="17"/>
                <w:b w:val="1"/>
                <w:bCs w:val="1"/>
                <w:color w:val="auto"/>
                <w:w w:val="88"/>
              </w:rPr>
              <w:t>unobservable</w:t>
            </w: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value</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left="154"/>
              <w:spacing w:after="0"/>
              <w:rPr>
                <w:sz w:val="20"/>
                <w:szCs w:val="20"/>
                <w:color w:val="auto"/>
              </w:rPr>
            </w:pPr>
            <w:r>
              <w:rPr>
                <w:rFonts w:ascii="Arial" w:cs="Arial" w:eastAsia="Arial" w:hAnsi="Arial"/>
                <w:sz w:val="17"/>
                <w:szCs w:val="17"/>
                <w:b w:val="1"/>
                <w:bCs w:val="1"/>
                <w:color w:val="auto"/>
                <w:w w:val="85"/>
              </w:rPr>
              <w:t>assets (level 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inputs (level 2)</w:t>
            </w:r>
          </w:p>
        </w:tc>
        <w:tc>
          <w:tcPr>
            <w:tcW w:w="180" w:type="dxa"/>
            <w:vAlign w:val="bottom"/>
          </w:tcPr>
          <w:p>
            <w:pPr>
              <w:spacing w:after="0"/>
              <w:rPr>
                <w:sz w:val="20"/>
                <w:szCs w:val="20"/>
                <w:color w:val="auto"/>
              </w:rPr>
            </w:pPr>
          </w:p>
        </w:tc>
        <w:tc>
          <w:tcPr>
            <w:tcW w:w="138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inputs (level 3)</w:t>
            </w:r>
          </w:p>
        </w:tc>
        <w:tc>
          <w:tcPr>
            <w:tcW w:w="0" w:type="dxa"/>
            <w:vAlign w:val="bottom"/>
          </w:tcPr>
          <w:p>
            <w:pPr>
              <w:spacing w:after="0"/>
              <w:rPr>
                <w:sz w:val="1"/>
                <w:szCs w:val="1"/>
                <w:color w:val="auto"/>
              </w:rPr>
            </w:pPr>
          </w:p>
        </w:tc>
      </w:tr>
      <w:tr>
        <w:trPr>
          <w:trHeight w:val="20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Available-for-sale debt securities: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corporate bonds</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Short-term government bonds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500</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4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7"/>
                <w:szCs w:val="17"/>
                <w:color w:val="auto"/>
              </w:rPr>
              <w:t>Foreign exchange contracts: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Other assets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542</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rate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30,446</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30,446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22,167</w:t>
            </w:r>
          </w:p>
        </w:tc>
        <w:tc>
          <w:tcPr>
            <w:tcW w:w="1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22,167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63,591</w:t>
            </w:r>
          </w:p>
        </w:tc>
        <w:tc>
          <w:tcPr>
            <w:tcW w:w="140" w:type="dxa"/>
            <w:vAlign w:val="bottom"/>
          </w:tcPr>
          <w:p>
            <w:pPr>
              <w:spacing w:after="0"/>
              <w:rPr>
                <w:sz w:val="18"/>
                <w:szCs w:val="18"/>
                <w:color w:val="auto"/>
              </w:rPr>
            </w:pPr>
          </w:p>
        </w:tc>
        <w:tc>
          <w:tcPr>
            <w:tcW w:w="1320" w:type="dxa"/>
            <w:vAlign w:val="bottom"/>
          </w:tcPr>
          <w:p>
            <w:pPr>
              <w:jc w:val="right"/>
              <w:ind w:right="1134"/>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63,591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Contingent earn-out liability - ST</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6,300</w:t>
            </w:r>
          </w:p>
        </w:tc>
        <w:tc>
          <w:tcPr>
            <w:tcW w:w="0" w:type="dxa"/>
            <w:vAlign w:val="bottom"/>
          </w:tcPr>
          <w:p>
            <w:pPr>
              <w:spacing w:after="0"/>
              <w:rPr>
                <w:sz w:val="1"/>
                <w:szCs w:val="1"/>
                <w:color w:val="auto"/>
              </w:rPr>
            </w:pPr>
          </w:p>
        </w:tc>
      </w:tr>
      <w:tr>
        <w:trPr>
          <w:trHeight w:val="218"/>
        </w:trPr>
        <w:tc>
          <w:tcPr>
            <w:tcW w:w="4580" w:type="dxa"/>
            <w:vAlign w:val="bottom"/>
          </w:tcPr>
          <w:p>
            <w:pPr>
              <w:ind w:left="120"/>
              <w:spacing w:after="0"/>
              <w:rPr>
                <w:sz w:val="20"/>
                <w:szCs w:val="20"/>
                <w:color w:val="auto"/>
              </w:rPr>
            </w:pPr>
            <w:r>
              <w:rPr>
                <w:rFonts w:ascii="Arial" w:cs="Arial" w:eastAsia="Arial" w:hAnsi="Arial"/>
                <w:sz w:val="17"/>
                <w:szCs w:val="17"/>
                <w:color w:val="auto"/>
              </w:rPr>
              <w:t>Contingent earn-out liability - LT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7,061</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7,061</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Foreign exchange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240"/>
              <w:spacing w:after="0"/>
              <w:rPr>
                <w:sz w:val="20"/>
                <w:szCs w:val="20"/>
                <w:color w:val="auto"/>
              </w:rPr>
            </w:pPr>
            <w:r>
              <w:rPr>
                <w:rFonts w:ascii="Arial" w:cs="Arial" w:eastAsia="Arial" w:hAnsi="Arial"/>
                <w:sz w:val="17"/>
                <w:szCs w:val="17"/>
                <w:color w:val="auto"/>
              </w:rPr>
              <w:t>Accrued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1,890</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1,890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long-term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15,342</w:t>
            </w:r>
          </w:p>
        </w:tc>
        <w:tc>
          <w:tcPr>
            <w:tcW w:w="140" w:type="dxa"/>
            <w:vAlign w:val="bottom"/>
          </w:tcPr>
          <w:p>
            <w:pPr>
              <w:spacing w:after="0"/>
              <w:rPr>
                <w:sz w:val="18"/>
                <w:szCs w:val="18"/>
                <w:color w:val="auto"/>
              </w:rPr>
            </w:pPr>
          </w:p>
        </w:tc>
        <w:tc>
          <w:tcPr>
            <w:tcW w:w="1320" w:type="dxa"/>
            <w:vAlign w:val="bottom"/>
          </w:tcPr>
          <w:p>
            <w:pPr>
              <w:jc w:val="right"/>
              <w:ind w:right="1134"/>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1,981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13,361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4580" w:type="dxa"/>
            <w:vAlign w:val="bottom"/>
          </w:tcPr>
          <w:p>
            <w:pPr>
              <w:spacing w:after="0"/>
              <w:rPr>
                <w:sz w:val="24"/>
                <w:szCs w:val="24"/>
                <w:color w:val="auto"/>
              </w:rPr>
            </w:pPr>
          </w:p>
        </w:tc>
        <w:tc>
          <w:tcPr>
            <w:tcW w:w="1560" w:type="dxa"/>
            <w:vAlign w:val="bottom"/>
            <w:gridSpan w:val="2"/>
          </w:tcPr>
          <w:p>
            <w:pPr>
              <w:jc w:val="right"/>
              <w:ind w:right="354"/>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gridSpan w:val="9"/>
          </w:tcPr>
          <w:p>
            <w:pPr>
              <w:jc w:val="right"/>
              <w:spacing w:after="0"/>
              <w:rPr>
                <w:sz w:val="20"/>
                <w:szCs w:val="20"/>
                <w:color w:val="auto"/>
              </w:rPr>
            </w:pPr>
            <w:r>
              <w:rPr>
                <w:rFonts w:ascii="Arial" w:cs="Arial" w:eastAsia="Arial" w:hAnsi="Arial"/>
                <w:sz w:val="17"/>
                <w:szCs w:val="17"/>
                <w:b w:val="1"/>
                <w:bCs w:val="1"/>
                <w:color w:val="auto"/>
              </w:rPr>
              <w:t>Fair value measurements as of December 31, 2022</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0"/>
              </w:rPr>
              <w:t>Quoted prices</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88"/>
              </w:rPr>
              <w:t>in active</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91"/>
              </w:rPr>
              <w:t>Significant</w:t>
            </w: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Arial" w:cs="Arial" w:eastAsia="Arial" w:hAnsi="Arial"/>
                <w:sz w:val="17"/>
                <w:szCs w:val="17"/>
                <w:b w:val="1"/>
                <w:bCs w:val="1"/>
                <w:color w:val="auto"/>
                <w:w w:val="91"/>
              </w:rPr>
              <w:t>Significant</w:t>
            </w:r>
          </w:p>
        </w:tc>
        <w:tc>
          <w:tcPr>
            <w:tcW w:w="0" w:type="dxa"/>
            <w:vAlign w:val="bottom"/>
          </w:tcPr>
          <w:p>
            <w:pPr>
              <w:spacing w:after="0"/>
              <w:rPr>
                <w:sz w:val="1"/>
                <w:szCs w:val="1"/>
                <w:color w:val="auto"/>
              </w:rPr>
            </w:pPr>
          </w:p>
        </w:tc>
      </w:tr>
      <w:tr>
        <w:trPr>
          <w:trHeight w:val="168"/>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94"/>
              </w:rPr>
              <w:t>markets for</w:t>
            </w: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94"/>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92"/>
              </w:rPr>
              <w:t>Total carrying</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92"/>
              </w:rPr>
              <w:t>identical</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89"/>
              </w:rPr>
              <w:t>observable</w:t>
            </w:r>
          </w:p>
        </w:tc>
        <w:tc>
          <w:tcPr>
            <w:tcW w:w="180" w:type="dxa"/>
            <w:vAlign w:val="bottom"/>
          </w:tcPr>
          <w:p>
            <w:pPr>
              <w:spacing w:after="0"/>
              <w:rPr>
                <w:sz w:val="15"/>
                <w:szCs w:val="15"/>
                <w:color w:val="auto"/>
              </w:rPr>
            </w:pPr>
          </w:p>
        </w:tc>
        <w:tc>
          <w:tcPr>
            <w:tcW w:w="1380" w:type="dxa"/>
            <w:vAlign w:val="bottom"/>
          </w:tcPr>
          <w:p>
            <w:pPr>
              <w:jc w:val="center"/>
              <w:ind w:right="74"/>
              <w:spacing w:after="0" w:line="180" w:lineRule="exact"/>
              <w:rPr>
                <w:sz w:val="20"/>
                <w:szCs w:val="20"/>
                <w:color w:val="auto"/>
              </w:rPr>
            </w:pPr>
            <w:r>
              <w:rPr>
                <w:rFonts w:ascii="Arial" w:cs="Arial" w:eastAsia="Arial" w:hAnsi="Arial"/>
                <w:sz w:val="17"/>
                <w:szCs w:val="17"/>
                <w:b w:val="1"/>
                <w:bCs w:val="1"/>
                <w:color w:val="auto"/>
                <w:w w:val="88"/>
              </w:rPr>
              <w:t>unobservable</w:t>
            </w:r>
          </w:p>
        </w:tc>
        <w:tc>
          <w:tcPr>
            <w:tcW w:w="0" w:type="dxa"/>
            <w:vAlign w:val="bottom"/>
          </w:tcPr>
          <w:p>
            <w:pPr>
              <w:spacing w:after="0"/>
              <w:rPr>
                <w:sz w:val="1"/>
                <w:szCs w:val="1"/>
                <w:color w:val="auto"/>
              </w:rPr>
            </w:pPr>
          </w:p>
        </w:tc>
      </w:tr>
      <w:tr>
        <w:trPr>
          <w:trHeight w:val="219"/>
        </w:trPr>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value</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assets (level 1)</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inputs (level 3)</w:t>
            </w:r>
          </w:p>
        </w:tc>
        <w:tc>
          <w:tcPr>
            <w:tcW w:w="0" w:type="dxa"/>
            <w:vAlign w:val="bottom"/>
          </w:tcPr>
          <w:p>
            <w:pPr>
              <w:spacing w:after="0"/>
              <w:rPr>
                <w:sz w:val="1"/>
                <w:szCs w:val="1"/>
                <w:color w:val="auto"/>
              </w:rPr>
            </w:pP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120"/>
              <w:spacing w:after="0"/>
              <w:rPr>
                <w:sz w:val="20"/>
                <w:szCs w:val="20"/>
                <w:color w:val="auto"/>
              </w:rPr>
            </w:pPr>
            <w:r>
              <w:rPr>
                <w:rFonts w:ascii="Arial" w:cs="Arial" w:eastAsia="Arial" w:hAnsi="Arial"/>
                <w:sz w:val="17"/>
                <w:szCs w:val="17"/>
                <w:color w:val="auto"/>
              </w:rPr>
              <w:t>Available-for-sale debt securities: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corporate bonds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Short-term U.S. treasury securities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government bonds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Long-term corporate bonds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4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120"/>
              <w:spacing w:after="0"/>
              <w:rPr>
                <w:sz w:val="20"/>
                <w:szCs w:val="20"/>
                <w:color w:val="auto"/>
              </w:rPr>
            </w:pPr>
            <w:r>
              <w:rPr>
                <w:rFonts w:ascii="Arial" w:cs="Arial" w:eastAsia="Arial" w:hAnsi="Arial"/>
                <w:sz w:val="17"/>
                <w:szCs w:val="17"/>
                <w:color w:val="auto"/>
              </w:rPr>
              <w:t>Foreign exchange forwards: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rate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28,431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28,431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120"/>
              <w:spacing w:after="0"/>
              <w:rPr>
                <w:sz w:val="20"/>
                <w:szCs w:val="20"/>
                <w:color w:val="auto"/>
              </w:rPr>
            </w:pPr>
            <w:r>
              <w:rPr>
                <w:rFonts w:ascii="Arial" w:cs="Arial" w:eastAsia="Arial" w:hAnsi="Arial"/>
                <w:sz w:val="17"/>
                <w:szCs w:val="17"/>
                <w:color w:val="auto"/>
              </w:rPr>
              <w:t>Contingent earn-out liability - LT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25,572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25,572</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Foreign exchange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27,586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25,572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Investment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in Available-for-sale Securities</w:t>
      </w:r>
    </w:p>
    <w:p>
      <w:pPr>
        <w:spacing w:after="0" w:line="243" w:lineRule="exact"/>
        <w:rPr>
          <w:sz w:val="20"/>
          <w:szCs w:val="20"/>
          <w:color w:val="auto"/>
        </w:rPr>
      </w:pPr>
    </w:p>
    <w:p>
      <w:pPr>
        <w:ind w:right="20" w:firstLine="172"/>
        <w:spacing w:after="0" w:line="275" w:lineRule="auto"/>
        <w:rPr>
          <w:sz w:val="20"/>
          <w:szCs w:val="20"/>
          <w:color w:val="auto"/>
        </w:rPr>
      </w:pPr>
      <w:r>
        <w:rPr>
          <w:rFonts w:ascii="Arial" w:cs="Arial" w:eastAsia="Arial" w:hAnsi="Arial"/>
          <w:sz w:val="16"/>
          <w:szCs w:val="16"/>
          <w:color w:val="auto"/>
        </w:rPr>
        <w:t>Our available-for-sale investment securities currently consist of short-term corporate bonds and short-term government bonds and are considered “investment grade” and are carried at fair value. We assess our investment in available-for-sale debt securities for impairment each reporting period. If an unrealized loss exists, we determine whether any portion of the decline in fair value below the amortized cost basis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income (loss). We did not have any investments in available-for-sale debt securities in unrealized loss positions as of September 30, 2023 or December 31, 2022.</w:t>
      </w:r>
    </w:p>
    <w:p>
      <w:pPr>
        <w:spacing w:after="0" w:line="196"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The amortized cost of the debt securities are adjusted for the amortization of premiums computed under the effective interest method. Such amortization is included in interest expense, net in our condensed consolidated statements of operations. Realized gains and losses are accounted for on the specific identification method. There have been no realized gains or losses on the disposal of these investments. The scheduled maturities of the outstanding debt securities are between 2023 and 2024. All short-term investment securities are callable within one year.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short-term and long-term investments in available-for-sale securities consist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2"/>
              </w:rPr>
              <w:t>As of September 30, 2023</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Amortized Cost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tcPr>
          <w:p>
            <w:pPr>
              <w:jc w:val="center"/>
              <w:ind w:right="260"/>
              <w:spacing w:after="0" w:line="151" w:lineRule="exact"/>
              <w:rPr>
                <w:sz w:val="20"/>
                <w:szCs w:val="20"/>
                <w:color w:val="auto"/>
              </w:rPr>
            </w:pPr>
            <w:r>
              <w:rPr>
                <w:rFonts w:ascii="Arial" w:cs="Arial" w:eastAsia="Arial" w:hAnsi="Arial"/>
                <w:sz w:val="15"/>
                <w:szCs w:val="15"/>
                <w:b w:val="1"/>
                <w:bCs w:val="1"/>
                <w:color w:val="auto"/>
                <w:w w:val="94"/>
              </w:rPr>
              <w:t>Unrealized Holding</w:t>
            </w:r>
          </w:p>
        </w:tc>
        <w:tc>
          <w:tcPr>
            <w:tcW w:w="380" w:type="dxa"/>
            <w:vAlign w:val="bottom"/>
          </w:tcPr>
          <w:p>
            <w:pPr>
              <w:spacing w:after="0"/>
              <w:rPr>
                <w:sz w:val="13"/>
                <w:szCs w:val="13"/>
                <w:color w:val="auto"/>
              </w:rPr>
            </w:pPr>
          </w:p>
        </w:tc>
        <w:tc>
          <w:tcPr>
            <w:tcW w:w="1580" w:type="dxa"/>
            <w:vAlign w:val="bottom"/>
            <w:vMerge w:val="restart"/>
          </w:tcPr>
          <w:p>
            <w:pPr>
              <w:jc w:val="right"/>
              <w:ind w:right="536"/>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516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89"/>
              </w:rPr>
              <w:t>Gains (Losses)</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0" w:type="dxa"/>
            <w:vAlign w:val="bottom"/>
          </w:tcPr>
          <w:p>
            <w:pPr>
              <w:spacing w:after="0"/>
              <w:rPr>
                <w:sz w:val="1"/>
                <w:szCs w:val="1"/>
                <w:color w:val="auto"/>
              </w:rPr>
            </w:pPr>
          </w:p>
        </w:tc>
      </w:tr>
      <w:tr>
        <w:trPr>
          <w:trHeight w:val="21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government bonds</w:t>
            </w:r>
          </w:p>
        </w:tc>
        <w:tc>
          <w:tcPr>
            <w:tcW w:w="1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16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1500" w:type="dxa"/>
            <w:vAlign w:val="bottom"/>
            <w:tcBorders>
              <w:bottom w:val="single" w:sz="8" w:color="auto"/>
            </w:tcBorders>
            <w:shd w:val="clear" w:color="auto" w:fill="CCEEFF"/>
          </w:tcPr>
          <w:p>
            <w:pPr>
              <w:jc w:val="right"/>
              <w:ind w:right="1318"/>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16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2"/>
              </w:rPr>
              <w:t>As of December 31, 2022</w:t>
            </w: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Amortized Cost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tcPr>
          <w:p>
            <w:pPr>
              <w:jc w:val="center"/>
              <w:ind w:right="220"/>
              <w:spacing w:after="0" w:line="151" w:lineRule="exact"/>
              <w:rPr>
                <w:sz w:val="20"/>
                <w:szCs w:val="20"/>
                <w:color w:val="auto"/>
              </w:rPr>
            </w:pPr>
            <w:r>
              <w:rPr>
                <w:rFonts w:ascii="Arial" w:cs="Arial" w:eastAsia="Arial" w:hAnsi="Arial"/>
                <w:sz w:val="15"/>
                <w:szCs w:val="15"/>
                <w:b w:val="1"/>
                <w:bCs w:val="1"/>
                <w:color w:val="auto"/>
                <w:w w:val="94"/>
              </w:rPr>
              <w:t>Unrealized Holding</w:t>
            </w:r>
          </w:p>
        </w:tc>
        <w:tc>
          <w:tcPr>
            <w:tcW w:w="380" w:type="dxa"/>
            <w:vAlign w:val="bottom"/>
          </w:tcPr>
          <w:p>
            <w:pPr>
              <w:spacing w:after="0"/>
              <w:rPr>
                <w:sz w:val="13"/>
                <w:szCs w:val="13"/>
                <w:color w:val="auto"/>
              </w:rPr>
            </w:pPr>
          </w:p>
        </w:tc>
        <w:tc>
          <w:tcPr>
            <w:tcW w:w="1580" w:type="dxa"/>
            <w:vAlign w:val="bottom"/>
            <w:vMerge w:val="restart"/>
          </w:tcPr>
          <w:p>
            <w:pPr>
              <w:jc w:val="right"/>
              <w:ind w:right="536"/>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516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89"/>
              </w:rPr>
              <w:t>Gains (Losses)</w:t>
            </w: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1500" w:type="dxa"/>
            <w:vAlign w:val="bottom"/>
            <w:shd w:val="clear" w:color="auto" w:fill="CCEEFF"/>
          </w:tcPr>
          <w:p>
            <w:pPr>
              <w:jc w:val="right"/>
              <w:ind w:right="1318"/>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w:t>
            </w:r>
          </w:p>
        </w:tc>
        <w:tc>
          <w:tcPr>
            <w:tcW w:w="0" w:type="dxa"/>
            <w:vAlign w:val="bottom"/>
          </w:tcPr>
          <w:p>
            <w:pPr>
              <w:spacing w:after="0"/>
              <w:rPr>
                <w:sz w:val="1"/>
                <w:szCs w:val="1"/>
                <w:color w:val="auto"/>
              </w:rPr>
            </w:pPr>
          </w:p>
        </w:tc>
      </w:tr>
      <w:tr>
        <w:trPr>
          <w:trHeight w:val="218"/>
        </w:trPr>
        <w:tc>
          <w:tcPr>
            <w:tcW w:w="5160" w:type="dxa"/>
            <w:vAlign w:val="bottom"/>
          </w:tcPr>
          <w:p>
            <w:pPr>
              <w:ind w:left="20"/>
              <w:spacing w:after="0"/>
              <w:rPr>
                <w:sz w:val="20"/>
                <w:szCs w:val="20"/>
                <w:color w:val="auto"/>
              </w:rPr>
            </w:pPr>
            <w:r>
              <w:rPr>
                <w:rFonts w:ascii="Arial" w:cs="Arial" w:eastAsia="Arial" w:hAnsi="Arial"/>
                <w:sz w:val="17"/>
                <w:szCs w:val="17"/>
                <w:color w:val="auto"/>
              </w:rPr>
              <w:t>Short-term U.S. treasury securities</w:t>
            </w:r>
          </w:p>
        </w:tc>
        <w:tc>
          <w:tcPr>
            <w:tcW w:w="1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16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1,412</w:t>
            </w: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government bonds</w:t>
            </w: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1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corporate bonds</w:t>
            </w:r>
          </w:p>
        </w:tc>
        <w:tc>
          <w:tcPr>
            <w:tcW w:w="1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16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33"/>
        </w:trPr>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1500" w:type="dxa"/>
            <w:vAlign w:val="bottom"/>
            <w:shd w:val="clear" w:color="auto" w:fill="CCEEFF"/>
          </w:tcPr>
          <w:p>
            <w:pPr>
              <w:jc w:val="right"/>
              <w:ind w:right="1318"/>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4,740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in Non-Marketable Equity Securities</w:t>
      </w:r>
    </w:p>
    <w:p>
      <w:pPr>
        <w:spacing w:after="0" w:line="243"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During the third quarter of 2021, we acquired an approximate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spacing w:after="0" w:line="204" w:lineRule="exact"/>
        <w:rPr>
          <w:sz w:val="20"/>
          <w:szCs w:val="20"/>
          <w:color w:val="auto"/>
        </w:rPr>
      </w:pPr>
    </w:p>
    <w:p>
      <w:pPr>
        <w:ind w:right="140" w:firstLine="619"/>
        <w:spacing w:after="0" w:line="293" w:lineRule="auto"/>
        <w:rPr>
          <w:sz w:val="20"/>
          <w:szCs w:val="20"/>
          <w:color w:val="auto"/>
        </w:rPr>
      </w:pPr>
      <w:r>
        <w:rPr>
          <w:rFonts w:ascii="Arial" w:cs="Arial" w:eastAsia="Arial" w:hAnsi="Arial"/>
          <w:sz w:val="15"/>
          <w:szCs w:val="15"/>
          <w:color w:val="auto"/>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record our share of the investee's income or (loss) on a one quarter lag. We report our proportionate share of the investee's income or (loss) resulting from this investment in other income, net in our condensed consolidated statements of operations. The carrying value of our equity method investment is reported in other assets on our condensed consolidated balance sheets (see Note 11: Prepaid Expenses and Other Current Assets and Other Assets). We assess our equity method investments for impairment on an annual basis or whenever events or circumstances indicate that the carrying value of the investment may not be recoverable. Our recorded share of the investee's loss was not material for the three and nine months ended September 30, 2023 and 2022. We did not receive any dividend distributions from this investment during the three and nine months ended September 30, 2023 and 2022.</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non-marketable equity method investment consists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80" w:type="dxa"/>
            <w:vAlign w:val="bottom"/>
          </w:tcPr>
          <w:p>
            <w:pPr>
              <w:spacing w:after="0"/>
              <w:rPr>
                <w:sz w:val="17"/>
                <w:szCs w:val="17"/>
                <w:color w:val="auto"/>
              </w:rPr>
            </w:pPr>
          </w:p>
        </w:tc>
        <w:tc>
          <w:tcPr>
            <w:tcW w:w="1600" w:type="dxa"/>
            <w:vAlign w:val="bottom"/>
          </w:tcPr>
          <w:p>
            <w:pPr>
              <w:jc w:val="right"/>
              <w:ind w:right="178"/>
              <w:spacing w:after="0"/>
              <w:rPr>
                <w:sz w:val="20"/>
                <w:szCs w:val="20"/>
                <w:color w:val="auto"/>
              </w:rPr>
            </w:pPr>
            <w:r>
              <w:rPr>
                <w:rFonts w:ascii="Arial" w:cs="Arial" w:eastAsia="Arial" w:hAnsi="Arial"/>
                <w:sz w:val="15"/>
                <w:szCs w:val="15"/>
                <w:b w:val="1"/>
                <w:bCs w:val="1"/>
                <w:color w:val="auto"/>
                <w:w w:val="97"/>
              </w:rPr>
              <w:t>December 31, 2022</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method investment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Prepaid Expenses and Other Current Assets and Other Assets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Prepaid expenses and other current assets consist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2022</w:t>
            </w:r>
          </w:p>
        </w:tc>
        <w:tc>
          <w:tcPr>
            <w:tcW w:w="0" w:type="dxa"/>
            <w:vAlign w:val="bottom"/>
          </w:tcPr>
          <w:p>
            <w:pPr>
              <w:spacing w:after="0"/>
              <w:rPr>
                <w:sz w:val="1"/>
                <w:szCs w:val="1"/>
                <w:color w:val="auto"/>
              </w:rPr>
            </w:pP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prepaid expenses and receivables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21,635</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Prepaid vendor expenses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3,052</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costs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Prepaid insurance and property taxes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4,245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16,322</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VAT/GST receivable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3,546</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tax charge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4,935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3,830</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4,860</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Interest rate contracts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30,446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28,431</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w:t>
            </w:r>
          </w:p>
        </w:tc>
        <w:tc>
          <w:tcPr>
            <w:tcW w:w="0" w:type="dxa"/>
            <w:vAlign w:val="bottom"/>
          </w:tcPr>
          <w:p>
            <w:pPr>
              <w:spacing w:after="0"/>
              <w:rPr>
                <w:sz w:val="1"/>
                <w:szCs w:val="1"/>
                <w:color w:val="auto"/>
              </w:rPr>
            </w:pP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3,532</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88,932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7"/>
                <w:szCs w:val="17"/>
                <w:color w:val="auto"/>
              </w:rPr>
              <w:t>Other assets consist of the following (in thousands):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7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2022</w:t>
            </w:r>
          </w:p>
        </w:tc>
        <w:tc>
          <w:tcPr>
            <w:tcW w:w="0" w:type="dxa"/>
            <w:vAlign w:val="bottom"/>
          </w:tcPr>
          <w:p>
            <w:pPr>
              <w:spacing w:after="0"/>
              <w:rPr>
                <w:sz w:val="1"/>
                <w:szCs w:val="1"/>
                <w:color w:val="auto"/>
              </w:rPr>
            </w:pP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Pump lease receivables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29,070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27,086</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Spare parts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44,076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38,498</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method investment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3,178</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debt issuance costs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3,867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5,156</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right-of-use assets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Interest rate contracts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22,167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26,753</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2,193</w:t>
            </w:r>
          </w:p>
        </w:tc>
        <w:tc>
          <w:tcPr>
            <w:tcW w:w="0" w:type="dxa"/>
            <w:vAlign w:val="bottom"/>
          </w:tcPr>
          <w:p>
            <w:pPr>
              <w:spacing w:after="0"/>
              <w:rPr>
                <w:sz w:val="1"/>
                <w:szCs w:val="1"/>
                <w:color w:val="auto"/>
              </w:rPr>
            </w:pPr>
          </w:p>
        </w:tc>
      </w:tr>
      <w:tr>
        <w:trPr>
          <w:trHeight w:val="212"/>
        </w:trPr>
        <w:tc>
          <w:tcPr>
            <w:tcW w:w="75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107,725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105,462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Inventories</w:t>
      </w:r>
    </w:p>
    <w:p>
      <w:pPr>
        <w:spacing w:after="0" w:line="223" w:lineRule="exact"/>
        <w:rPr>
          <w:sz w:val="20"/>
          <w:szCs w:val="20"/>
          <w:color w:val="auto"/>
        </w:rPr>
      </w:pPr>
    </w:p>
    <w:p>
      <w:pPr>
        <w:jc w:val="both"/>
        <w:ind w:right="80" w:firstLine="172"/>
        <w:spacing w:after="0" w:line="279" w:lineRule="auto"/>
        <w:rPr>
          <w:sz w:val="20"/>
          <w:szCs w:val="20"/>
          <w:color w:val="auto"/>
        </w:rPr>
      </w:pPr>
      <w:r>
        <w:rPr>
          <w:rFonts w:ascii="Arial" w:cs="Arial" w:eastAsia="Arial" w:hAnsi="Arial"/>
          <w:sz w:val="17"/>
          <w:szCs w:val="17"/>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Inventories consist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80" w:type="dxa"/>
            <w:vAlign w:val="bottom"/>
          </w:tcPr>
          <w:p>
            <w:pPr>
              <w:spacing w:after="0"/>
              <w:rPr>
                <w:sz w:val="17"/>
                <w:szCs w:val="17"/>
                <w:color w:val="auto"/>
              </w:rPr>
            </w:pPr>
          </w:p>
        </w:tc>
        <w:tc>
          <w:tcPr>
            <w:tcW w:w="1600" w:type="dxa"/>
            <w:vAlign w:val="bottom"/>
          </w:tcPr>
          <w:p>
            <w:pPr>
              <w:jc w:val="right"/>
              <w:ind w:right="176"/>
              <w:spacing w:after="0"/>
              <w:rPr>
                <w:sz w:val="20"/>
                <w:szCs w:val="20"/>
                <w:color w:val="auto"/>
              </w:rPr>
            </w:pPr>
            <w:r>
              <w:rPr>
                <w:rFonts w:ascii="Arial" w:cs="Arial" w:eastAsia="Arial" w:hAnsi="Arial"/>
                <w:sz w:val="15"/>
                <w:szCs w:val="15"/>
                <w:b w:val="1"/>
                <w:bCs w:val="1"/>
                <w:color w:val="auto"/>
                <w:w w:val="97"/>
              </w:rPr>
              <w:t>December 31, 2022</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298,753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286,964</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75,935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73,795</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384,934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335,250</w:t>
            </w:r>
          </w:p>
        </w:tc>
      </w:tr>
      <w:tr>
        <w:trPr>
          <w:trHeight w:val="213"/>
        </w:trPr>
        <w:tc>
          <w:tcPr>
            <w:tcW w:w="7560" w:type="dxa"/>
            <w:vAlign w:val="bottom"/>
          </w:tcPr>
          <w:p>
            <w:pPr>
              <w:ind w:left="140"/>
              <w:spacing w:after="0"/>
              <w:rPr>
                <w:sz w:val="20"/>
                <w:szCs w:val="20"/>
                <w:color w:val="auto"/>
              </w:rPr>
            </w:pPr>
            <w:r>
              <w:rPr>
                <w:rFonts w:ascii="Arial" w:cs="Arial" w:eastAsia="Arial" w:hAnsi="Arial"/>
                <w:sz w:val="17"/>
                <w:szCs w:val="17"/>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759,622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696,009</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both"/>
        <w:ind w:right="200" w:firstLine="619"/>
        <w:spacing w:after="0" w:line="266" w:lineRule="auto"/>
        <w:rPr>
          <w:sz w:val="20"/>
          <w:szCs w:val="20"/>
          <w:color w:val="auto"/>
        </w:rPr>
      </w:pPr>
      <w:r>
        <w:rPr>
          <w:rFonts w:ascii="Arial" w:cs="Arial" w:eastAsia="Arial" w:hAnsi="Arial"/>
          <w:sz w:val="17"/>
          <w:szCs w:val="17"/>
          <w:color w:val="auto"/>
        </w:rPr>
        <w:t>During the three and nine months ended September 30, 2023, we recorded a $6.3 million reserve to inventory related to certain product at the end of its life cycle due to the integration of acquired product with similar functionality. This adjustment was recorded to cost of goods sold in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Property, Plant and Equipment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plant and equipment consists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2022</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477,444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414,811</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Land, building and building improvements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275,997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274,063</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Molds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77,203</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Computer equipment and software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120,743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115,214</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29,876</w:t>
            </w:r>
          </w:p>
        </w:tc>
      </w:tr>
      <w:tr>
        <w:trPr>
          <w:trHeight w:val="219"/>
        </w:trPr>
        <w:tc>
          <w:tcPr>
            <w:tcW w:w="7560" w:type="dxa"/>
            <w:vAlign w:val="bottom"/>
          </w:tcPr>
          <w:p>
            <w:pPr>
              <w:ind w:left="20"/>
              <w:spacing w:after="0" w:line="219" w:lineRule="exact"/>
              <w:rPr>
                <w:sz w:val="20"/>
                <w:szCs w:val="20"/>
                <w:color w:val="auto"/>
              </w:rPr>
            </w:pPr>
            <w:r>
              <w:rPr>
                <w:rFonts w:ascii="Arial" w:cs="Arial" w:eastAsia="Arial" w:hAnsi="Arial"/>
                <w:sz w:val="17"/>
                <w:szCs w:val="17"/>
                <w:color w:val="auto"/>
              </w:rPr>
              <w:t>Instruments placed with customers</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107,673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98,481</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152,909</w:t>
            </w:r>
          </w:p>
        </w:tc>
      </w:tr>
      <w:tr>
        <w:trPr>
          <w:trHeight w:val="211"/>
        </w:trPr>
        <w:tc>
          <w:tcPr>
            <w:tcW w:w="7560" w:type="dxa"/>
            <w:vAlign w:val="bottom"/>
          </w:tcPr>
          <w:p>
            <w:pPr>
              <w:ind w:left="140"/>
              <w:spacing w:after="0"/>
              <w:rPr>
                <w:sz w:val="20"/>
                <w:szCs w:val="20"/>
                <w:color w:val="auto"/>
              </w:rPr>
            </w:pPr>
            <w:r>
              <w:rPr>
                <w:rFonts w:ascii="Arial" w:cs="Arial" w:eastAsia="Arial" w:hAnsi="Arial"/>
                <w:sz w:val="17"/>
                <w:szCs w:val="17"/>
                <w:color w:val="auto"/>
              </w:rPr>
              <w:t>Total property, plant and equipment, cost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1,205,976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1,162,557</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(597,214)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(526,444)</w:t>
            </w:r>
          </w:p>
        </w:tc>
      </w:tr>
      <w:tr>
        <w:trPr>
          <w:trHeight w:val="213"/>
        </w:trPr>
        <w:tc>
          <w:tcPr>
            <w:tcW w:w="7560" w:type="dxa"/>
            <w:vAlign w:val="bottom"/>
          </w:tcPr>
          <w:p>
            <w:pPr>
              <w:ind w:left="12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608,762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636,113</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48" w:lineRule="exact"/>
        <w:rPr>
          <w:sz w:val="20"/>
          <w:szCs w:val="20"/>
          <w:color w:val="auto"/>
        </w:rPr>
      </w:pPr>
    </w:p>
    <w:p>
      <w:pPr>
        <w:ind w:left="240" w:hanging="237"/>
        <w:spacing w:after="0"/>
        <w:tabs>
          <w:tab w:leader="none" w:pos="240" w:val="left"/>
        </w:tabs>
        <w:numPr>
          <w:ilvl w:val="0"/>
          <w:numId w:val="20"/>
        </w:numPr>
        <w:rPr>
          <w:rFonts w:ascii="Arial" w:cs="Arial" w:eastAsia="Arial" w:hAnsi="Arial"/>
          <w:sz w:val="22"/>
          <w:szCs w:val="22"/>
          <w:color w:val="auto"/>
          <w:vertAlign w:val="superscript"/>
        </w:rPr>
      </w:pPr>
      <w:r>
        <w:rPr>
          <w:rFonts w:ascii="Arial" w:cs="Arial" w:eastAsia="Arial" w:hAnsi="Arial"/>
          <w:sz w:val="15"/>
          <w:szCs w:val="15"/>
          <w:color w:val="auto"/>
        </w:rPr>
        <w:t>Instruments placed with customers consist of drug-delivery and monitoring systems placed with customers under operating leases.</w:t>
      </w:r>
    </w:p>
    <w:p>
      <w:pPr>
        <w:spacing w:after="0" w:line="212"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Depreciation expense was $25.0 million and $72.8 million for the three and nine months ended September 30, 2023, respectively, and $23.0 million and $69.4 million for the three and nine months ended September 30, 2022,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60" w:type="dxa"/>
            <w:vAlign w:val="bottom"/>
          </w:tcPr>
          <w:p>
            <w:pPr>
              <w:spacing w:after="0"/>
              <w:rPr>
                <w:sz w:val="20"/>
                <w:szCs w:val="20"/>
                <w:color w:val="auto"/>
              </w:rPr>
            </w:pPr>
            <w:r>
              <w:rPr>
                <w:rFonts w:ascii="Arial" w:cs="Arial" w:eastAsia="Arial" w:hAnsi="Arial"/>
                <w:sz w:val="17"/>
                <w:szCs w:val="17"/>
                <w:b w:val="1"/>
                <w:bCs w:val="1"/>
                <w:color w:val="auto"/>
              </w:rPr>
              <w:t>Note 14: Goodwill and Intangible Assets, Net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8"/>
        </w:trPr>
        <w:tc>
          <w:tcPr>
            <w:tcW w:w="9460" w:type="dxa"/>
            <w:vAlign w:val="bottom"/>
          </w:tcPr>
          <w:p>
            <w:pPr>
              <w:spacing w:after="0"/>
              <w:rPr>
                <w:sz w:val="20"/>
                <w:szCs w:val="20"/>
                <w:color w:val="auto"/>
              </w:rPr>
            </w:pPr>
            <w:r>
              <w:rPr>
                <w:rFonts w:ascii="Arial" w:cs="Arial" w:eastAsia="Arial" w:hAnsi="Arial"/>
                <w:sz w:val="17"/>
                <w:szCs w:val="17"/>
                <w:i w:val="1"/>
                <w:iCs w:val="1"/>
                <w:color w:val="auto"/>
              </w:rPr>
              <w:t>Goodwill</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9460" w:type="dxa"/>
            <w:vAlign w:val="bottom"/>
          </w:tcPr>
          <w:p>
            <w:pPr>
              <w:ind w:left="180"/>
              <w:spacing w:after="0"/>
              <w:rPr>
                <w:sz w:val="20"/>
                <w:szCs w:val="20"/>
                <w:color w:val="auto"/>
              </w:rPr>
            </w:pPr>
            <w:r>
              <w:rPr>
                <w:rFonts w:ascii="Arial" w:cs="Arial" w:eastAsia="Arial" w:hAnsi="Arial"/>
                <w:sz w:val="17"/>
                <w:szCs w:val="17"/>
                <w:color w:val="auto"/>
              </w:rPr>
              <w:t>The following table presents the changes in the carrying amount of our goodwill (in thousands):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6"/>
        </w:trPr>
        <w:tc>
          <w:tcPr>
            <w:tcW w:w="94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Total</w:t>
            </w:r>
          </w:p>
        </w:tc>
      </w:tr>
      <w:tr>
        <w:trPr>
          <w:trHeight w:val="213"/>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 2023</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1,449,258</w:t>
            </w:r>
          </w:p>
        </w:tc>
      </w:tr>
      <w:tr>
        <w:trPr>
          <w:trHeight w:val="218"/>
        </w:trPr>
        <w:tc>
          <w:tcPr>
            <w:tcW w:w="9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Currency translation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(4,802)</w:t>
            </w: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September 30, 2023</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1,444,456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 Net</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September 30, 2023</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Arial" w:cs="Arial" w:eastAsia="Arial" w:hAnsi="Arial"/>
                <w:sz w:val="15"/>
                <w:szCs w:val="15"/>
                <w:b w:val="1"/>
                <w:bCs w:val="1"/>
                <w:color w:val="auto"/>
                <w:w w:val="95"/>
              </w:rPr>
              <w:t>Amortization</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04"/>
        </w:trPr>
        <w:tc>
          <w:tcPr>
            <w:tcW w:w="54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Life 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32,741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20,107</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12,634</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Customer contracts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9,860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6,631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3,229</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151,573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393,619</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Trademarks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11,391</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583,845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152,444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431,401</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2,200</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Arial" w:cs="Arial" w:eastAsia="Arial" w:hAnsi="Arial"/>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1,204,406</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349,932</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854,474</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Internally developed software*</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36,806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36,806</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Arial" w:cs="Arial" w:eastAsia="Arial" w:hAnsi="Arial"/>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1,241,212</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349,932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891,280</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20" w:hanging="117"/>
        <w:spacing w:after="0"/>
        <w:tabs>
          <w:tab w:leader="none" w:pos="120" w:val="left"/>
        </w:tabs>
        <w:numPr>
          <w:ilvl w:val="0"/>
          <w:numId w:val="21"/>
        </w:numPr>
        <w:rPr>
          <w:rFonts w:ascii="Arial" w:cs="Arial" w:eastAsia="Arial" w:hAnsi="Arial"/>
          <w:sz w:val="17"/>
          <w:szCs w:val="17"/>
          <w:color w:val="auto"/>
        </w:rPr>
      </w:pPr>
      <w:r>
        <w:rPr>
          <w:rFonts w:ascii="Arial" w:cs="Arial" w:eastAsia="Arial" w:hAnsi="Arial"/>
          <w:sz w:val="15"/>
          <w:szCs w:val="15"/>
          <w:color w:val="auto"/>
        </w:rPr>
        <w:t>Internally developed software will be amortized when the projects are complete and the assets are ready for their intended use.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5"/>
                <w:szCs w:val="15"/>
                <w:b w:val="1"/>
                <w:bCs w:val="1"/>
                <w:color w:val="auto"/>
                <w:w w:val="93"/>
              </w:rPr>
              <w:t>December 31, 2022</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3"/>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00"/>
              <w:spacing w:after="0" w:line="155" w:lineRule="exact"/>
              <w:rPr>
                <w:sz w:val="20"/>
                <w:szCs w:val="20"/>
                <w:color w:val="auto"/>
              </w:rPr>
            </w:pPr>
            <w:r>
              <w:rPr>
                <w:rFonts w:ascii="Arial" w:cs="Arial" w:eastAsia="Arial" w:hAnsi="Arial"/>
                <w:sz w:val="15"/>
                <w:szCs w:val="15"/>
                <w:b w:val="1"/>
                <w:bCs w:val="1"/>
                <w:color w:val="auto"/>
                <w:w w:val="96"/>
              </w:rPr>
              <w:t>Amortization Life</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04"/>
        </w:trPr>
        <w:tc>
          <w:tcPr>
            <w:tcW w:w="5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29,998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18,610</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11,388</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Customer contracts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6,443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3,583</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546,935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445,379</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Trademarks</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12,292</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583,176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108,708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474,468</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3,850</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Arial" w:cs="Arial" w:eastAsia="Arial" w:hAnsi="Arial"/>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1,202,911</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251,951</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950,960</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Arial" w:cs="Arial" w:eastAsia="Arial" w:hAnsi="Arial"/>
                <w:sz w:val="15"/>
                <w:szCs w:val="15"/>
                <w:color w:val="auto"/>
              </w:rPr>
              <w:t>Internally developed software*</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31,806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31,806</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Arial" w:cs="Arial" w:eastAsia="Arial" w:hAnsi="Arial"/>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1,234,717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251,951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982,766</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20" w:hanging="117"/>
        <w:spacing w:after="0"/>
        <w:tabs>
          <w:tab w:leader="none" w:pos="120" w:val="left"/>
        </w:tabs>
        <w:numPr>
          <w:ilvl w:val="0"/>
          <w:numId w:val="22"/>
        </w:numPr>
        <w:rPr>
          <w:rFonts w:ascii="Arial" w:cs="Arial" w:eastAsia="Arial" w:hAnsi="Arial"/>
          <w:sz w:val="17"/>
          <w:szCs w:val="17"/>
          <w:color w:val="auto"/>
        </w:rPr>
      </w:pPr>
      <w:r>
        <w:rPr>
          <w:rFonts w:ascii="Arial" w:cs="Arial" w:eastAsia="Arial" w:hAnsi="Arial"/>
          <w:sz w:val="15"/>
          <w:szCs w:val="15"/>
          <w:color w:val="auto"/>
        </w:rPr>
        <w:t>Internally developed software will be amortized when the projects are complete and the assets are ready for their intended use.</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Intangible assets with definite lives are amortized on a straight-line basis over their estimated useful lives. Intangible asset amortization expense was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$33.4 million and $98.8 million during the three and nine months ended September 30, 2023, respectively, and $35.6 million and $108.9 million during the three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and nine months ended September 30, 2022, respectively.</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As of September 30, 2023 estimated annual amortization for our intangible assets for each of the next five years is approximately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6"/>
        </w:trPr>
        <w:tc>
          <w:tcPr>
            <w:tcW w:w="7560" w:type="dxa"/>
            <w:vAlign w:val="bottom"/>
          </w:tcPr>
          <w:p>
            <w:pPr>
              <w:ind w:left="3980"/>
              <w:spacing w:after="0"/>
              <w:rPr>
                <w:sz w:val="20"/>
                <w:szCs w:val="20"/>
                <w:color w:val="auto"/>
              </w:rPr>
            </w:pPr>
            <w:r>
              <w:rPr>
                <w:rFonts w:ascii="Arial" w:cs="Arial" w:eastAsia="Arial" w:hAnsi="Arial"/>
                <w:sz w:val="17"/>
                <w:szCs w:val="17"/>
                <w:b w:val="1"/>
                <w:bCs w:val="1"/>
                <w:color w:val="auto"/>
              </w:rPr>
              <w:t>ICU MEDICAL, INC. AND SUBSIDIARIES</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60" w:type="dxa"/>
            <w:vAlign w:val="bottom"/>
            <w:gridSpan w:val="4"/>
          </w:tcPr>
          <w:p>
            <w:pPr>
              <w:ind w:left="2340"/>
              <w:spacing w:after="0"/>
              <w:rPr>
                <w:sz w:val="20"/>
                <w:szCs w:val="20"/>
                <w:color w:val="auto"/>
              </w:rPr>
            </w:pPr>
            <w:r>
              <w:rPr>
                <w:rFonts w:ascii="Arial" w:cs="Arial" w:eastAsia="Arial" w:hAnsi="Arial"/>
                <w:sz w:val="17"/>
                <w:szCs w:val="17"/>
                <w:b w:val="1"/>
                <w:bCs w:val="1"/>
                <w:color w:val="auto"/>
              </w:rPr>
              <w:t>NOTES TO CONDENSED CONSOLIDATED FINANCIAL STATEMENTS (Continued)</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3"/>
        </w:trPr>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32,407</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131,060</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123,490</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2026</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122,832</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112,782</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2028</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112,184</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219,719</w:t>
            </w:r>
          </w:p>
        </w:tc>
        <w:tc>
          <w:tcPr>
            <w:tcW w:w="0" w:type="dxa"/>
            <w:vAlign w:val="bottom"/>
          </w:tcPr>
          <w:p>
            <w:pPr>
              <w:spacing w:after="0"/>
              <w:rPr>
                <w:sz w:val="1"/>
                <w:szCs w:val="1"/>
                <w:color w:val="auto"/>
              </w:rPr>
            </w:pPr>
          </w:p>
        </w:tc>
      </w:tr>
      <w:tr>
        <w:trPr>
          <w:trHeight w:val="213"/>
        </w:trPr>
        <w:tc>
          <w:tcPr>
            <w:tcW w:w="7560" w:type="dxa"/>
            <w:vAlign w:val="bottom"/>
          </w:tcPr>
          <w:p>
            <w:pPr>
              <w:ind w:left="140"/>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854,474</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7"/>
                <w:szCs w:val="17"/>
                <w:b w:val="1"/>
                <w:bCs w:val="1"/>
                <w:color w:val="auto"/>
              </w:rPr>
              <w:t>Note 15:   Accrued Liabilities and Other Long-Term Liabilities</w:t>
            </w: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7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560" w:type="dxa"/>
            <w:vAlign w:val="bottom"/>
          </w:tcPr>
          <w:p>
            <w:pPr>
              <w:ind w:left="180"/>
              <w:spacing w:after="0"/>
              <w:rPr>
                <w:sz w:val="20"/>
                <w:szCs w:val="20"/>
                <w:color w:val="auto"/>
              </w:rPr>
            </w:pPr>
            <w:r>
              <w:rPr>
                <w:rFonts w:ascii="Arial" w:cs="Arial" w:eastAsia="Arial" w:hAnsi="Arial"/>
                <w:sz w:val="17"/>
                <w:szCs w:val="17"/>
                <w:color w:val="auto"/>
              </w:rPr>
              <w:t>Accrued liabilities consist of the following (in thousands):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80" w:type="dxa"/>
            <w:vAlign w:val="bottom"/>
          </w:tcPr>
          <w:p>
            <w:pPr>
              <w:spacing w:after="0"/>
              <w:rPr>
                <w:sz w:val="17"/>
                <w:szCs w:val="17"/>
                <w:color w:val="auto"/>
              </w:rPr>
            </w:pPr>
          </w:p>
        </w:tc>
        <w:tc>
          <w:tcPr>
            <w:tcW w:w="1600" w:type="dxa"/>
            <w:vAlign w:val="bottom"/>
          </w:tcPr>
          <w:p>
            <w:pPr>
              <w:jc w:val="right"/>
              <w:ind w:right="174"/>
              <w:spacing w:after="0"/>
              <w:rPr>
                <w:sz w:val="20"/>
                <w:szCs w:val="20"/>
                <w:color w:val="auto"/>
              </w:rPr>
            </w:pPr>
            <w:r>
              <w:rPr>
                <w:rFonts w:ascii="Arial" w:cs="Arial" w:eastAsia="Arial" w:hAnsi="Arial"/>
                <w:sz w:val="15"/>
                <w:szCs w:val="15"/>
                <w:b w:val="1"/>
                <w:bCs w:val="1"/>
                <w:color w:val="auto"/>
                <w:w w:val="97"/>
              </w:rPr>
              <w:t>December 31, 2022</w:t>
            </w:r>
          </w:p>
        </w:tc>
        <w:tc>
          <w:tcPr>
            <w:tcW w:w="0" w:type="dxa"/>
            <w:vAlign w:val="bottom"/>
          </w:tcPr>
          <w:p>
            <w:pPr>
              <w:spacing w:after="0"/>
              <w:rPr>
                <w:sz w:val="1"/>
                <w:szCs w:val="1"/>
                <w:color w:val="auto"/>
              </w:rPr>
            </w:pP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Salaries and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53,763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44,304</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Incentive compensation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25,853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30,254</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liability-ST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18,169</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Accrued sales taxes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6,440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5,844</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accrual</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5,923</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28,768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30,838</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other taxes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5,794</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Accrued professional fees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3,194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5,317</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Italy medical device payback provision</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7,900</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Legal accrual</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3,137</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 fees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17,063</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Warranties and returns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3,576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3,097</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Field service corrective action</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24,517</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Accrued freight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17,544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17,988</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Accrued research and development</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3,538</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audit fees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6,279</w:t>
            </w:r>
          </w:p>
        </w:tc>
        <w:tc>
          <w:tcPr>
            <w:tcW w:w="0" w:type="dxa"/>
            <w:vAlign w:val="bottom"/>
          </w:tcPr>
          <w:p>
            <w:pPr>
              <w:spacing w:after="0"/>
              <w:rPr>
                <w:sz w:val="1"/>
                <w:szCs w:val="1"/>
                <w:color w:val="auto"/>
              </w:rPr>
            </w:pP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Defined benefit plan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2,928</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w:t>
            </w:r>
          </w:p>
        </w:tc>
        <w:tc>
          <w:tcPr>
            <w:tcW w:w="0" w:type="dxa"/>
            <w:vAlign w:val="bottom"/>
          </w:tcPr>
          <w:p>
            <w:pPr>
              <w:spacing w:after="0"/>
              <w:rPr>
                <w:sz w:val="1"/>
                <w:szCs w:val="1"/>
                <w:color w:val="auto"/>
              </w:rPr>
            </w:pP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6,999</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251,324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242,769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105" w:lineRule="exact"/>
        <w:rPr>
          <w:sz w:val="20"/>
          <w:szCs w:val="20"/>
          <w:color w:val="auto"/>
        </w:rPr>
      </w:pPr>
    </w:p>
    <w:p>
      <w:pPr>
        <w:ind w:left="320" w:right="160" w:hanging="317"/>
        <w:spacing w:after="0" w:line="224" w:lineRule="auto"/>
        <w:tabs>
          <w:tab w:leader="none" w:pos="253"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As of December 31, 2022, there was $12.1 million in payback provision recorded as a reduction to accounts receivable, net. The Company reclassified such amount to accrued liabilities as of September 30, 2023. This amount was not reclassified as of December 31, 2022 to conform to the current year presentation.</w:t>
      </w:r>
    </w:p>
    <w:p>
      <w:pPr>
        <w:spacing w:after="0" w:line="75" w:lineRule="exact"/>
        <w:rPr>
          <w:rFonts w:ascii="Arial" w:cs="Arial" w:eastAsia="Arial" w:hAnsi="Arial"/>
          <w:sz w:val="20"/>
          <w:szCs w:val="20"/>
          <w:color w:val="auto"/>
          <w:vertAlign w:val="superscript"/>
        </w:rPr>
      </w:pPr>
    </w:p>
    <w:p>
      <w:pPr>
        <w:ind w:left="320" w:right="260" w:hanging="317"/>
        <w:spacing w:after="0" w:line="224" w:lineRule="auto"/>
        <w:tabs>
          <w:tab w:leader="none" w:pos="282"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Relates to field service corrective actions associated with certain products in connection with a 2021 Warning Letter received by Smiths Medical from the FDA following an inspection of Smiths Medical’s Oakdale, Minnesota Facility, see Note 19: Commitments and Contingencies for further detail.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long-term liabilities consist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0"/>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2023</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Arial" w:cs="Arial" w:eastAsia="Arial" w:hAnsi="Arial"/>
                <w:sz w:val="15"/>
                <w:szCs w:val="15"/>
                <w:b w:val="1"/>
                <w:bCs w:val="1"/>
                <w:color w:val="auto"/>
                <w:w w:val="97"/>
              </w:rPr>
              <w:t>December 31, 2022</w:t>
            </w:r>
          </w:p>
        </w:tc>
      </w:tr>
      <w:tr>
        <w:trPr>
          <w:trHeight w:val="21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liability-LT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57,277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60,916</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Benefits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5,314</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rent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Finance lease liability-LT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1,855</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16,239</w:t>
            </w:r>
          </w:p>
        </w:tc>
      </w:tr>
      <w:tr>
        <w:trPr>
          <w:trHeight w:val="219"/>
        </w:trPr>
        <w:tc>
          <w:tcPr>
            <w:tcW w:w="7560" w:type="dxa"/>
            <w:vAlign w:val="bottom"/>
          </w:tcPr>
          <w:p>
            <w:pPr>
              <w:ind w:left="20"/>
              <w:spacing w:after="0" w:line="219" w:lineRule="exact"/>
              <w:rPr>
                <w:sz w:val="20"/>
                <w:szCs w:val="20"/>
                <w:color w:val="auto"/>
              </w:rPr>
            </w:pPr>
            <w:r>
              <w:rPr>
                <w:rFonts w:ascii="Arial" w:cs="Arial" w:eastAsia="Arial" w:hAnsi="Arial"/>
                <w:sz w:val="17"/>
                <w:szCs w:val="17"/>
                <w:color w:val="auto"/>
              </w:rPr>
              <w:t>Field service corrective action</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19,470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25,294</w:t>
            </w:r>
          </w:p>
        </w:tc>
      </w:tr>
      <w:tr>
        <w:trPr>
          <w:trHeight w:val="218"/>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3,489</w:t>
            </w:r>
          </w:p>
        </w:tc>
      </w:tr>
      <w:tr>
        <w:trPr>
          <w:trHeight w:val="212"/>
        </w:trPr>
        <w:tc>
          <w:tcPr>
            <w:tcW w:w="75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114,104</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67" w:lineRule="exact"/>
        <w:rPr>
          <w:sz w:val="20"/>
          <w:szCs w:val="20"/>
          <w:color w:val="auto"/>
        </w:rPr>
      </w:pPr>
    </w:p>
    <w:p>
      <w:pPr>
        <w:ind w:left="320" w:right="320" w:hanging="317"/>
        <w:spacing w:after="0" w:line="232" w:lineRule="auto"/>
        <w:tabs>
          <w:tab w:leader="none" w:pos="228" w:val="left"/>
        </w:tabs>
        <w:numPr>
          <w:ilvl w:val="0"/>
          <w:numId w:val="24"/>
        </w:numPr>
        <w:rPr>
          <w:rFonts w:ascii="Arial" w:cs="Arial" w:eastAsia="Arial" w:hAnsi="Arial"/>
          <w:sz w:val="20"/>
          <w:szCs w:val="20"/>
          <w:color w:val="auto"/>
          <w:vertAlign w:val="superscript"/>
        </w:rPr>
      </w:pPr>
      <w:r>
        <w:rPr>
          <w:rFonts w:ascii="Arial" w:cs="Arial" w:eastAsia="Arial" w:hAnsi="Arial"/>
          <w:sz w:val="15"/>
          <w:szCs w:val="15"/>
          <w:color w:val="auto"/>
        </w:rPr>
        <w:t>Relates to field service corrective actions associated with certain products in connection with a 2021 Warning Letter received by Smiths Medical from the FDA following an inspection of Smiths Medical’s Oakdale, Minnesota Facility, see Note 19: Commitments and Contingencies for further detail.</w:t>
      </w:r>
    </w:p>
    <w:p>
      <w:pPr>
        <w:spacing w:after="0" w:line="25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5"/>
          <w:szCs w:val="15"/>
          <w:b w:val="1"/>
          <w:bCs w:val="1"/>
          <w:color w:val="auto"/>
        </w:rPr>
        <w:t>Income Taxes</w:t>
      </w:r>
    </w:p>
    <w:p>
      <w:pPr>
        <w:spacing w:after="0" w:line="22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Income taxes were accrued at an estimated effective tax rate of 235% and 70% for the three and nine months ended September 30, 2023, respectively, as compared to 38% and 37% for the three and nine months ended September 30, 2022, respectively.</w:t>
      </w:r>
    </w:p>
    <w:p>
      <w:pPr>
        <w:spacing w:after="0" w:line="190" w:lineRule="exact"/>
        <w:rPr>
          <w:sz w:val="20"/>
          <w:szCs w:val="20"/>
          <w:color w:val="auto"/>
        </w:rPr>
      </w:pPr>
    </w:p>
    <w:p>
      <w:pPr>
        <w:jc w:val="both"/>
        <w:ind w:right="120" w:firstLine="172"/>
        <w:spacing w:after="0" w:line="266" w:lineRule="auto"/>
        <w:rPr>
          <w:sz w:val="20"/>
          <w:szCs w:val="20"/>
          <w:color w:val="auto"/>
        </w:rPr>
      </w:pPr>
      <w:r>
        <w:rPr>
          <w:rFonts w:ascii="Arial" w:cs="Arial" w:eastAsia="Arial" w:hAnsi="Arial"/>
          <w:sz w:val="17"/>
          <w:szCs w:val="17"/>
          <w:color w:val="auto"/>
        </w:rPr>
        <w:t>The effective tax rate for the three and nine months ended September 30, 2023 differs from the federal statutory rate of 21% principally because of the effect of the mix of U.S. and foreign incomes, state income taxes, section 162(m) excess compensation, foreign-derived intangible income ("FDII") and tax credits and the following discrete items recognized during the interim period:</w:t>
      </w:r>
    </w:p>
    <w:p>
      <w:pPr>
        <w:spacing w:after="0" w:line="188" w:lineRule="exact"/>
        <w:rPr>
          <w:sz w:val="20"/>
          <w:szCs w:val="20"/>
          <w:color w:val="auto"/>
        </w:rPr>
      </w:pPr>
    </w:p>
    <w:p>
      <w:pPr>
        <w:ind w:left="620" w:right="40" w:hanging="307"/>
        <w:spacing w:after="0" w:line="244"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 unrecognized tax benefits resulting primarily from the expiration of statute of limitations during the three and nine months ended September 30, 2023 of $0.0 million and $6.0 million, respectively.</w:t>
      </w:r>
    </w:p>
    <w:p>
      <w:pPr>
        <w:ind w:left="620" w:right="260" w:hanging="307"/>
        <w:spacing w:after="0" w:line="25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Excess tax benefit recognized on stock option exercises and the vesting of restricted stock units during the three and nine months ended September 30, 2023 of $0.6 million and $0.8 million, respectively.</w:t>
      </w:r>
    </w:p>
    <w:p>
      <w:pPr>
        <w:ind w:left="620" w:right="100" w:hanging="307"/>
        <w:spacing w:after="0" w:line="253"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U.S. federal return-to-provision adjustments net of related tax reserves for the year ended December 31, 2022 resulted in a tax benefit of $7.5 million during the three and nine months ended September 30, 2023. The adjustments related primarily to changes in estimates for the research and development credit and foreign tax credits.</w:t>
      </w:r>
    </w:p>
    <w:p>
      <w:pPr>
        <w:ind w:left="620" w:right="720" w:hanging="307"/>
        <w:spacing w:after="0" w:line="266"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revaluation of the contingent consideration during the three and nine months ended September 30, 2023 of $15.6 million and $12.3 million, respectively, resulted in a tax expense of $0.0 million for both periods.</w:t>
      </w:r>
    </w:p>
    <w:p>
      <w:pPr>
        <w:spacing w:after="0" w:line="200" w:lineRule="exact"/>
        <w:rPr>
          <w:sz w:val="20"/>
          <w:szCs w:val="20"/>
          <w:color w:val="auto"/>
        </w:rPr>
      </w:pPr>
    </w:p>
    <w:p>
      <w:pPr>
        <w:ind w:firstLine="172"/>
        <w:spacing w:after="0" w:line="279" w:lineRule="auto"/>
        <w:rPr>
          <w:sz w:val="20"/>
          <w:szCs w:val="20"/>
          <w:color w:val="auto"/>
        </w:rPr>
      </w:pPr>
      <w:r>
        <w:rPr>
          <w:rFonts w:ascii="Arial" w:cs="Arial" w:eastAsia="Arial" w:hAnsi="Arial"/>
          <w:sz w:val="16"/>
          <w:szCs w:val="16"/>
          <w:color w:val="auto"/>
        </w:rPr>
        <w:t>The effective tax rate for the three and nine months ended September 30, 2022 differs from the federal statutory rate of 21% principally because of the effect of the mix of U.S. and foreign incomes, state income taxes, section 162(m) excess compensation, FDII and tax credits. The effective tax rate during the three and nine months ended September 30, 2022 included a discrete tax benefit of $1.5 million and $4.1 million, respectively, related to excess tax benefits recognized on stock option exercises and the vesting of restricted stock units during the period. The revaluation of the contingent consideration during the three and nine months ended September 30, 2022 of $4.1 million and $31.3 million, respectively, resulted in a tax expense of $0.0 million for both periods.</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17:</w:t>
      </w:r>
      <w:r>
        <w:rPr>
          <w:sz w:val="20"/>
          <w:szCs w:val="20"/>
          <w:color w:val="auto"/>
        </w:rPr>
        <w:tab/>
      </w:r>
      <w:r>
        <w:rPr>
          <w:rFonts w:ascii="Arial" w:cs="Arial" w:eastAsia="Arial" w:hAnsi="Arial"/>
          <w:sz w:val="15"/>
          <w:szCs w:val="15"/>
          <w:b w:val="1"/>
          <w:bCs w:val="1"/>
          <w:color w:val="auto"/>
        </w:rPr>
        <w:t>Long-Term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Credit Agreement</w:t>
      </w:r>
    </w:p>
    <w:p>
      <w:pPr>
        <w:spacing w:after="0" w:line="243"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On January 6,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spacing w:after="0" w:line="209" w:lineRule="exact"/>
        <w:rPr>
          <w:sz w:val="20"/>
          <w:szCs w:val="20"/>
          <w:color w:val="auto"/>
        </w:rPr>
      </w:pPr>
    </w:p>
    <w:p>
      <w:pPr>
        <w:ind w:right="80" w:firstLine="619"/>
        <w:spacing w:after="0" w:line="297" w:lineRule="auto"/>
        <w:rPr>
          <w:sz w:val="20"/>
          <w:szCs w:val="20"/>
          <w:color w:val="auto"/>
        </w:rPr>
      </w:pPr>
      <w:r>
        <w:rPr>
          <w:rFonts w:ascii="Arial" w:cs="Arial" w:eastAsia="Arial" w:hAnsi="Arial"/>
          <w:sz w:val="15"/>
          <w:szCs w:val="15"/>
          <w:color w:val="auto"/>
        </w:rPr>
        <w:t>In connection with entering into the Credit Agreement, during the period ended March 31,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and are reflected as a direct deduction from the face amount of the corresponding term loans on the condensed consolidated balance sheet. These costs are being amortized to interest expense over the respective terms of the loans using the effective interest method. The issuance costs allocated to the Revolving Credit Facility were $8.6 million, which are capitalized and included in prepaid expenses and other current assets and other assets on our condensed consolidated balance sheets. These costs are being amortized to interest expense over the term of the Revolving Credit Facility using the straight-line method.</w:t>
      </w:r>
    </w:p>
    <w:p>
      <w:pPr>
        <w:spacing w:after="0" w:line="182" w:lineRule="exact"/>
        <w:rPr>
          <w:sz w:val="20"/>
          <w:szCs w:val="20"/>
          <w:color w:val="auto"/>
        </w:rPr>
      </w:pPr>
    </w:p>
    <w:p>
      <w:pPr>
        <w:ind w:right="620" w:firstLine="619"/>
        <w:spacing w:after="0" w:line="279" w:lineRule="auto"/>
        <w:rPr>
          <w:sz w:val="20"/>
          <w:szCs w:val="20"/>
          <w:color w:val="auto"/>
        </w:rPr>
      </w:pPr>
      <w:r>
        <w:rPr>
          <w:rFonts w:ascii="Arial" w:cs="Arial" w:eastAsia="Arial" w:hAnsi="Arial"/>
          <w:sz w:val="17"/>
          <w:szCs w:val="17"/>
          <w:color w:val="auto"/>
        </w:rPr>
        <w:t>The net funds received from the Term Loan A and the Term Loan B, after deducting debt issuance costs, were $834.2 million and $836.6 million, respectively.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Maturity Dates</w:t>
      </w:r>
    </w:p>
    <w:p>
      <w:pPr>
        <w:spacing w:after="0" w:line="243"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Rate Terms</w:t>
      </w:r>
    </w:p>
    <w:p>
      <w:pPr>
        <w:spacing w:after="0" w:line="243"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w:t>
      </w:r>
    </w:p>
    <w:p>
      <w:pPr>
        <w:spacing w:after="0" w:line="201"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The Base Rate is defined as the highest of (a) the Prime Rate, (b) the Federal Funds Rate plus 0.50% and (c) Adjusted Term SOFR (as defined below) for a one-month period plus, in each case, 1.00%.</w:t>
      </w:r>
    </w:p>
    <w:p>
      <w:pPr>
        <w:spacing w:after="0" w:line="190" w:lineRule="exact"/>
        <w:rPr>
          <w:sz w:val="20"/>
          <w:szCs w:val="20"/>
          <w:color w:val="auto"/>
        </w:rPr>
      </w:pPr>
    </w:p>
    <w:p>
      <w:pPr>
        <w:ind w:right="20" w:firstLine="619"/>
        <w:spacing w:after="0" w:line="318" w:lineRule="auto"/>
        <w:rPr>
          <w:sz w:val="20"/>
          <w:szCs w:val="20"/>
          <w:color w:val="auto"/>
        </w:rPr>
      </w:pPr>
      <w:r>
        <w:rPr>
          <w:rFonts w:ascii="Arial" w:cs="Arial" w:eastAsia="Arial" w:hAnsi="Arial"/>
          <w:sz w:val="15"/>
          <w:szCs w:val="15"/>
          <w:color w:val="auto"/>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Revolving Credit Facility Commitment Fee</w:t>
      </w:r>
    </w:p>
    <w:p>
      <w:pPr>
        <w:spacing w:after="0" w:line="243" w:lineRule="exact"/>
        <w:rPr>
          <w:sz w:val="20"/>
          <w:szCs w:val="20"/>
          <w:color w:val="auto"/>
        </w:rPr>
      </w:pPr>
    </w:p>
    <w:p>
      <w:pPr>
        <w:ind w:right="420" w:firstLine="619"/>
        <w:spacing w:after="0" w:line="290" w:lineRule="auto"/>
        <w:rPr>
          <w:sz w:val="20"/>
          <w:szCs w:val="20"/>
          <w:color w:val="auto"/>
        </w:rPr>
      </w:pPr>
      <w:r>
        <w:rPr>
          <w:rFonts w:ascii="Arial" w:cs="Arial" w:eastAsia="Arial" w:hAnsi="Arial"/>
          <w:sz w:val="16"/>
          <w:szCs w:val="16"/>
          <w:color w:val="auto"/>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ending June 30, 2022, the commitment fee will be determined by reference to the leverage ratio in effect from time to time as set forth in the table below.</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Applicable Interest Margins</w:t>
      </w:r>
    </w:p>
    <w:p>
      <w:pPr>
        <w:spacing w:after="0" w:line="243"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The Term Loan A and borrowings under the Revolving Credit Facility have an initial applicable margin of 0.75% per annum for Base Rate Loans and 1.75% per annum for Term SOFR Loans.</w:t>
      </w:r>
    </w:p>
    <w:p>
      <w:pPr>
        <w:spacing w:after="0" w:line="190"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Effective on the first Adjustment Date, as defined in the Credit Agreement, occurring subsequent to our quarter ending June 30, 2022, the applicable margin for the Term Loan A and borrowings under the Revolving Credit Facility will be determined by reference to the leverage ratio in effect from time to time as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2420" w:type="dxa"/>
            <w:vAlign w:val="bottom"/>
          </w:tcPr>
          <w:p>
            <w:pPr>
              <w:jc w:val="center"/>
              <w:ind w:left="94"/>
              <w:spacing w:after="0"/>
              <w:rPr>
                <w:sz w:val="20"/>
                <w:szCs w:val="20"/>
                <w:color w:val="auto"/>
              </w:rPr>
            </w:pPr>
            <w:r>
              <w:rPr>
                <w:rFonts w:ascii="Arial" w:cs="Arial" w:eastAsia="Arial" w:hAnsi="Arial"/>
                <w:sz w:val="17"/>
                <w:szCs w:val="17"/>
                <w:b w:val="1"/>
                <w:bCs w:val="1"/>
                <w:color w:val="auto"/>
                <w:w w:val="94"/>
              </w:rPr>
              <w:t>Applicable Margin for Term</w:t>
            </w:r>
          </w:p>
        </w:tc>
        <w:tc>
          <w:tcPr>
            <w:tcW w:w="2300" w:type="dxa"/>
            <w:vAlign w:val="bottom"/>
          </w:tcPr>
          <w:p>
            <w:pPr>
              <w:jc w:val="center"/>
              <w:ind w:right="14"/>
              <w:spacing w:after="0"/>
              <w:rPr>
                <w:sz w:val="20"/>
                <w:szCs w:val="20"/>
                <w:color w:val="auto"/>
              </w:rPr>
            </w:pPr>
            <w:r>
              <w:rPr>
                <w:rFonts w:ascii="Arial" w:cs="Arial" w:eastAsia="Arial" w:hAnsi="Arial"/>
                <w:sz w:val="17"/>
                <w:szCs w:val="17"/>
                <w:b w:val="1"/>
                <w:bCs w:val="1"/>
                <w:color w:val="auto"/>
                <w:w w:val="93"/>
              </w:rPr>
              <w:t>Applicable Margin for Base</w:t>
            </w:r>
          </w:p>
        </w:tc>
        <w:tc>
          <w:tcPr>
            <w:tcW w:w="1600" w:type="dxa"/>
            <w:vAlign w:val="bottom"/>
          </w:tcPr>
          <w:p>
            <w:pPr>
              <w:spacing w:after="0"/>
              <w:rPr>
                <w:sz w:val="16"/>
                <w:szCs w:val="16"/>
                <w:color w:val="auto"/>
              </w:rPr>
            </w:pPr>
          </w:p>
        </w:tc>
      </w:tr>
      <w:tr>
        <w:trPr>
          <w:trHeight w:val="231"/>
        </w:trPr>
        <w:tc>
          <w:tcPr>
            <w:tcW w:w="4400" w:type="dxa"/>
            <w:vAlign w:val="bottom"/>
            <w:tcBorders>
              <w:bottom w:val="single" w:sz="8" w:color="auto"/>
            </w:tcBorders>
          </w:tcPr>
          <w:p>
            <w:pPr>
              <w:ind w:left="1740"/>
              <w:spacing w:after="0"/>
              <w:rPr>
                <w:sz w:val="20"/>
                <w:szCs w:val="20"/>
                <w:color w:val="auto"/>
              </w:rPr>
            </w:pPr>
            <w:r>
              <w:rPr>
                <w:rFonts w:ascii="Arial" w:cs="Arial" w:eastAsia="Arial" w:hAnsi="Arial"/>
                <w:sz w:val="17"/>
                <w:szCs w:val="17"/>
                <w:b w:val="1"/>
                <w:bCs w:val="1"/>
                <w:color w:val="auto"/>
              </w:rPr>
              <w:t>Leverage Ratio</w:t>
            </w:r>
          </w:p>
        </w:tc>
        <w:tc>
          <w:tcPr>
            <w:tcW w:w="2420" w:type="dxa"/>
            <w:vAlign w:val="bottom"/>
            <w:tcBorders>
              <w:bottom w:val="single" w:sz="8" w:color="auto"/>
            </w:tcBorders>
          </w:tcPr>
          <w:p>
            <w:pPr>
              <w:jc w:val="center"/>
              <w:ind w:left="94"/>
              <w:spacing w:after="0"/>
              <w:rPr>
                <w:sz w:val="20"/>
                <w:szCs w:val="20"/>
                <w:color w:val="auto"/>
              </w:rPr>
            </w:pPr>
            <w:r>
              <w:rPr>
                <w:rFonts w:ascii="Arial" w:cs="Arial" w:eastAsia="Arial" w:hAnsi="Arial"/>
                <w:sz w:val="17"/>
                <w:szCs w:val="17"/>
                <w:b w:val="1"/>
                <w:bCs w:val="1"/>
                <w:color w:val="auto"/>
                <w:w w:val="94"/>
              </w:rPr>
              <w:t>SOFR Loans</w:t>
            </w:r>
          </w:p>
        </w:tc>
        <w:tc>
          <w:tcPr>
            <w:tcW w:w="23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1"/>
              </w:rPr>
              <w:t>Rate Loans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Commitment Fee R</w:t>
            </w:r>
          </w:p>
        </w:tc>
      </w:tr>
      <w:tr>
        <w:trPr>
          <w:trHeight w:val="213"/>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Greater than 4.00 to 1.0</w:t>
            </w:r>
          </w:p>
        </w:tc>
        <w:tc>
          <w:tcPr>
            <w:tcW w:w="2420" w:type="dxa"/>
            <w:vAlign w:val="bottom"/>
            <w:shd w:val="clear" w:color="auto" w:fill="CCEEFF"/>
          </w:tcPr>
          <w:p>
            <w:pPr>
              <w:jc w:val="center"/>
              <w:ind w:left="94"/>
              <w:spacing w:after="0"/>
              <w:rPr>
                <w:sz w:val="20"/>
                <w:szCs w:val="20"/>
                <w:color w:val="auto"/>
              </w:rPr>
            </w:pPr>
            <w:r>
              <w:rPr>
                <w:rFonts w:ascii="Arial" w:cs="Arial" w:eastAsia="Arial" w:hAnsi="Arial"/>
                <w:sz w:val="17"/>
                <w:szCs w:val="17"/>
                <w:color w:val="auto"/>
                <w:w w:val="91"/>
              </w:rPr>
              <w:t>2.25%</w:t>
            </w:r>
          </w:p>
        </w:tc>
        <w:tc>
          <w:tcPr>
            <w:tcW w:w="23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1"/>
              </w:rPr>
              <w:t>1.25%</w:t>
            </w:r>
          </w:p>
        </w:tc>
        <w:tc>
          <w:tcPr>
            <w:tcW w:w="160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0.35%</w:t>
            </w:r>
          </w:p>
        </w:tc>
      </w:tr>
      <w:tr>
        <w:trPr>
          <w:trHeight w:val="218"/>
        </w:trPr>
        <w:tc>
          <w:tcPr>
            <w:tcW w:w="4400" w:type="dxa"/>
            <w:vAlign w:val="bottom"/>
          </w:tcPr>
          <w:p>
            <w:pPr>
              <w:ind w:left="20"/>
              <w:spacing w:after="0"/>
              <w:rPr>
                <w:sz w:val="20"/>
                <w:szCs w:val="20"/>
                <w:color w:val="auto"/>
              </w:rPr>
            </w:pPr>
            <w:r>
              <w:rPr>
                <w:rFonts w:ascii="Arial" w:cs="Arial" w:eastAsia="Arial" w:hAnsi="Arial"/>
                <w:sz w:val="17"/>
                <w:szCs w:val="17"/>
                <w:color w:val="auto"/>
                <w:w w:val="96"/>
              </w:rPr>
              <w:t>Less than or equal to 4.00 to 1.0 but greater than 3.00 to 1.0</w:t>
            </w:r>
          </w:p>
        </w:tc>
        <w:tc>
          <w:tcPr>
            <w:tcW w:w="2420" w:type="dxa"/>
            <w:vAlign w:val="bottom"/>
          </w:tcPr>
          <w:p>
            <w:pPr>
              <w:jc w:val="center"/>
              <w:ind w:left="94"/>
              <w:spacing w:after="0"/>
              <w:rPr>
                <w:sz w:val="20"/>
                <w:szCs w:val="20"/>
                <w:color w:val="auto"/>
              </w:rPr>
            </w:pPr>
            <w:r>
              <w:rPr>
                <w:rFonts w:ascii="Arial" w:cs="Arial" w:eastAsia="Arial" w:hAnsi="Arial"/>
                <w:sz w:val="17"/>
                <w:szCs w:val="17"/>
                <w:color w:val="auto"/>
                <w:w w:val="91"/>
              </w:rPr>
              <w:t>2.00%</w:t>
            </w:r>
          </w:p>
        </w:tc>
        <w:tc>
          <w:tcPr>
            <w:tcW w:w="2300" w:type="dxa"/>
            <w:vAlign w:val="bottom"/>
          </w:tcPr>
          <w:p>
            <w:pPr>
              <w:jc w:val="center"/>
              <w:ind w:right="14"/>
              <w:spacing w:after="0"/>
              <w:rPr>
                <w:sz w:val="20"/>
                <w:szCs w:val="20"/>
                <w:color w:val="auto"/>
              </w:rPr>
            </w:pPr>
            <w:r>
              <w:rPr>
                <w:rFonts w:ascii="Arial" w:cs="Arial" w:eastAsia="Arial" w:hAnsi="Arial"/>
                <w:sz w:val="17"/>
                <w:szCs w:val="17"/>
                <w:color w:val="auto"/>
                <w:w w:val="91"/>
              </w:rPr>
              <w:t>1.00%</w:t>
            </w:r>
          </w:p>
        </w:tc>
        <w:tc>
          <w:tcPr>
            <w:tcW w:w="1600" w:type="dxa"/>
            <w:vAlign w:val="bottom"/>
          </w:tcPr>
          <w:p>
            <w:pPr>
              <w:jc w:val="right"/>
              <w:ind w:right="274"/>
              <w:spacing w:after="0"/>
              <w:rPr>
                <w:sz w:val="20"/>
                <w:szCs w:val="20"/>
                <w:color w:val="auto"/>
              </w:rPr>
            </w:pPr>
            <w:r>
              <w:rPr>
                <w:rFonts w:ascii="Arial" w:cs="Arial" w:eastAsia="Arial" w:hAnsi="Arial"/>
                <w:sz w:val="17"/>
                <w:szCs w:val="17"/>
                <w:color w:val="auto"/>
              </w:rPr>
              <w:t>0.30%</w:t>
            </w:r>
          </w:p>
        </w:tc>
      </w:tr>
      <w:tr>
        <w:trPr>
          <w:trHeight w:val="220"/>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Less than or equal to 3.00 to 1.0 but greater than 2.50 to 1.0</w:t>
            </w:r>
          </w:p>
        </w:tc>
        <w:tc>
          <w:tcPr>
            <w:tcW w:w="2420" w:type="dxa"/>
            <w:vAlign w:val="bottom"/>
            <w:shd w:val="clear" w:color="auto" w:fill="CCEEFF"/>
          </w:tcPr>
          <w:p>
            <w:pPr>
              <w:jc w:val="center"/>
              <w:ind w:left="94"/>
              <w:spacing w:after="0"/>
              <w:rPr>
                <w:sz w:val="20"/>
                <w:szCs w:val="20"/>
                <w:color w:val="auto"/>
              </w:rPr>
            </w:pPr>
            <w:r>
              <w:rPr>
                <w:rFonts w:ascii="Arial" w:cs="Arial" w:eastAsia="Arial" w:hAnsi="Arial"/>
                <w:sz w:val="17"/>
                <w:szCs w:val="17"/>
                <w:color w:val="auto"/>
                <w:w w:val="91"/>
              </w:rPr>
              <w:t>1.75%</w:t>
            </w:r>
          </w:p>
        </w:tc>
        <w:tc>
          <w:tcPr>
            <w:tcW w:w="23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1"/>
              </w:rPr>
              <w:t>0.75%</w:t>
            </w:r>
          </w:p>
        </w:tc>
        <w:tc>
          <w:tcPr>
            <w:tcW w:w="160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0.25%</w:t>
            </w:r>
          </w:p>
        </w:tc>
      </w:tr>
      <w:tr>
        <w:trPr>
          <w:trHeight w:val="218"/>
        </w:trPr>
        <w:tc>
          <w:tcPr>
            <w:tcW w:w="4400" w:type="dxa"/>
            <w:vAlign w:val="bottom"/>
          </w:tcPr>
          <w:p>
            <w:pPr>
              <w:ind w:left="20"/>
              <w:spacing w:after="0"/>
              <w:rPr>
                <w:sz w:val="20"/>
                <w:szCs w:val="20"/>
                <w:color w:val="auto"/>
              </w:rPr>
            </w:pPr>
            <w:r>
              <w:rPr>
                <w:rFonts w:ascii="Arial" w:cs="Arial" w:eastAsia="Arial" w:hAnsi="Arial"/>
                <w:sz w:val="17"/>
                <w:szCs w:val="17"/>
                <w:color w:val="auto"/>
                <w:w w:val="96"/>
              </w:rPr>
              <w:t>Less than or equal to 2.50 to 1.0 but greater than 2.00 to 1.0</w:t>
            </w:r>
          </w:p>
        </w:tc>
        <w:tc>
          <w:tcPr>
            <w:tcW w:w="2420" w:type="dxa"/>
            <w:vAlign w:val="bottom"/>
          </w:tcPr>
          <w:p>
            <w:pPr>
              <w:jc w:val="center"/>
              <w:ind w:left="94"/>
              <w:spacing w:after="0"/>
              <w:rPr>
                <w:sz w:val="20"/>
                <w:szCs w:val="20"/>
                <w:color w:val="auto"/>
              </w:rPr>
            </w:pPr>
            <w:r>
              <w:rPr>
                <w:rFonts w:ascii="Arial" w:cs="Arial" w:eastAsia="Arial" w:hAnsi="Arial"/>
                <w:sz w:val="17"/>
                <w:szCs w:val="17"/>
                <w:color w:val="auto"/>
                <w:w w:val="91"/>
              </w:rPr>
              <w:t>1.50%</w:t>
            </w:r>
          </w:p>
        </w:tc>
        <w:tc>
          <w:tcPr>
            <w:tcW w:w="2300" w:type="dxa"/>
            <w:vAlign w:val="bottom"/>
          </w:tcPr>
          <w:p>
            <w:pPr>
              <w:jc w:val="center"/>
              <w:ind w:right="14"/>
              <w:spacing w:after="0"/>
              <w:rPr>
                <w:sz w:val="20"/>
                <w:szCs w:val="20"/>
                <w:color w:val="auto"/>
              </w:rPr>
            </w:pPr>
            <w:r>
              <w:rPr>
                <w:rFonts w:ascii="Arial" w:cs="Arial" w:eastAsia="Arial" w:hAnsi="Arial"/>
                <w:sz w:val="17"/>
                <w:szCs w:val="17"/>
                <w:color w:val="auto"/>
                <w:w w:val="91"/>
              </w:rPr>
              <w:t>0.50%</w:t>
            </w:r>
          </w:p>
        </w:tc>
        <w:tc>
          <w:tcPr>
            <w:tcW w:w="1600" w:type="dxa"/>
            <w:vAlign w:val="bottom"/>
          </w:tcPr>
          <w:p>
            <w:pPr>
              <w:jc w:val="right"/>
              <w:ind w:right="274"/>
              <w:spacing w:after="0"/>
              <w:rPr>
                <w:sz w:val="20"/>
                <w:szCs w:val="20"/>
                <w:color w:val="auto"/>
              </w:rPr>
            </w:pPr>
            <w:r>
              <w:rPr>
                <w:rFonts w:ascii="Arial" w:cs="Arial" w:eastAsia="Arial" w:hAnsi="Arial"/>
                <w:sz w:val="17"/>
                <w:szCs w:val="17"/>
                <w:color w:val="auto"/>
              </w:rPr>
              <w:t>0.20%</w:t>
            </w:r>
          </w:p>
        </w:tc>
      </w:tr>
      <w:tr>
        <w:trPr>
          <w:trHeight w:val="220"/>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than or equal to 2.00 to 1.0</w:t>
            </w:r>
          </w:p>
        </w:tc>
        <w:tc>
          <w:tcPr>
            <w:tcW w:w="2420" w:type="dxa"/>
            <w:vAlign w:val="bottom"/>
            <w:shd w:val="clear" w:color="auto" w:fill="CCEEFF"/>
          </w:tcPr>
          <w:p>
            <w:pPr>
              <w:jc w:val="center"/>
              <w:ind w:left="94"/>
              <w:spacing w:after="0"/>
              <w:rPr>
                <w:sz w:val="20"/>
                <w:szCs w:val="20"/>
                <w:color w:val="auto"/>
              </w:rPr>
            </w:pPr>
            <w:r>
              <w:rPr>
                <w:rFonts w:ascii="Arial" w:cs="Arial" w:eastAsia="Arial" w:hAnsi="Arial"/>
                <w:sz w:val="17"/>
                <w:szCs w:val="17"/>
                <w:color w:val="auto"/>
                <w:w w:val="91"/>
              </w:rPr>
              <w:t>1.25%</w:t>
            </w:r>
          </w:p>
        </w:tc>
        <w:tc>
          <w:tcPr>
            <w:tcW w:w="23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1"/>
              </w:rPr>
              <w:t>0.25%</w:t>
            </w:r>
          </w:p>
        </w:tc>
        <w:tc>
          <w:tcPr>
            <w:tcW w:w="160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0.15%</w:t>
            </w: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Term Loan B has an initial applicable margin of 1.5% per annum for Base Rate Loans and 2.5% per annum for Term SOFR Loans.</w:t>
      </w:r>
    </w:p>
    <w:p>
      <w:pPr>
        <w:spacing w:after="0" w:line="243" w:lineRule="exact"/>
        <w:rPr>
          <w:sz w:val="20"/>
          <w:szCs w:val="20"/>
          <w:color w:val="auto"/>
        </w:rPr>
      </w:pPr>
    </w:p>
    <w:p>
      <w:pPr>
        <w:ind w:right="520" w:firstLine="619"/>
        <w:spacing w:after="0" w:line="290" w:lineRule="auto"/>
        <w:rPr>
          <w:sz w:val="20"/>
          <w:szCs w:val="20"/>
          <w:color w:val="auto"/>
        </w:rPr>
      </w:pPr>
      <w:r>
        <w:rPr>
          <w:rFonts w:ascii="Arial" w:cs="Arial" w:eastAsia="Arial" w:hAnsi="Arial"/>
          <w:sz w:val="16"/>
          <w:szCs w:val="16"/>
          <w:color w:val="auto"/>
        </w:rPr>
        <w:t>Effective on the first Adjustment Date, as defined in the Credit Agreement, occurring subsequent to our quarter ending June 30, 2022, the applicable margin for the Term Loan B will be determined by reference to the leverage ratio in effect from time to time as set forth in the following table:</w:t>
      </w:r>
    </w:p>
    <w:tbl>
      <w:tblPr>
        <w:tblLayout w:type="fixed"/>
        <w:tblInd w:w="0" w:type="dxa"/>
        <w:tblCellMar>
          <w:top w:w="0" w:type="dxa"/>
          <w:left w:w="0" w:type="dxa"/>
          <w:bottom w:w="0" w:type="dxa"/>
          <w:right w:w="0" w:type="dxa"/>
        </w:tblCellMar>
      </w:tblPr>
      <w:tr>
        <w:trPr>
          <w:trHeight w:val="174"/>
        </w:trPr>
        <w:tc>
          <w:tcPr>
            <w:tcW w:w="5400" w:type="dxa"/>
            <w:vAlign w:val="bottom"/>
          </w:tcPr>
          <w:p>
            <w:pPr>
              <w:spacing w:after="0"/>
              <w:rPr>
                <w:sz w:val="15"/>
                <w:szCs w:val="15"/>
                <w:color w:val="auto"/>
              </w:rPr>
            </w:pPr>
          </w:p>
        </w:tc>
        <w:tc>
          <w:tcPr>
            <w:tcW w:w="3620" w:type="dxa"/>
            <w:vAlign w:val="bottom"/>
          </w:tcPr>
          <w:p>
            <w:pPr>
              <w:jc w:val="center"/>
              <w:ind w:left="1274"/>
              <w:spacing w:after="0" w:line="174" w:lineRule="exact"/>
              <w:rPr>
                <w:sz w:val="20"/>
                <w:szCs w:val="20"/>
                <w:color w:val="auto"/>
              </w:rPr>
            </w:pPr>
            <w:r>
              <w:rPr>
                <w:rFonts w:ascii="Arial" w:cs="Arial" w:eastAsia="Arial" w:hAnsi="Arial"/>
                <w:sz w:val="17"/>
                <w:szCs w:val="17"/>
                <w:b w:val="1"/>
                <w:bCs w:val="1"/>
                <w:color w:val="auto"/>
                <w:w w:val="95"/>
              </w:rPr>
              <w:t>Applicable Margin for Term</w:t>
            </w:r>
          </w:p>
        </w:tc>
        <w:tc>
          <w:tcPr>
            <w:tcW w:w="2200" w:type="dxa"/>
            <w:vAlign w:val="bottom"/>
          </w:tcPr>
          <w:p>
            <w:pPr>
              <w:jc w:val="center"/>
              <w:spacing w:after="0" w:line="174" w:lineRule="exact"/>
              <w:rPr>
                <w:sz w:val="20"/>
                <w:szCs w:val="20"/>
                <w:color w:val="auto"/>
              </w:rPr>
            </w:pPr>
            <w:r>
              <w:rPr>
                <w:rFonts w:ascii="Arial" w:cs="Arial" w:eastAsia="Arial" w:hAnsi="Arial"/>
                <w:sz w:val="17"/>
                <w:szCs w:val="17"/>
                <w:b w:val="1"/>
                <w:bCs w:val="1"/>
                <w:color w:val="auto"/>
                <w:w w:val="92"/>
              </w:rPr>
              <w:t>Applicable Margin for Base</w:t>
            </w:r>
          </w:p>
        </w:tc>
      </w:tr>
      <w:tr>
        <w:trPr>
          <w:trHeight w:val="231"/>
        </w:trPr>
        <w:tc>
          <w:tcPr>
            <w:tcW w:w="5400" w:type="dxa"/>
            <w:vAlign w:val="bottom"/>
            <w:tcBorders>
              <w:bottom w:val="single" w:sz="8" w:color="auto"/>
            </w:tcBorders>
          </w:tcPr>
          <w:p>
            <w:pPr>
              <w:ind w:left="2840"/>
              <w:spacing w:after="0"/>
              <w:rPr>
                <w:sz w:val="20"/>
                <w:szCs w:val="20"/>
                <w:color w:val="auto"/>
              </w:rPr>
            </w:pPr>
            <w:r>
              <w:rPr>
                <w:rFonts w:ascii="Arial" w:cs="Arial" w:eastAsia="Arial" w:hAnsi="Arial"/>
                <w:sz w:val="17"/>
                <w:szCs w:val="17"/>
                <w:b w:val="1"/>
                <w:bCs w:val="1"/>
                <w:color w:val="auto"/>
              </w:rPr>
              <w:t>Leverage Ratio</w:t>
            </w:r>
          </w:p>
        </w:tc>
        <w:tc>
          <w:tcPr>
            <w:tcW w:w="3620" w:type="dxa"/>
            <w:vAlign w:val="bottom"/>
            <w:tcBorders>
              <w:bottom w:val="single" w:sz="8" w:color="auto"/>
            </w:tcBorders>
          </w:tcPr>
          <w:p>
            <w:pPr>
              <w:jc w:val="center"/>
              <w:ind w:left="1274"/>
              <w:spacing w:after="0"/>
              <w:rPr>
                <w:sz w:val="20"/>
                <w:szCs w:val="20"/>
                <w:color w:val="auto"/>
              </w:rPr>
            </w:pPr>
            <w:r>
              <w:rPr>
                <w:rFonts w:ascii="Arial" w:cs="Arial" w:eastAsia="Arial" w:hAnsi="Arial"/>
                <w:sz w:val="17"/>
                <w:szCs w:val="17"/>
                <w:b w:val="1"/>
                <w:bCs w:val="1"/>
                <w:color w:val="auto"/>
                <w:w w:val="92"/>
              </w:rPr>
              <w:t>SOFR Loans</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Rate Loans</w:t>
            </w: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Greater than 2.75 to 1.0</w:t>
            </w:r>
          </w:p>
        </w:tc>
        <w:tc>
          <w:tcPr>
            <w:tcW w:w="3620" w:type="dxa"/>
            <w:vAlign w:val="bottom"/>
            <w:shd w:val="clear" w:color="auto" w:fill="CCEEFF"/>
          </w:tcPr>
          <w:p>
            <w:pPr>
              <w:jc w:val="center"/>
              <w:ind w:left="1294"/>
              <w:spacing w:after="0"/>
              <w:rPr>
                <w:sz w:val="20"/>
                <w:szCs w:val="20"/>
                <w:color w:val="auto"/>
              </w:rPr>
            </w:pPr>
            <w:r>
              <w:rPr>
                <w:rFonts w:ascii="Arial" w:cs="Arial" w:eastAsia="Arial" w:hAnsi="Arial"/>
                <w:sz w:val="17"/>
                <w:szCs w:val="17"/>
                <w:color w:val="auto"/>
                <w:w w:val="91"/>
              </w:rPr>
              <w:t>2.50%</w:t>
            </w:r>
          </w:p>
        </w:tc>
        <w:tc>
          <w:tcPr>
            <w:tcW w:w="2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1.50%</w:t>
            </w: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Less than 2.75 to 1.0</w:t>
            </w:r>
          </w:p>
        </w:tc>
        <w:tc>
          <w:tcPr>
            <w:tcW w:w="3620" w:type="dxa"/>
            <w:vAlign w:val="bottom"/>
          </w:tcPr>
          <w:p>
            <w:pPr>
              <w:jc w:val="center"/>
              <w:ind w:left="1294"/>
              <w:spacing w:after="0"/>
              <w:rPr>
                <w:sz w:val="20"/>
                <w:szCs w:val="20"/>
                <w:color w:val="auto"/>
              </w:rPr>
            </w:pPr>
            <w:r>
              <w:rPr>
                <w:rFonts w:ascii="Arial" w:cs="Arial" w:eastAsia="Arial" w:hAnsi="Arial"/>
                <w:sz w:val="17"/>
                <w:szCs w:val="17"/>
                <w:color w:val="auto"/>
                <w:w w:val="91"/>
              </w:rPr>
              <w:t>2.25%</w:t>
            </w:r>
          </w:p>
        </w:tc>
        <w:tc>
          <w:tcPr>
            <w:tcW w:w="2200" w:type="dxa"/>
            <w:vAlign w:val="bottom"/>
          </w:tcPr>
          <w:p>
            <w:pPr>
              <w:jc w:val="center"/>
              <w:spacing w:after="0"/>
              <w:rPr>
                <w:sz w:val="20"/>
                <w:szCs w:val="20"/>
                <w:color w:val="auto"/>
              </w:rPr>
            </w:pPr>
            <w:r>
              <w:rPr>
                <w:rFonts w:ascii="Arial" w:cs="Arial" w:eastAsia="Arial" w:hAnsi="Arial"/>
                <w:sz w:val="17"/>
                <w:szCs w:val="17"/>
                <w:color w:val="auto"/>
                <w:w w:val="95"/>
              </w:rPr>
              <w:t>1.25%</w:t>
            </w:r>
          </w:p>
        </w:tc>
      </w:tr>
    </w:tbl>
    <w:p>
      <w:pPr>
        <w:spacing w:after="0" w:line="29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Principal Payments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Principal payments on the Term Loans are due on the last day of each calendar quarter commencing on June 30, 2022.</w:t>
      </w:r>
    </w:p>
    <w:p>
      <w:pPr>
        <w:spacing w:after="0" w:line="243" w:lineRule="exact"/>
        <w:rPr>
          <w:sz w:val="20"/>
          <w:szCs w:val="20"/>
          <w:color w:val="auto"/>
        </w:rPr>
      </w:pPr>
    </w:p>
    <w:p>
      <w:pPr>
        <w:jc w:val="both"/>
        <w:ind w:right="120" w:firstLine="619"/>
        <w:spacing w:after="0" w:line="266" w:lineRule="auto"/>
        <w:rPr>
          <w:sz w:val="20"/>
          <w:szCs w:val="20"/>
          <w:color w:val="auto"/>
        </w:rPr>
      </w:pPr>
      <w:r>
        <w:rPr>
          <w:rFonts w:ascii="Arial" w:cs="Arial" w:eastAsia="Arial" w:hAnsi="Arial"/>
          <w:sz w:val="17"/>
          <w:szCs w:val="17"/>
          <w:color w:val="auto"/>
        </w:rPr>
        <w:t>The Term Loan A will amortize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w:t>
      </w:r>
    </w:p>
    <w:p>
      <w:pPr>
        <w:spacing w:after="0" w:line="201"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The Term Loan B matures in twenty-seven consecutive quarterly installments in an amount equal to 0.25% of the original principal amount, with a final payment of the remaining outstanding principal balance due on the maturity date.</w:t>
      </w:r>
    </w:p>
    <w:p>
      <w:pPr>
        <w:spacing w:after="0" w:line="190" w:lineRule="exact"/>
        <w:rPr>
          <w:sz w:val="20"/>
          <w:szCs w:val="20"/>
          <w:color w:val="auto"/>
        </w:rPr>
      </w:pPr>
    </w:p>
    <w:p>
      <w:pPr>
        <w:ind w:right="920" w:firstLine="619"/>
        <w:spacing w:after="0" w:line="279" w:lineRule="auto"/>
        <w:rPr>
          <w:sz w:val="20"/>
          <w:szCs w:val="20"/>
          <w:color w:val="auto"/>
        </w:rPr>
      </w:pPr>
      <w:r>
        <w:rPr>
          <w:rFonts w:ascii="Arial" w:cs="Arial" w:eastAsia="Arial" w:hAnsi="Arial"/>
          <w:sz w:val="17"/>
          <w:szCs w:val="17"/>
          <w:color w:val="auto"/>
        </w:rPr>
        <w:t>We may borrow, prepay and re-borrow amounts under the Revolving Credit Facility, in accordance with the terms and conditions of the Credit Agreement, with all outstanding amounts due at maturity.</w:t>
      </w:r>
    </w:p>
    <w:p>
      <w:pPr>
        <w:spacing w:after="0" w:line="190" w:lineRule="exact"/>
        <w:rPr>
          <w:sz w:val="20"/>
          <w:szCs w:val="20"/>
          <w:color w:val="auto"/>
        </w:rPr>
      </w:pPr>
    </w:p>
    <w:p>
      <w:pPr>
        <w:ind w:right="400" w:firstLine="619"/>
        <w:spacing w:after="0" w:line="279" w:lineRule="auto"/>
        <w:rPr>
          <w:sz w:val="20"/>
          <w:szCs w:val="20"/>
          <w:color w:val="auto"/>
        </w:rPr>
      </w:pPr>
      <w:r>
        <w:rPr>
          <w:rFonts w:ascii="Arial" w:cs="Arial" w:eastAsia="Arial" w:hAnsi="Arial"/>
          <w:sz w:val="17"/>
          <w:szCs w:val="17"/>
          <w:color w:val="auto"/>
        </w:rPr>
        <w:t>During March 2022, we prepaid $16.0 million in principal payments on the Term Loan A principal balance. For the nine months ended September 30, 2023 and 2022 total principal payments on both Term Loans were $22.3 million and $20.3 million, respectively.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Payments</w:t>
      </w:r>
    </w:p>
    <w:p>
      <w:pPr>
        <w:spacing w:after="0" w:line="243" w:lineRule="exact"/>
        <w:rPr>
          <w:sz w:val="20"/>
          <w:szCs w:val="20"/>
          <w:color w:val="auto"/>
        </w:rPr>
      </w:pPr>
    </w:p>
    <w:p>
      <w:pPr>
        <w:ind w:right="260" w:firstLine="619"/>
        <w:spacing w:after="0" w:line="262" w:lineRule="auto"/>
        <w:rPr>
          <w:sz w:val="20"/>
          <w:szCs w:val="20"/>
          <w:color w:val="auto"/>
        </w:rPr>
      </w:pPr>
      <w:r>
        <w:rPr>
          <w:rFonts w:ascii="Arial" w:cs="Arial" w:eastAsia="Arial" w:hAnsi="Arial"/>
          <w:sz w:val="17"/>
          <w:szCs w:val="17"/>
          <w:color w:val="auto"/>
        </w:rPr>
        <w:t>Interest payments on Base Rate Loans are payable quarterly in arrears on the last business day of each calendar quarter and the applicable maturity date. Interest periods on Term SOFR Loans will be determined, at our option, as either one, three or six months and will be payable on the last day of each interest period and the applicable maturity date. In the case of any interest periods of more than three months' duration, the interest payment will be payable on each day prior to the last day of such interest period that occurs at three-month intervals.</w:t>
      </w:r>
    </w:p>
    <w:p>
      <w:pPr>
        <w:spacing w:after="0" w:line="204" w:lineRule="exact"/>
        <w:rPr>
          <w:sz w:val="20"/>
          <w:szCs w:val="20"/>
          <w:color w:val="auto"/>
        </w:rPr>
      </w:pPr>
    </w:p>
    <w:p>
      <w:pPr>
        <w:ind w:right="480" w:firstLine="619"/>
        <w:spacing w:after="0" w:line="276" w:lineRule="auto"/>
        <w:rPr>
          <w:sz w:val="20"/>
          <w:szCs w:val="20"/>
          <w:color w:val="auto"/>
        </w:rPr>
      </w:pPr>
      <w:r>
        <w:rPr>
          <w:rFonts w:ascii="Arial" w:cs="Arial" w:eastAsia="Arial" w:hAnsi="Arial"/>
          <w:sz w:val="16"/>
          <w:szCs w:val="16"/>
          <w:color w:val="auto"/>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ind w:left="620"/>
        <w:spacing w:after="0"/>
        <w:rPr>
          <w:sz w:val="20"/>
          <w:szCs w:val="20"/>
          <w:color w:val="auto"/>
        </w:rPr>
      </w:pPr>
      <w:r>
        <w:rPr>
          <w:rFonts w:ascii="Arial" w:cs="Arial" w:eastAsia="Arial" w:hAnsi="Arial"/>
          <w:sz w:val="17"/>
          <w:szCs w:val="17"/>
          <w:i w:val="1"/>
          <w:iCs w:val="1"/>
          <w:color w:val="auto"/>
        </w:rPr>
        <w:t>Guarantors and Collateral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8" w:name="page39"/>
    <w:bookmarkEnd w:id="38"/>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Our obligations under the Credit Agreement are unconditionally guaranteed, on a joint and several basis, by ICU Medical, Inc. and certain of our existing subsidiaries.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Debt Covenants</w:t>
      </w:r>
    </w:p>
    <w:p>
      <w:pPr>
        <w:spacing w:after="0" w:line="243" w:lineRule="exact"/>
        <w:rPr>
          <w:sz w:val="20"/>
          <w:szCs w:val="20"/>
          <w:color w:val="auto"/>
        </w:rPr>
      </w:pPr>
    </w:p>
    <w:p>
      <w:pPr>
        <w:ind w:right="400" w:firstLine="619"/>
        <w:spacing w:after="0" w:line="262" w:lineRule="auto"/>
        <w:rPr>
          <w:sz w:val="20"/>
          <w:szCs w:val="20"/>
          <w:color w:val="auto"/>
        </w:rPr>
      </w:pPr>
      <w:r>
        <w:rPr>
          <w:rFonts w:ascii="Arial" w:cs="Arial" w:eastAsia="Arial" w:hAnsi="Arial"/>
          <w:sz w:val="17"/>
          <w:szCs w:val="17"/>
          <w:color w:val="auto"/>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spacing w:after="0" w:line="204"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The financial covenants include the Senior Secured Leverage Ratio and the Interest Coverage Ratio, both defined below, and pertain to the Term Loan A and the Revolving Credit Facility.</w:t>
      </w:r>
    </w:p>
    <w:p>
      <w:pPr>
        <w:spacing w:after="0" w:line="190" w:lineRule="exact"/>
        <w:rPr>
          <w:sz w:val="20"/>
          <w:szCs w:val="20"/>
          <w:color w:val="auto"/>
        </w:rPr>
      </w:pPr>
    </w:p>
    <w:p>
      <w:pPr>
        <w:ind w:right="140" w:firstLine="619"/>
        <w:spacing w:after="0" w:line="307" w:lineRule="auto"/>
        <w:rPr>
          <w:sz w:val="20"/>
          <w:szCs w:val="20"/>
          <w:color w:val="auto"/>
        </w:rPr>
      </w:pPr>
      <w:r>
        <w:rPr>
          <w:rFonts w:ascii="Arial" w:cs="Arial" w:eastAsia="Arial" w:hAnsi="Arial"/>
          <w:sz w:val="15"/>
          <w:szCs w:val="15"/>
          <w:color w:val="auto"/>
        </w:rPr>
        <w:t>The Senior Secured Leverage Ratio is defined, at any measurement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spacing w:after="0" w:line="175" w:lineRule="exact"/>
        <w:rPr>
          <w:sz w:val="20"/>
          <w:szCs w:val="20"/>
          <w:color w:val="auto"/>
        </w:rPr>
      </w:pPr>
    </w:p>
    <w:p>
      <w:pPr>
        <w:ind w:right="400" w:firstLine="619"/>
        <w:spacing w:after="0" w:line="266" w:lineRule="auto"/>
        <w:rPr>
          <w:sz w:val="20"/>
          <w:szCs w:val="20"/>
          <w:color w:val="auto"/>
        </w:rPr>
      </w:pPr>
      <w:r>
        <w:rPr>
          <w:rFonts w:ascii="Arial" w:cs="Arial" w:eastAsia="Arial" w:hAnsi="Arial"/>
          <w:sz w:val="17"/>
          <w:szCs w:val="17"/>
          <w:color w:val="auto"/>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were in compliance with all financial covenants as of September 30, 2023.</w:t>
      </w:r>
    </w:p>
    <w:p>
      <w:pPr>
        <w:spacing w:after="0" w:line="243" w:lineRule="exact"/>
        <w:rPr>
          <w:sz w:val="20"/>
          <w:szCs w:val="20"/>
          <w:color w:val="auto"/>
        </w:rPr>
      </w:pPr>
    </w:p>
    <w:p>
      <w:pPr>
        <w:ind w:right="220" w:firstLine="619"/>
        <w:spacing w:after="0" w:line="259" w:lineRule="auto"/>
        <w:rPr>
          <w:sz w:val="20"/>
          <w:szCs w:val="20"/>
          <w:color w:val="auto"/>
        </w:rPr>
      </w:pPr>
      <w:r>
        <w:rPr>
          <w:rFonts w:ascii="Arial" w:cs="Arial" w:eastAsia="Arial" w:hAnsi="Arial"/>
          <w:sz w:val="17"/>
          <w:szCs w:val="17"/>
          <w:color w:val="auto"/>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Credit Facility</w:t>
      </w:r>
    </w:p>
    <w:p>
      <w:pPr>
        <w:spacing w:after="0" w:line="243" w:lineRule="exact"/>
        <w:rPr>
          <w:sz w:val="20"/>
          <w:szCs w:val="20"/>
          <w:color w:val="auto"/>
        </w:rPr>
      </w:pPr>
    </w:p>
    <w:p>
      <w:pPr>
        <w:jc w:val="both"/>
        <w:ind w:right="560" w:firstLine="172"/>
        <w:spacing w:after="0" w:line="290" w:lineRule="auto"/>
        <w:rPr>
          <w:sz w:val="20"/>
          <w:szCs w:val="20"/>
          <w:color w:val="auto"/>
        </w:rPr>
      </w:pPr>
      <w:r>
        <w:rPr>
          <w:rFonts w:ascii="Arial" w:cs="Arial" w:eastAsia="Arial" w:hAnsi="Arial"/>
          <w:sz w:val="16"/>
          <w:szCs w:val="16"/>
          <w:color w:val="auto"/>
        </w:rPr>
        <w:t>On November 8, 2017, we entered into a five-year senior secured revolving credit facility with various lenders for $150.0 million, with Wells Fargo Bank, National Association as the administrative agent, swingline lender and issuing lender (the "Prior Credit Facility"). The Prior Credit Facility, which was set to mature on November 8, 2022, was terminated in connection with entering into the Credit Agreement on January 6, 2022.</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values of our long-term debt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840" w:type="dxa"/>
            <w:vAlign w:val="bottom"/>
          </w:tcPr>
          <w:p>
            <w:pPr>
              <w:spacing w:after="0"/>
              <w:rPr>
                <w:sz w:val="15"/>
                <w:szCs w:val="15"/>
                <w:color w:val="auto"/>
              </w:rPr>
            </w:pPr>
          </w:p>
        </w:tc>
        <w:tc>
          <w:tcPr>
            <w:tcW w:w="186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Effective Interest Rate</w:t>
            </w:r>
          </w:p>
        </w:tc>
        <w:tc>
          <w:tcPr>
            <w:tcW w:w="160" w:type="dxa"/>
            <w:vAlign w:val="bottom"/>
          </w:tcPr>
          <w:p>
            <w:pPr>
              <w:spacing w:after="0"/>
              <w:rPr>
                <w:sz w:val="15"/>
                <w:szCs w:val="15"/>
                <w:color w:val="auto"/>
              </w:rPr>
            </w:pPr>
          </w:p>
        </w:tc>
        <w:tc>
          <w:tcPr>
            <w:tcW w:w="1560" w:type="dxa"/>
            <w:vAlign w:val="bottom"/>
          </w:tcPr>
          <w:p>
            <w:pPr>
              <w:jc w:val="right"/>
              <w:ind w:right="636"/>
              <w:spacing w:after="0"/>
              <w:rPr>
                <w:sz w:val="20"/>
                <w:szCs w:val="20"/>
                <w:color w:val="auto"/>
              </w:rPr>
            </w:pPr>
            <w:r>
              <w:rPr>
                <w:rFonts w:ascii="Arial" w:cs="Arial" w:eastAsia="Arial" w:hAnsi="Arial"/>
                <w:sz w:val="15"/>
                <w:szCs w:val="15"/>
                <w:b w:val="1"/>
                <w:bCs w:val="1"/>
                <w:color w:val="auto"/>
              </w:rPr>
              <w:t>As of</w:t>
            </w:r>
          </w:p>
        </w:tc>
        <w:tc>
          <w:tcPr>
            <w:tcW w:w="80" w:type="dxa"/>
            <w:vAlign w:val="bottom"/>
          </w:tcPr>
          <w:p>
            <w:pPr>
              <w:spacing w:after="0"/>
              <w:rPr>
                <w:sz w:val="15"/>
                <w:szCs w:val="15"/>
                <w:color w:val="auto"/>
              </w:rPr>
            </w:pPr>
          </w:p>
        </w:tc>
        <w:tc>
          <w:tcPr>
            <w:tcW w:w="2020" w:type="dxa"/>
            <w:vAlign w:val="bottom"/>
            <w:gridSpan w:val="3"/>
            <w:vMerge w:val="restart"/>
          </w:tcPr>
          <w:p>
            <w:pPr>
              <w:jc w:val="right"/>
              <w:ind w:right="400"/>
              <w:spacing w:after="0"/>
              <w:rPr>
                <w:sz w:val="20"/>
                <w:szCs w:val="20"/>
                <w:color w:val="auto"/>
              </w:rPr>
            </w:pPr>
            <w:r>
              <w:rPr>
                <w:rFonts w:ascii="Arial" w:cs="Arial" w:eastAsia="Arial" w:hAnsi="Arial"/>
                <w:sz w:val="15"/>
                <w:szCs w:val="15"/>
                <w:b w:val="1"/>
                <w:bCs w:val="1"/>
                <w:color w:val="auto"/>
              </w:rPr>
              <w:t>Effective Interest Rate</w:t>
            </w:r>
          </w:p>
        </w:tc>
        <w:tc>
          <w:tcPr>
            <w:tcW w:w="1200" w:type="dxa"/>
            <w:vAlign w:val="bottom"/>
          </w:tcPr>
          <w:p>
            <w:pPr>
              <w:jc w:val="right"/>
              <w:ind w:right="276"/>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136"/>
              <w:spacing w:after="0"/>
              <w:rPr>
                <w:sz w:val="20"/>
                <w:szCs w:val="20"/>
                <w:color w:val="auto"/>
              </w:rPr>
            </w:pPr>
            <w:r>
              <w:rPr>
                <w:rFonts w:ascii="Arial" w:cs="Arial" w:eastAsia="Arial" w:hAnsi="Arial"/>
                <w:sz w:val="15"/>
                <w:szCs w:val="15"/>
                <w:b w:val="1"/>
                <w:bCs w:val="1"/>
                <w:color w:val="auto"/>
                <w:w w:val="94"/>
              </w:rPr>
              <w:t>September 30, 2023</w:t>
            </w:r>
          </w:p>
        </w:tc>
        <w:tc>
          <w:tcPr>
            <w:tcW w:w="80" w:type="dxa"/>
            <w:vAlign w:val="bottom"/>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w w:val="96"/>
              </w:rPr>
              <w:t>December 31, 20</w:t>
            </w:r>
          </w:p>
        </w:tc>
        <w:tc>
          <w:tcPr>
            <w:tcW w:w="0" w:type="dxa"/>
            <w:vAlign w:val="bottom"/>
          </w:tcPr>
          <w:p>
            <w:pPr>
              <w:spacing w:after="0"/>
              <w:rPr>
                <w:sz w:val="1"/>
                <w:szCs w:val="1"/>
                <w:color w:val="auto"/>
              </w:rPr>
            </w:pPr>
          </w:p>
        </w:tc>
      </w:tr>
      <w:tr>
        <w:trPr>
          <w:trHeight w:val="201"/>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Senior Secured Credit Facilities:</w:t>
            </w: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40" w:type="dxa"/>
            <w:vAlign w:val="bottom"/>
          </w:tcPr>
          <w:p>
            <w:pPr>
              <w:ind w:left="120"/>
              <w:spacing w:after="0"/>
              <w:rPr>
                <w:sz w:val="20"/>
                <w:szCs w:val="20"/>
                <w:color w:val="auto"/>
              </w:rPr>
            </w:pPr>
            <w:r>
              <w:rPr>
                <w:rFonts w:ascii="Arial" w:cs="Arial" w:eastAsia="Arial" w:hAnsi="Arial"/>
                <w:sz w:val="17"/>
                <w:szCs w:val="17"/>
                <w:color w:val="auto"/>
              </w:rPr>
              <w:t>Term Loan A — principal</w:t>
            </w:r>
          </w:p>
        </w:tc>
        <w:tc>
          <w:tcPr>
            <w:tcW w:w="1760" w:type="dxa"/>
            <w:vAlign w:val="bottom"/>
          </w:tcPr>
          <w:p>
            <w:pPr>
              <w:jc w:val="right"/>
              <w:spacing w:after="0"/>
              <w:rPr>
                <w:sz w:val="20"/>
                <w:szCs w:val="20"/>
                <w:color w:val="auto"/>
              </w:rPr>
            </w:pPr>
            <w:r>
              <w:rPr>
                <w:rFonts w:ascii="Arial" w:cs="Arial" w:eastAsia="Arial" w:hAnsi="Arial"/>
                <w:sz w:val="17"/>
                <w:szCs w:val="17"/>
                <w:color w:val="auto"/>
              </w:rPr>
              <w:t>7.62 %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818,125</w:t>
            </w:r>
          </w:p>
        </w:tc>
        <w:tc>
          <w:tcPr>
            <w:tcW w:w="2100" w:type="dxa"/>
            <w:vAlign w:val="bottom"/>
            <w:gridSpan w:val="4"/>
          </w:tcPr>
          <w:p>
            <w:pPr>
              <w:jc w:val="right"/>
              <w:ind w:right="60"/>
              <w:spacing w:after="0"/>
              <w:rPr>
                <w:sz w:val="20"/>
                <w:szCs w:val="20"/>
                <w:color w:val="auto"/>
              </w:rPr>
            </w:pPr>
            <w:r>
              <w:rPr>
                <w:rFonts w:ascii="Arial" w:cs="Arial" w:eastAsia="Arial" w:hAnsi="Arial"/>
                <w:sz w:val="17"/>
                <w:szCs w:val="17"/>
                <w:color w:val="auto"/>
              </w:rPr>
              <w:t>3.99 %  $</w:t>
            </w:r>
          </w:p>
        </w:tc>
        <w:tc>
          <w:tcPr>
            <w:tcW w:w="1200" w:type="dxa"/>
            <w:vAlign w:val="bottom"/>
          </w:tcPr>
          <w:p>
            <w:pPr>
              <w:jc w:val="right"/>
              <w:spacing w:after="0"/>
              <w:rPr>
                <w:sz w:val="20"/>
                <w:szCs w:val="20"/>
                <w:color w:val="auto"/>
              </w:rPr>
            </w:pPr>
            <w:r>
              <w:rPr>
                <w:rFonts w:ascii="Arial" w:cs="Arial" w:eastAsia="Arial" w:hAnsi="Arial"/>
                <w:sz w:val="17"/>
                <w:szCs w:val="17"/>
                <w:color w:val="auto"/>
              </w:rPr>
              <w:t>834</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Term Loan B — principal</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837,250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18"/>
        </w:trPr>
        <w:tc>
          <w:tcPr>
            <w:tcW w:w="3840" w:type="dxa"/>
            <w:vAlign w:val="bottom"/>
          </w:tcPr>
          <w:p>
            <w:pPr>
              <w:ind w:left="120"/>
              <w:spacing w:after="0"/>
              <w:rPr>
                <w:sz w:val="20"/>
                <w:szCs w:val="20"/>
                <w:color w:val="auto"/>
              </w:rPr>
            </w:pPr>
            <w:r>
              <w:rPr>
                <w:rFonts w:ascii="Arial" w:cs="Arial" w:eastAsia="Arial" w:hAnsi="Arial"/>
                <w:sz w:val="17"/>
                <w:szCs w:val="17"/>
                <w:color w:val="auto"/>
              </w:rPr>
              <w:t>Revolving Credit Facility — principal</w:t>
            </w:r>
          </w:p>
        </w:tc>
        <w:tc>
          <w:tcPr>
            <w:tcW w:w="18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20" w:type="dxa"/>
            <w:vAlign w:val="bottom"/>
            <w:gridSpan w:val="3"/>
          </w:tcPr>
          <w:p>
            <w:pPr>
              <w:jc w:val="right"/>
              <w:ind w:right="260"/>
              <w:spacing w:after="0"/>
              <w:rPr>
                <w:sz w:val="20"/>
                <w:szCs w:val="20"/>
                <w:color w:val="auto"/>
              </w:rPr>
            </w:pPr>
            <w:r>
              <w:rPr>
                <w:rFonts w:ascii="Arial" w:cs="Arial" w:eastAsia="Arial" w:hAnsi="Arial"/>
                <w:sz w:val="17"/>
                <w:szCs w:val="17"/>
                <w:color w:val="auto"/>
              </w:rPr>
              <w:t>— %</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Less unamortized debt issuance costs</w:t>
            </w:r>
            <w:r>
              <w:rPr>
                <w:rFonts w:ascii="Arial" w:cs="Arial" w:eastAsia="Arial" w:hAnsi="Arial"/>
                <w:sz w:val="22"/>
                <w:szCs w:val="22"/>
                <w:color w:val="auto"/>
                <w:vertAlign w:val="superscript"/>
              </w:rPr>
              <w:t>(1)</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(20,443)</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1"/>
        </w:trPr>
        <w:tc>
          <w:tcPr>
            <w:tcW w:w="3840" w:type="dxa"/>
            <w:vAlign w:val="bottom"/>
          </w:tcPr>
          <w:p>
            <w:pPr>
              <w:ind w:left="120"/>
              <w:spacing w:after="0"/>
              <w:rPr>
                <w:sz w:val="20"/>
                <w:szCs w:val="20"/>
                <w:color w:val="auto"/>
              </w:rPr>
            </w:pPr>
            <w:r>
              <w:rPr>
                <w:rFonts w:ascii="Arial" w:cs="Arial" w:eastAsia="Arial" w:hAnsi="Arial"/>
                <w:sz w:val="17"/>
                <w:szCs w:val="17"/>
                <w:color w:val="auto"/>
              </w:rPr>
              <w:t>Total carrying value of long-term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1,634,932</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1,653</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current portion of long-term debt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45,688</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3"/>
        </w:trPr>
        <w:tc>
          <w:tcPr>
            <w:tcW w:w="3840" w:type="dxa"/>
            <w:vAlign w:val="bottom"/>
          </w:tcPr>
          <w:p>
            <w:pPr>
              <w:ind w:left="120"/>
              <w:spacing w:after="0"/>
              <w:rPr>
                <w:sz w:val="20"/>
                <w:szCs w:val="20"/>
                <w:color w:val="auto"/>
              </w:rPr>
            </w:pPr>
            <w:r>
              <w:rPr>
                <w:rFonts w:ascii="Arial" w:cs="Arial" w:eastAsia="Arial" w:hAnsi="Arial"/>
                <w:sz w:val="17"/>
                <w:szCs w:val="17"/>
                <w:color w:val="auto"/>
              </w:rPr>
              <w:t>Long-term debt,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1,589,244</w:t>
            </w:r>
          </w:p>
        </w:tc>
        <w:tc>
          <w:tcPr>
            <w:tcW w:w="210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1,623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9" w:name="page40"/>
    <w:bookmarkEnd w:id="39"/>
    <w:p>
      <w:pPr>
        <w:jc w:val="center"/>
        <w:ind w:right="100"/>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left="220" w:hanging="217"/>
        <w:spacing w:after="0"/>
        <w:tabs>
          <w:tab w:leader="none" w:pos="220" w:val="left"/>
        </w:tabs>
        <w:numPr>
          <w:ilvl w:val="0"/>
          <w:numId w:val="26"/>
        </w:numPr>
        <w:rPr>
          <w:rFonts w:ascii="Arial" w:cs="Arial" w:eastAsia="Arial" w:hAnsi="Arial"/>
          <w:sz w:val="10"/>
          <w:szCs w:val="10"/>
          <w:color w:val="auto"/>
        </w:rPr>
      </w:pPr>
      <w:r>
        <w:rPr>
          <w:rFonts w:ascii="Arial" w:cs="Arial" w:eastAsia="Arial" w:hAnsi="Arial"/>
          <w:sz w:val="17"/>
          <w:szCs w:val="17"/>
          <w:color w:val="auto"/>
        </w:rPr>
        <w:t>Comprised of $10.1 million and $10.3 million relating to the Term Loan A and the Term Loan B, respectively, as of September 30, 2023.</w:t>
      </w:r>
    </w:p>
    <w:p>
      <w:pPr>
        <w:spacing w:after="0" w:line="243"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As of September 30, 2023, the aggregate amount of principal repayments of our long-term debt (including any current portion) for each of the next five years is approximately (in thousands):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spacing w:after="0"/>
              <w:rPr>
                <w:sz w:val="19"/>
                <w:szCs w:val="19"/>
                <w:color w:val="auto"/>
              </w:rPr>
            </w:pPr>
          </w:p>
        </w:tc>
      </w:tr>
      <w:tr>
        <w:trPr>
          <w:trHeight w:val="218"/>
        </w:trPr>
        <w:tc>
          <w:tcPr>
            <w:tcW w:w="9460" w:type="dxa"/>
            <w:vAlign w:val="bottom"/>
          </w:tcPr>
          <w:p>
            <w:pPr>
              <w:ind w:left="20"/>
              <w:spacing w:after="0"/>
              <w:rPr>
                <w:sz w:val="20"/>
                <w:szCs w:val="20"/>
                <w:color w:val="auto"/>
              </w:rPr>
            </w:pPr>
            <w:r>
              <w:rPr>
                <w:rFonts w:ascii="Arial" w:cs="Arial" w:eastAsia="Arial" w:hAnsi="Arial"/>
                <w:sz w:val="17"/>
                <w:szCs w:val="17"/>
                <w:color w:val="auto"/>
              </w:rPr>
              <w:t>2024</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0"/>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8"/>
        </w:trPr>
        <w:tc>
          <w:tcPr>
            <w:tcW w:w="9460" w:type="dxa"/>
            <w:vAlign w:val="bottom"/>
          </w:tcPr>
          <w:p>
            <w:pPr>
              <w:ind w:left="20"/>
              <w:spacing w:after="0"/>
              <w:rPr>
                <w:sz w:val="20"/>
                <w:szCs w:val="20"/>
                <w:color w:val="auto"/>
              </w:rPr>
            </w:pPr>
            <w:r>
              <w:rPr>
                <w:rFonts w:ascii="Arial" w:cs="Arial" w:eastAsia="Arial" w:hAnsi="Arial"/>
                <w:sz w:val="17"/>
                <w:szCs w:val="17"/>
                <w:color w:val="auto"/>
              </w:rPr>
              <w:t>2026</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0"/>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8"/>
        </w:trPr>
        <w:tc>
          <w:tcPr>
            <w:tcW w:w="9460" w:type="dxa"/>
            <w:vAlign w:val="bottom"/>
          </w:tcPr>
          <w:p>
            <w:pPr>
              <w:ind w:left="20"/>
              <w:spacing w:after="0"/>
              <w:rPr>
                <w:sz w:val="20"/>
                <w:szCs w:val="20"/>
                <w:color w:val="auto"/>
              </w:rPr>
            </w:pPr>
            <w:r>
              <w:rPr>
                <w:rFonts w:ascii="Arial" w:cs="Arial" w:eastAsia="Arial" w:hAnsi="Arial"/>
                <w:sz w:val="17"/>
                <w:szCs w:val="17"/>
                <w:color w:val="auto"/>
              </w:rPr>
              <w:t>2028</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9460" w:type="dxa"/>
            <w:vAlign w:val="bottom"/>
          </w:tcPr>
          <w:p>
            <w:pPr>
              <w:ind w:left="140"/>
              <w:spacing w:after="0"/>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0"/>
        </w:trPr>
        <w:tc>
          <w:tcPr>
            <w:tcW w:w="9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total interest expense related to our long-term debt (in thousands):</w:t>
      </w:r>
    </w:p>
    <w:p>
      <w:pPr>
        <w:spacing w:after="0" w:line="25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3020" w:type="dxa"/>
            <w:vAlign w:val="bottom"/>
            <w:gridSpan w:val="4"/>
          </w:tcPr>
          <w:p>
            <w:pPr>
              <w:jc w:val="right"/>
              <w:ind w:right="374"/>
              <w:spacing w:after="0"/>
              <w:rPr>
                <w:sz w:val="20"/>
                <w:szCs w:val="20"/>
                <w:color w:val="auto"/>
              </w:rPr>
            </w:pPr>
            <w:r>
              <w:rPr>
                <w:rFonts w:ascii="Arial" w:cs="Arial" w:eastAsia="Arial" w:hAnsi="Arial"/>
                <w:sz w:val="17"/>
                <w:szCs w:val="17"/>
                <w:b w:val="1"/>
                <w:bCs w:val="1"/>
                <w:color w:val="auto"/>
              </w:rPr>
              <w:t>Three months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40" w:type="dxa"/>
            <w:vAlign w:val="bottom"/>
            <w:gridSpan w:val="3"/>
          </w:tcPr>
          <w:p>
            <w:pPr>
              <w:jc w:val="center"/>
              <w:ind w:right="514"/>
              <w:spacing w:after="0"/>
              <w:rPr>
                <w:sz w:val="20"/>
                <w:szCs w:val="20"/>
                <w:color w:val="auto"/>
              </w:rPr>
            </w:pPr>
            <w:r>
              <w:rPr>
                <w:rFonts w:ascii="Arial" w:cs="Arial" w:eastAsia="Arial" w:hAnsi="Arial"/>
                <w:sz w:val="17"/>
                <w:szCs w:val="17"/>
                <w:b w:val="1"/>
                <w:bCs w:val="1"/>
                <w:color w:val="auto"/>
                <w:w w:val="88"/>
              </w:rPr>
              <w:t>Nine months ended</w:t>
            </w:r>
          </w:p>
        </w:tc>
      </w:tr>
      <w:tr>
        <w:trPr>
          <w:trHeight w:val="228"/>
        </w:trPr>
        <w:tc>
          <w:tcPr>
            <w:tcW w:w="38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7"/>
                <w:szCs w:val="17"/>
                <w:b w:val="1"/>
                <w:bCs w:val="1"/>
                <w:color w:val="auto"/>
              </w:rPr>
              <w:t>September 30,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7"/>
                <w:szCs w:val="17"/>
                <w:b w:val="1"/>
                <w:bCs w:val="1"/>
                <w:color w:val="auto"/>
                <w:w w:val="89"/>
              </w:rPr>
              <w:t>September 30,</w:t>
            </w:r>
          </w:p>
        </w:tc>
      </w:tr>
      <w:tr>
        <w:trPr>
          <w:trHeight w:val="217"/>
        </w:trPr>
        <w:tc>
          <w:tcPr>
            <w:tcW w:w="38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2022</w:t>
            </w: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interest</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32,494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92,593</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Amortization of debt issuance costs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1,704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1,758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5,108</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 fee — Revolving Credit Facility</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13"/>
        </w:trPr>
        <w:tc>
          <w:tcPr>
            <w:tcW w:w="3860" w:type="dxa"/>
            <w:vAlign w:val="bottom"/>
          </w:tcPr>
          <w:p>
            <w:pPr>
              <w:ind w:left="120"/>
              <w:spacing w:after="0"/>
              <w:rPr>
                <w:sz w:val="20"/>
                <w:szCs w:val="20"/>
                <w:color w:val="auto"/>
              </w:rPr>
            </w:pPr>
            <w:r>
              <w:rPr>
                <w:rFonts w:ascii="Arial" w:cs="Arial" w:eastAsia="Arial" w:hAnsi="Arial"/>
                <w:sz w:val="17"/>
                <w:szCs w:val="17"/>
                <w:color w:val="auto"/>
              </w:rPr>
              <w:t>Total long-term debt-related interest expense</w:t>
            </w:r>
          </w:p>
        </w:tc>
        <w:tc>
          <w:tcPr>
            <w:tcW w:w="114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34,582</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21,320</w:t>
            </w: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98,836</w:t>
            </w:r>
          </w:p>
        </w:tc>
        <w:tc>
          <w:tcPr>
            <w:tcW w:w="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currently hedge against the contractual interest expense on our long-term debt (see Note 8: Derivatives and Hedging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Shareholders Agreement</w:t>
      </w:r>
    </w:p>
    <w:p>
      <w:pPr>
        <w:spacing w:after="0" w:line="243" w:lineRule="exact"/>
        <w:rPr>
          <w:sz w:val="20"/>
          <w:szCs w:val="20"/>
          <w:color w:val="auto"/>
        </w:rPr>
      </w:pPr>
    </w:p>
    <w:p>
      <w:pPr>
        <w:ind w:right="200" w:firstLine="619"/>
        <w:spacing w:after="0" w:line="256" w:lineRule="auto"/>
        <w:rPr>
          <w:sz w:val="20"/>
          <w:szCs w:val="20"/>
          <w:color w:val="auto"/>
        </w:rPr>
      </w:pPr>
      <w:r>
        <w:rPr>
          <w:rFonts w:ascii="Arial" w:cs="Arial" w:eastAsia="Arial" w:hAnsi="Arial"/>
          <w:sz w:val="17"/>
          <w:szCs w:val="17"/>
          <w:color w:val="auto"/>
        </w:rPr>
        <w:t>At the completion of the Smiths Medical acquisition on January 6, 2022, Smiths owned approximately 10.5% of the total outstanding shares of our common stock (see Note 3: Acquisitions). At closing, in connection with the issuance of the share consideration, we entered into a Shareholders Agreement (the “Shareholders Agreement”) with Smiths. The Shareholders Agreement imposes certain restrictions on Smiths including prohibiting certain transfers of the shares of our common stock issued (i) for 6 months following the closing of the acquisition and (ii) to certain of our competitors and certain other parties, as well as customary standstill limitations. The Shareholders Agreement also permits Smiths to designate one individual for election to our Board of Directors (the "Board") so long as Smiths beneficially owns at least 5.0% of the total outstanding shares of our common stock. On February 1, 2022, our Board appointed a new director designated by Smiths pursuant to the Shareholders Agreement who was elected to the Board at the 2022 Annual Meeting of Stockholders held in May 2022. This appointment expanded the size of our Board from eight to nine members. See our Current Report on Form 8-K filed on February 1, 2022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Stock</w:t>
      </w:r>
    </w:p>
    <w:p>
      <w:pPr>
        <w:spacing w:after="0" w:line="243" w:lineRule="exact"/>
        <w:rPr>
          <w:sz w:val="20"/>
          <w:szCs w:val="20"/>
          <w:color w:val="auto"/>
        </w:rPr>
      </w:pPr>
    </w:p>
    <w:p>
      <w:pPr>
        <w:ind w:right="140" w:firstLine="172"/>
        <w:spacing w:after="0" w:line="262" w:lineRule="auto"/>
        <w:rPr>
          <w:sz w:val="20"/>
          <w:szCs w:val="20"/>
          <w:color w:val="auto"/>
        </w:rPr>
      </w:pPr>
      <w:r>
        <w:rPr>
          <w:rFonts w:ascii="Arial" w:cs="Arial" w:eastAsia="Arial" w:hAnsi="Arial"/>
          <w:sz w:val="17"/>
          <w:szCs w:val="17"/>
          <w:color w:val="auto"/>
        </w:rPr>
        <w:t>In August 2019, our Board approved a share purchase plan to purchase up to $100.0 million of our common stock. This plan has no expiration date. During the three months ended September 30, 2023, we did not purchase any shares of our common stock under our share purchase plan. As of September 30, 2023, all of the $100.0 million available for purchase was remaining under the plan. We are currently limited on share purchases in accordance with the terms and conditions of our Credit Agreement (see Note 17: Long-Term Debt).</w:t>
      </w: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60" w:firstLine="172"/>
        <w:spacing w:after="0" w:line="259" w:lineRule="auto"/>
        <w:rPr>
          <w:sz w:val="20"/>
          <w:szCs w:val="20"/>
          <w:color w:val="auto"/>
        </w:rPr>
      </w:pPr>
      <w:r>
        <w:rPr>
          <w:rFonts w:ascii="Arial" w:cs="Arial" w:eastAsia="Arial" w:hAnsi="Arial"/>
          <w:sz w:val="17"/>
          <w:szCs w:val="17"/>
          <w:color w:val="auto"/>
        </w:rPr>
        <w:t>For the nine months ended September 30, 2023, we withheld 58,089 shares of our common stock from employee vested restricted stock units in consideration for $9.2 million in payments made on the employees' behalf for their minimum statutory income tax withholding obligations. For the nine months ended September 30, 2022, we withheld 45,370 shares of our common stock from employee vested restricted stock units in consideration for $10.5 million in payments made on the employees' behalf for their minimum statutory income tax withholding obligations. Treasury stock is used to issue shares for stock option exercises and restricted stock grants.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 Income ("AOCI")</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components of AOCI, net of tax, were as follows (in thousands):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6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Unrealized (Losses)</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Arial" w:cs="Arial" w:eastAsia="Arial" w:hAnsi="Arial"/>
                <w:sz w:val="17"/>
                <w:szCs w:val="17"/>
                <w:b w:val="1"/>
                <w:bCs w:val="1"/>
                <w:color w:val="auto"/>
                <w:w w:val="91"/>
              </w:rPr>
              <w:t>Translation</w:t>
            </w:r>
          </w:p>
        </w:tc>
        <w:tc>
          <w:tcPr>
            <w:tcW w:w="1680" w:type="dxa"/>
            <w:vAlign w:val="bottom"/>
            <w:gridSpan w:val="3"/>
          </w:tcPr>
          <w:p>
            <w:pPr>
              <w:jc w:val="center"/>
              <w:ind w:right="120"/>
              <w:spacing w:after="0" w:line="167" w:lineRule="exact"/>
              <w:rPr>
                <w:sz w:val="20"/>
                <w:szCs w:val="20"/>
                <w:color w:val="auto"/>
              </w:rPr>
            </w:pPr>
            <w:r>
              <w:rPr>
                <w:rFonts w:ascii="Arial" w:cs="Arial" w:eastAsia="Arial" w:hAnsi="Arial"/>
                <w:sz w:val="17"/>
                <w:szCs w:val="17"/>
                <w:b w:val="1"/>
                <w:bCs w:val="1"/>
                <w:color w:val="auto"/>
                <w:w w:val="91"/>
              </w:rPr>
              <w:t>Gains on Cash Flow</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30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4"/>
              </w:rPr>
              <w:t>Hedges</w:t>
            </w:r>
          </w:p>
        </w:tc>
        <w:tc>
          <w:tcPr>
            <w:tcW w:w="1680" w:type="dxa"/>
            <w:vAlign w:val="bottom"/>
            <w:gridSpan w:val="3"/>
          </w:tcPr>
          <w:p>
            <w:pPr>
              <w:ind w:left="60"/>
              <w:spacing w:after="0"/>
              <w:rPr>
                <w:sz w:val="20"/>
                <w:szCs w:val="20"/>
                <w:color w:val="auto"/>
              </w:rPr>
            </w:pPr>
            <w:r>
              <w:rPr>
                <w:rFonts w:ascii="Arial" w:cs="Arial" w:eastAsia="Arial" w:hAnsi="Arial"/>
                <w:sz w:val="17"/>
                <w:szCs w:val="17"/>
                <w:b w:val="1"/>
                <w:bCs w:val="1"/>
                <w:color w:val="auto"/>
              </w:rPr>
              <w:t>Other Adjustments</w:t>
            </w:r>
          </w:p>
        </w:tc>
        <w:tc>
          <w:tcPr>
            <w:tcW w:w="340" w:type="dxa"/>
            <w:vAlign w:val="bottom"/>
          </w:tcPr>
          <w:p>
            <w:pPr>
              <w:spacing w:after="0"/>
              <w:rPr>
                <w:sz w:val="20"/>
                <w:szCs w:val="20"/>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(122,973)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40,779</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(80,978)</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8" w:lineRule="exact"/>
              <w:rPr>
                <w:sz w:val="20"/>
                <w:szCs w:val="20"/>
                <w:color w:val="auto"/>
              </w:rPr>
            </w:pPr>
            <w:r>
              <w:rPr>
                <w:rFonts w:ascii="Arial" w:cs="Arial" w:eastAsia="Arial" w:hAnsi="Arial"/>
                <w:sz w:val="17"/>
                <w:szCs w:val="17"/>
                <w:color w:val="auto"/>
              </w:rPr>
              <w:t>Other comprehensive income (loss)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580" w:type="dxa"/>
            <w:vAlign w:val="bottom"/>
          </w:tcPr>
          <w:p>
            <w:pPr>
              <w:ind w:left="2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24,983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24,839</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(5,464)</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24,983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(5,577)</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19,375</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March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35,202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(61,603)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comprehensive (loss)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0" w:lineRule="exact"/>
              <w:rPr>
                <w:sz w:val="20"/>
                <w:szCs w:val="20"/>
                <w:color w:val="auto"/>
              </w:rPr>
            </w:pPr>
            <w:r>
              <w:rPr>
                <w:rFonts w:ascii="Arial" w:cs="Arial" w:eastAsia="Arial" w:hAnsi="Arial"/>
                <w:sz w:val="17"/>
                <w:szCs w:val="17"/>
                <w:color w:val="auto"/>
              </w:rPr>
              <w:t>7,569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line="190" w:lineRule="exact"/>
              <w:rPr>
                <w:sz w:val="20"/>
                <w:szCs w:val="20"/>
                <w:color w:val="auto"/>
              </w:rPr>
            </w:pPr>
            <w:r>
              <w:rPr>
                <w:rFonts w:ascii="Arial" w:cs="Arial" w:eastAsia="Arial" w:hAnsi="Arial"/>
                <w:sz w:val="17"/>
                <w:szCs w:val="17"/>
                <w:color w:val="auto"/>
              </w:rPr>
              <w:t>13,175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spacing w:after="0" w:line="190" w:lineRule="exact"/>
              <w:rPr>
                <w:sz w:val="20"/>
                <w:szCs w:val="20"/>
                <w:color w:val="auto"/>
              </w:rPr>
            </w:pPr>
            <w:r>
              <w:rPr>
                <w:rFonts w:ascii="Arial" w:cs="Arial" w:eastAsia="Arial" w:hAnsi="Arial"/>
                <w:sz w:val="17"/>
                <w:szCs w:val="17"/>
                <w:color w:val="auto"/>
              </w:rPr>
              <w:t>(34)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7"/>
                <w:szCs w:val="17"/>
                <w:color w:val="auto"/>
              </w:rPr>
              <w:t>20,710</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(7,901)</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7,569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5,274</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12,809</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40,476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(48,794)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comprehensive (loss)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0" w:lineRule="exact"/>
              <w:rPr>
                <w:sz w:val="20"/>
                <w:szCs w:val="20"/>
                <w:color w:val="auto"/>
              </w:rPr>
            </w:pPr>
            <w:r>
              <w:rPr>
                <w:rFonts w:ascii="Arial" w:cs="Arial" w:eastAsia="Arial" w:hAnsi="Arial"/>
                <w:sz w:val="17"/>
                <w:szCs w:val="17"/>
                <w:color w:val="auto"/>
              </w:rPr>
              <w:t>(37,557)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line="190" w:lineRule="exact"/>
              <w:rPr>
                <w:sz w:val="20"/>
                <w:szCs w:val="20"/>
                <w:color w:val="auto"/>
              </w:rPr>
            </w:pPr>
            <w:r>
              <w:rPr>
                <w:rFonts w:ascii="Arial" w:cs="Arial" w:eastAsia="Arial" w:hAnsi="Arial"/>
                <w:sz w:val="17"/>
                <w:szCs w:val="17"/>
                <w:color w:val="auto"/>
              </w:rPr>
              <w:t>10,824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spacing w:after="0" w:line="190" w:lineRule="exact"/>
              <w:rPr>
                <w:sz w:val="20"/>
                <w:szCs w:val="20"/>
                <w:color w:val="auto"/>
              </w:rPr>
            </w:pPr>
            <w:r>
              <w:rPr>
                <w:rFonts w:ascii="Arial" w:cs="Arial" w:eastAsia="Arial" w:hAnsi="Arial"/>
                <w:sz w:val="17"/>
                <w:szCs w:val="17"/>
                <w:color w:val="auto"/>
              </w:rPr>
              <w:t>(35)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7"/>
                <w:szCs w:val="17"/>
                <w:color w:val="auto"/>
              </w:rPr>
              <w:t>(26,768)</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(9,165)</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(37,557)</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1,659</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(35,933)</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(127,978)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42,135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(84,727)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6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Unrealized (Losses)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5" w:lineRule="exact"/>
              <w:rPr>
                <w:sz w:val="20"/>
                <w:szCs w:val="20"/>
                <w:color w:val="auto"/>
              </w:rPr>
            </w:pPr>
            <w:r>
              <w:rPr>
                <w:rFonts w:ascii="Arial" w:cs="Arial" w:eastAsia="Arial" w:hAnsi="Arial"/>
                <w:sz w:val="17"/>
                <w:szCs w:val="17"/>
                <w:b w:val="1"/>
                <w:bCs w:val="1"/>
                <w:color w:val="auto"/>
                <w:w w:val="91"/>
              </w:rPr>
              <w:t>Translation</w:t>
            </w:r>
          </w:p>
        </w:tc>
        <w:tc>
          <w:tcPr>
            <w:tcW w:w="1680" w:type="dxa"/>
            <w:vAlign w:val="bottom"/>
            <w:gridSpan w:val="3"/>
          </w:tcPr>
          <w:p>
            <w:pPr>
              <w:jc w:val="center"/>
              <w:ind w:right="120"/>
              <w:spacing w:after="0" w:line="175" w:lineRule="exact"/>
              <w:rPr>
                <w:sz w:val="20"/>
                <w:szCs w:val="20"/>
                <w:color w:val="auto"/>
              </w:rPr>
            </w:pPr>
            <w:r>
              <w:rPr>
                <w:rFonts w:ascii="Arial" w:cs="Arial" w:eastAsia="Arial" w:hAnsi="Arial"/>
                <w:sz w:val="17"/>
                <w:szCs w:val="17"/>
                <w:b w:val="1"/>
                <w:bCs w:val="1"/>
                <w:color w:val="auto"/>
                <w:w w:val="91"/>
              </w:rPr>
              <w:t>Gains on Cash Flow</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30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4"/>
              </w:rPr>
              <w:t>Hedges</w:t>
            </w:r>
          </w:p>
        </w:tc>
        <w:tc>
          <w:tcPr>
            <w:tcW w:w="1680" w:type="dxa"/>
            <w:vAlign w:val="bottom"/>
            <w:gridSpan w:val="3"/>
          </w:tcPr>
          <w:p>
            <w:pPr>
              <w:ind w:left="60"/>
              <w:spacing w:after="0"/>
              <w:rPr>
                <w:sz w:val="20"/>
                <w:szCs w:val="20"/>
                <w:color w:val="auto"/>
              </w:rPr>
            </w:pPr>
            <w:r>
              <w:rPr>
                <w:rFonts w:ascii="Arial" w:cs="Arial" w:eastAsia="Arial" w:hAnsi="Arial"/>
                <w:sz w:val="17"/>
                <w:szCs w:val="17"/>
                <w:b w:val="1"/>
                <w:bCs w:val="1"/>
                <w:color w:val="auto"/>
              </w:rPr>
              <w:t>Other Adjustments</w:t>
            </w:r>
          </w:p>
        </w:tc>
        <w:tc>
          <w:tcPr>
            <w:tcW w:w="340" w:type="dxa"/>
            <w:vAlign w:val="bottom"/>
          </w:tcPr>
          <w:p>
            <w:pPr>
              <w:spacing w:after="0"/>
              <w:rPr>
                <w:sz w:val="19"/>
                <w:szCs w:val="19"/>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(19,045)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(19,269)</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8" w:lineRule="exact"/>
              <w:rPr>
                <w:sz w:val="20"/>
                <w:szCs w:val="20"/>
                <w:color w:val="auto"/>
              </w:rPr>
            </w:pPr>
            <w:r>
              <w:rPr>
                <w:rFonts w:ascii="Arial" w:cs="Arial" w:eastAsia="Arial" w:hAnsi="Arial"/>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580" w:type="dxa"/>
            <w:vAlign w:val="bottom"/>
          </w:tcPr>
          <w:p>
            <w:pPr>
              <w:ind w:left="2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(4,946)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25,782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20,851</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23,572</w:t>
            </w: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18,641</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comprehensive (loss)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0" w:lineRule="exact"/>
              <w:rPr>
                <w:sz w:val="20"/>
                <w:szCs w:val="20"/>
                <w:color w:val="auto"/>
              </w:rPr>
            </w:pPr>
            <w:r>
              <w:rPr>
                <w:rFonts w:ascii="Arial" w:cs="Arial" w:eastAsia="Arial" w:hAnsi="Arial"/>
                <w:sz w:val="17"/>
                <w:szCs w:val="17"/>
                <w:color w:val="auto"/>
              </w:rPr>
              <w:t>(99,805)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line="190" w:lineRule="exact"/>
              <w:rPr>
                <w:sz w:val="20"/>
                <w:szCs w:val="20"/>
                <w:color w:val="auto"/>
              </w:rPr>
            </w:pPr>
            <w:r>
              <w:rPr>
                <w:rFonts w:ascii="Arial" w:cs="Arial" w:eastAsia="Arial" w:hAnsi="Arial"/>
                <w:sz w:val="17"/>
                <w:szCs w:val="17"/>
                <w:color w:val="auto"/>
              </w:rPr>
              <w:t>10,245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spacing w:after="0" w:line="190" w:lineRule="exact"/>
              <w:rPr>
                <w:sz w:val="20"/>
                <w:szCs w:val="20"/>
                <w:color w:val="auto"/>
              </w:rPr>
            </w:pPr>
            <w:r>
              <w:rPr>
                <w:rFonts w:ascii="Arial" w:cs="Arial" w:eastAsia="Arial" w:hAnsi="Arial"/>
                <w:sz w:val="17"/>
                <w:szCs w:val="17"/>
                <w:color w:val="auto"/>
              </w:rPr>
              <w:t>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7"/>
                <w:szCs w:val="17"/>
                <w:color w:val="auto"/>
              </w:rPr>
              <w:t>(89,546)</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(2,101)</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(99,805)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8,144</w:t>
            </w: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(91,647)</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(123,796)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31,479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(92,275)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Other comprehensive (loss) income before reclassifications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90" w:lineRule="exact"/>
              <w:rPr>
                <w:sz w:val="20"/>
                <w:szCs w:val="20"/>
                <w:color w:val="auto"/>
              </w:rPr>
            </w:pPr>
            <w:r>
              <w:rPr>
                <w:rFonts w:ascii="Arial" w:cs="Arial" w:eastAsia="Arial" w:hAnsi="Arial"/>
                <w:sz w:val="17"/>
                <w:szCs w:val="17"/>
                <w:color w:val="auto"/>
              </w:rPr>
              <w:t>(90,549)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line="190" w:lineRule="exact"/>
              <w:rPr>
                <w:sz w:val="20"/>
                <w:szCs w:val="20"/>
                <w:color w:val="auto"/>
              </w:rPr>
            </w:pPr>
            <w:r>
              <w:rPr>
                <w:rFonts w:ascii="Arial" w:cs="Arial" w:eastAsia="Arial" w:hAnsi="Arial"/>
                <w:sz w:val="17"/>
                <w:szCs w:val="17"/>
                <w:color w:val="auto"/>
              </w:rPr>
              <w:t>18,784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spacing w:after="0" w:line="190" w:lineRule="exact"/>
              <w:rPr>
                <w:sz w:val="20"/>
                <w:szCs w:val="20"/>
                <w:color w:val="auto"/>
              </w:rPr>
            </w:pPr>
            <w:r>
              <w:rPr>
                <w:rFonts w:ascii="Arial" w:cs="Arial" w:eastAsia="Arial" w:hAnsi="Arial"/>
                <w:sz w:val="17"/>
                <w:szCs w:val="17"/>
                <w:color w:val="auto"/>
              </w:rPr>
              <w:t>227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7"/>
                <w:szCs w:val="17"/>
                <w:color w:val="auto"/>
              </w:rPr>
              <w:t>(71,538)</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(90,549)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16,915</w:t>
            </w: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(73,407)</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(214,345)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48,394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(165,682)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43"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17" w:lineRule="exact"/>
        <w:rPr>
          <w:sz w:val="20"/>
          <w:szCs w:val="20"/>
          <w:color w:val="auto"/>
        </w:rPr>
      </w:pPr>
    </w:p>
    <w:p>
      <w:pPr>
        <w:ind w:firstLine="172"/>
        <w:spacing w:after="0" w:line="257"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Although we can provide no assurances, we have never incurred, nor do we expect to incur, any material liability for indemnification.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243" w:lineRule="exact"/>
        <w:rPr>
          <w:sz w:val="20"/>
          <w:szCs w:val="20"/>
          <w:color w:val="auto"/>
        </w:rPr>
      </w:pPr>
    </w:p>
    <w:p>
      <w:pPr>
        <w:ind w:right="20" w:firstLine="619"/>
        <w:spacing w:after="0" w:line="290" w:lineRule="auto"/>
        <w:rPr>
          <w:sz w:val="20"/>
          <w:szCs w:val="20"/>
          <w:color w:val="auto"/>
        </w:rPr>
      </w:pPr>
      <w:r>
        <w:rPr>
          <w:rFonts w:ascii="Arial" w:cs="Arial" w:eastAsia="Arial" w:hAnsi="Arial"/>
          <w:sz w:val="16"/>
          <w:szCs w:val="16"/>
          <w:color w:val="auto"/>
        </w:rPr>
        <w:t>On January 6, 2022, we acquired Smiths Medical. Total consideration for the acquisition includes a potential earn-out payment of $100.0 million in cash contingent on our common stock achieving a certain volume-weighted average price from the closing date to either the third or fourth anniversary of closing. As of September 30, 2023, the estimated fair value of the contingent earn-out is $7.1 million (see Note 9: Fair Value Measurements).</w:t>
      </w:r>
    </w:p>
    <w:p>
      <w:pPr>
        <w:spacing w:after="0" w:line="184" w:lineRule="exact"/>
        <w:rPr>
          <w:sz w:val="20"/>
          <w:szCs w:val="20"/>
          <w:color w:val="auto"/>
        </w:rPr>
      </w:pPr>
    </w:p>
    <w:p>
      <w:pPr>
        <w:ind w:right="160" w:firstLine="619"/>
        <w:spacing w:after="0" w:line="299" w:lineRule="auto"/>
        <w:rPr>
          <w:sz w:val="20"/>
          <w:szCs w:val="20"/>
          <w:color w:val="auto"/>
        </w:rPr>
      </w:pPr>
      <w:r>
        <w:rPr>
          <w:rFonts w:ascii="Arial" w:cs="Arial" w:eastAsia="Arial" w:hAnsi="Arial"/>
          <w:sz w:val="15"/>
          <w:szCs w:val="15"/>
          <w:color w:val="auto"/>
        </w:rPr>
        <w:t>Prior to being acquired, during 2021, Smiths Medical received a Warning Letter from the FDA following an inspection of Smiths Medical’s Oakdale, Minnesota Facility. The Warning Letter cited, among other things, failures to comply with FDA's medical device reporting requirements and failures to comply with applicable portions of the Quality System Regulation. A provision for the estimated costs related to the field service corrective action was recorded on the opening acquired balance sheet of Smiths Medical in the amount of $55.1 million. The initial estimate recorded was based on a probability-weighted estimate of the costs required to settle the obligation. The actual costs to be incurred are dependent upon the scope of the work necessary to achieve regulatory clearance and could differ from the original estimate. The estimated field service corrective action recorded at September 30, 2023 is $42.8 million.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December 31, 2022, the measurement period related to (i) above ended and based on the actual revenue achieved during the measurement period we determined that the fair value of the contingent earn-out was zero as the minimum threshold for earning the earn-out was not met. As of September 30, 2023, the estimated fair value of the contingent earn-out related to certain product-related regulatory certification was estimated to be $1.5 million (see Note 9: Fair Value Measurements).</w:t>
      </w:r>
    </w:p>
    <w:p>
      <w:pPr>
        <w:spacing w:after="0" w:line="211"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September 30, 2023, the estimated fair value of the contingent earn-out is $4.3 million (see Note 9: Fair Value Measurements).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non-cancelable operating lease agreements where we are contractually obligated to pay certain lease payment amounts (see Note 6: Leases).</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20:</w:t>
      </w:r>
      <w:r>
        <w:rPr>
          <w:sz w:val="20"/>
          <w:szCs w:val="20"/>
          <w:color w:val="auto"/>
        </w:rPr>
        <w:tab/>
      </w:r>
      <w:r>
        <w:rPr>
          <w:rFonts w:ascii="Arial" w:cs="Arial" w:eastAsia="Arial" w:hAnsi="Arial"/>
          <w:sz w:val="15"/>
          <w:szCs w:val="15"/>
          <w:b w:val="1"/>
          <w:bCs w:val="1"/>
          <w:color w:val="auto"/>
        </w:rPr>
        <w:t>Collaborative and Other Arrangements</w:t>
      </w:r>
    </w:p>
    <w:p>
      <w:pPr>
        <w:spacing w:after="0" w:line="249" w:lineRule="exact"/>
        <w:rPr>
          <w:sz w:val="20"/>
          <w:szCs w:val="20"/>
          <w:color w:val="auto"/>
        </w:rPr>
      </w:pPr>
    </w:p>
    <w:p>
      <w:pPr>
        <w:ind w:firstLine="172"/>
        <w:spacing w:after="0" w:line="272" w:lineRule="auto"/>
        <w:rPr>
          <w:sz w:val="20"/>
          <w:szCs w:val="20"/>
          <w:color w:val="auto"/>
        </w:rPr>
      </w:pPr>
      <w:r>
        <w:rPr>
          <w:rFonts w:ascii="Arial" w:cs="Arial" w:eastAsia="Arial" w:hAnsi="Arial"/>
          <w:sz w:val="16"/>
          <w:szCs w:val="16"/>
          <w:color w:val="auto"/>
        </w:rPr>
        <w:t>On February 3, 2017, we entered into two Manufacturing and Supply Agreements ("MSAs") whereby (i) Pfizer will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is subject to an annual update,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whereby Pfizer manufactures and supplies to us certain agreed upon products. The Product Addendum includes the supply of additional product to us subject to certain time and pricing terms and conditions. The Product Addendum includes a minimum purchase obligation of $29.6 million and expired on November 30, 2022. As of November 30, 2022, we had satisfied the minimum purchase obligations under the Product Addendum.</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7"/>
          <w:szCs w:val="17"/>
          <w:b w:val="1"/>
          <w:bCs w:val="1"/>
          <w:color w:val="auto"/>
        </w:rPr>
        <w:t>ICU MEDICAL, INC. AND SUBSIDIARIES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Accounts Receivable Purchase Program</w:t>
      </w:r>
    </w:p>
    <w:p>
      <w:pPr>
        <w:spacing w:after="0" w:line="249" w:lineRule="exact"/>
        <w:rPr>
          <w:sz w:val="20"/>
          <w:szCs w:val="20"/>
          <w:color w:val="auto"/>
        </w:rPr>
      </w:pPr>
    </w:p>
    <w:p>
      <w:pPr>
        <w:ind w:right="20" w:firstLine="619"/>
        <w:spacing w:after="0" w:line="273" w:lineRule="auto"/>
        <w:rPr>
          <w:sz w:val="20"/>
          <w:szCs w:val="20"/>
          <w:color w:val="auto"/>
        </w:rPr>
      </w:pPr>
      <w:r>
        <w:rPr>
          <w:rFonts w:ascii="Arial" w:cs="Arial" w:eastAsia="Arial" w:hAnsi="Arial"/>
          <w:sz w:val="16"/>
          <w:szCs w:val="16"/>
          <w:color w:val="auto"/>
        </w:rPr>
        <w:t>On January 19, 2023, we entered into a revolving $150 million uncommitted receivables purchase agreement with Bank of The West ("BOW") which provides for a less expensive form of capital. The discount rate applied to the sold receivables equals a rate per annum equal to the sum of (i) an applicable margin of 1.75%,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BOW has the right upon purchase to pledge and/or exchange the transferred assets without restrictions. The Company acts as collection agent for BOW and collection services are undertaken by our accounts receivable personnel in their normal course of business and collected funds are remitted to BOW.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related to the sold receivables.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the nine months ended September 30, 2023, the carrying value of trade receivables sold to BOW in connection with the purchase program was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$452.6 million. In exchange for the sale of trade receivables, we received cash of $450.0 million. For the three and nine months ended September 30, 2023,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sale of the receivables resulted in a loss of $1.0 million and $2.7 million, respectively, recorded in other expense, net in our condensed consolidated statement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the nine months ended September 30, 2023, we have collected and remitted $390.2 million in cash to BOW. As of September 30, 2023, cash</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remaining to be collected on behalf of BOW was $62.4 million, which has been removed from our condensed consolidated balance sheet as of September 30, 2023</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and is reflected as cash provided by operating activities in the condensed consolidated statement of cash flows. There were no such balances at December 31,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2022. The carrying value of the sold receivables approximated the fair value at September 30, 2023.</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Management’s Discussion and Analysis of Financial Condition and Results of Operations</w:t>
      </w:r>
    </w:p>
    <w:p>
      <w:pPr>
        <w:spacing w:after="0" w:line="223" w:lineRule="exact"/>
        <w:rPr>
          <w:sz w:val="20"/>
          <w:szCs w:val="20"/>
          <w:color w:val="auto"/>
        </w:rPr>
      </w:pPr>
    </w:p>
    <w:p>
      <w:pPr>
        <w:ind w:firstLine="172"/>
        <w:spacing w:after="0" w:line="25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condensed consolidated financial statements and accompanying notes in this Quarterly Report on Form 10-Q, as well as the audited consolidated financial statements and related notes thereto included in our 2022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the caption entitled “Forward-Looking Statements” in this section and Part I, Item 1A. “Risk Factors” in our 2022 Annual Report on Form 10-K.</w:t>
      </w:r>
    </w:p>
    <w:p>
      <w:pPr>
        <w:spacing w:after="0" w:line="183" w:lineRule="exact"/>
        <w:rPr>
          <w:sz w:val="20"/>
          <w:szCs w:val="20"/>
          <w:color w:val="auto"/>
        </w:rPr>
      </w:pPr>
    </w:p>
    <w:p>
      <w:pPr>
        <w:ind w:right="380" w:firstLine="172"/>
        <w:spacing w:after="0" w:line="279" w:lineRule="auto"/>
        <w:rPr>
          <w:sz w:val="20"/>
          <w:szCs w:val="20"/>
          <w:color w:val="auto"/>
        </w:rPr>
      </w:pPr>
      <w:r>
        <w:rPr>
          <w:rFonts w:ascii="Arial" w:cs="Arial" w:eastAsia="Arial" w:hAnsi="Arial"/>
          <w:sz w:val="17"/>
          <w:szCs w:val="17"/>
          <w:i w:val="1"/>
          <w:iCs w:val="1"/>
          <w:color w:val="auto"/>
        </w:rPr>
        <w:t>When used in this report, the terms “we,” “us,” and “our” refer to ICU Medical, Inc. ("ICU") and its consolidated subsidiaries included in our condensed consolidated financial statements unless context requires otherwise.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 and Highlights</w:t>
      </w:r>
    </w:p>
    <w:p>
      <w:pPr>
        <w:spacing w:after="0" w:line="236" w:lineRule="exact"/>
        <w:rPr>
          <w:sz w:val="20"/>
          <w:szCs w:val="20"/>
          <w:color w:val="auto"/>
        </w:rPr>
      </w:pPr>
    </w:p>
    <w:p>
      <w:pPr>
        <w:ind w:right="100" w:firstLine="619"/>
        <w:spacing w:after="0" w:line="244" w:lineRule="auto"/>
        <w:rPr>
          <w:sz w:val="20"/>
          <w:szCs w:val="20"/>
          <w:color w:val="auto"/>
        </w:rPr>
      </w:pPr>
      <w:r>
        <w:rPr>
          <w:rFonts w:ascii="Arial" w:cs="Arial" w:eastAsia="Arial" w:hAnsi="Arial"/>
          <w:sz w:val="17"/>
          <w:szCs w:val="17"/>
          <w:color w:val="auto"/>
        </w:rPr>
        <w:t>We develop, manufacture, and sell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49" w:lineRule="exact"/>
        <w:rPr>
          <w:sz w:val="20"/>
          <w:szCs w:val="20"/>
          <w:color w:val="auto"/>
        </w:rPr>
      </w:pPr>
    </w:p>
    <w:p>
      <w:pPr>
        <w:ind w:right="580" w:firstLine="619"/>
        <w:spacing w:after="0" w:line="279" w:lineRule="auto"/>
        <w:rPr>
          <w:sz w:val="20"/>
          <w:szCs w:val="20"/>
          <w:color w:val="auto"/>
        </w:rPr>
      </w:pPr>
      <w:r>
        <w:rPr>
          <w:rFonts w:ascii="Arial" w:cs="Arial" w:eastAsia="Arial" w:hAnsi="Arial"/>
          <w:sz w:val="17"/>
          <w:szCs w:val="17"/>
          <w:color w:val="auto"/>
        </w:rPr>
        <w:t>In 2023, our primary product offerings have been classified into our new business units as listed below. We have presented our financial results in accordance with these product lines: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Consumables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Consumables business unit includes Infusion Therapy, Oncology, Vascular Access and Tracheostomy products.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Infusion Therapy</w:t>
      </w:r>
    </w:p>
    <w:p>
      <w:pPr>
        <w:spacing w:after="0" w:line="243"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spacing w:after="0" w:line="204" w:lineRule="exact"/>
        <w:rPr>
          <w:sz w:val="20"/>
          <w:szCs w:val="20"/>
          <w:color w:val="auto"/>
        </w:rPr>
      </w:pPr>
    </w:p>
    <w:p>
      <w:pPr>
        <w:ind w:left="1240" w:right="240" w:hanging="309"/>
        <w:spacing w:after="0" w:line="266" w:lineRule="auto"/>
        <w:tabs>
          <w:tab w:leader="none" w:pos="1236"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Clave™ </w:t>
      </w:r>
      <w:r>
        <w:rPr>
          <w:rFonts w:ascii="Arial" w:cs="Arial" w:eastAsia="Arial" w:hAnsi="Arial"/>
          <w:sz w:val="17"/>
          <w:szCs w:val="17"/>
          <w:color w:val="auto"/>
        </w:rPr>
        <w:t>needlefree products, including the MicroClave, MicroClave Clear, and NanoClave</w:t>
      </w:r>
      <w:r>
        <w:rPr>
          <w:rFonts w:ascii="Arial" w:cs="Arial" w:eastAsia="Arial" w:hAnsi="Arial"/>
          <w:sz w:val="17"/>
          <w:szCs w:val="17"/>
          <w:i w:val="1"/>
          <w:iCs w:val="1"/>
          <w:color w:val="auto"/>
        </w:rPr>
        <w:t xml:space="preserve">™ </w:t>
      </w:r>
      <w:r>
        <w:rPr>
          <w:rFonts w:ascii="Arial" w:cs="Arial" w:eastAsia="Arial" w:hAnsi="Arial"/>
          <w:sz w:val="17"/>
          <w:szCs w:val="17"/>
          <w:color w:val="auto"/>
        </w:rPr>
        <w:t>brand of connectors, accessories, extension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sets used for the administration of IV fluids and medications and the Neutron catheter patency device, used to help maintain patency of central venous catheters;</w:t>
      </w:r>
    </w:p>
    <w:p>
      <w:pPr>
        <w:spacing w:after="0" w:line="215" w:lineRule="exact"/>
        <w:rPr>
          <w:rFonts w:ascii="Arial" w:cs="Arial" w:eastAsia="Arial" w:hAnsi="Arial"/>
          <w:sz w:val="17"/>
          <w:szCs w:val="17"/>
          <w:i w:val="1"/>
          <w:iCs w:val="1"/>
          <w:color w:val="auto"/>
        </w:rPr>
      </w:pPr>
    </w:p>
    <w:p>
      <w:pPr>
        <w:ind w:left="1240" w:hanging="309"/>
        <w:spacing w:after="0"/>
        <w:tabs>
          <w:tab w:leader="none" w:pos="1240" w:val="left"/>
        </w:tabs>
        <w:numPr>
          <w:ilvl w:val="0"/>
          <w:numId w:val="27"/>
        </w:numPr>
        <w:rPr>
          <w:rFonts w:ascii="Arial" w:cs="Arial" w:eastAsia="Arial" w:hAnsi="Arial"/>
          <w:sz w:val="21"/>
          <w:szCs w:val="21"/>
          <w:color w:val="auto"/>
        </w:rPr>
      </w:pPr>
      <w:r>
        <w:rPr>
          <w:rFonts w:ascii="Arial" w:cs="Arial" w:eastAsia="Arial" w:hAnsi="Arial"/>
          <w:sz w:val="17"/>
          <w:szCs w:val="17"/>
          <w:color w:val="auto"/>
        </w:rPr>
        <w:t>Neutron™ catheter patency device, used to help maintain patency of central venous catheters;</w:t>
      </w:r>
    </w:p>
    <w:p>
      <w:pPr>
        <w:spacing w:after="0" w:line="235" w:lineRule="exact"/>
        <w:rPr>
          <w:rFonts w:ascii="Arial" w:cs="Arial" w:eastAsia="Arial" w:hAnsi="Arial"/>
          <w:sz w:val="21"/>
          <w:szCs w:val="21"/>
          <w:color w:val="auto"/>
        </w:rPr>
      </w:pPr>
    </w:p>
    <w:p>
      <w:pPr>
        <w:ind w:left="1240" w:hanging="309"/>
        <w:spacing w:after="0"/>
        <w:tabs>
          <w:tab w:leader="none" w:pos="1240" w:val="left"/>
        </w:tabs>
        <w:numPr>
          <w:ilvl w:val="0"/>
          <w:numId w:val="27"/>
        </w:numPr>
        <w:rPr>
          <w:rFonts w:ascii="Arial" w:cs="Arial" w:eastAsia="Arial" w:hAnsi="Arial"/>
          <w:sz w:val="21"/>
          <w:szCs w:val="21"/>
          <w:color w:val="auto"/>
        </w:rPr>
      </w:pPr>
      <w:r>
        <w:rPr>
          <w:rFonts w:ascii="Arial" w:cs="Arial" w:eastAsia="Arial" w:hAnsi="Arial"/>
          <w:sz w:val="17"/>
          <w:szCs w:val="17"/>
          <w:color w:val="auto"/>
        </w:rPr>
        <w:t>Tego™ needlefree connector utilized to access catheters for hemodialysis and apheresis applications; and</w:t>
      </w:r>
    </w:p>
    <w:p>
      <w:pPr>
        <w:spacing w:after="0" w:line="235" w:lineRule="exact"/>
        <w:rPr>
          <w:rFonts w:ascii="Arial" w:cs="Arial" w:eastAsia="Arial" w:hAnsi="Arial"/>
          <w:sz w:val="21"/>
          <w:szCs w:val="21"/>
          <w:color w:val="auto"/>
        </w:rPr>
      </w:pPr>
    </w:p>
    <w:p>
      <w:pPr>
        <w:ind w:left="1240" w:hanging="309"/>
        <w:spacing w:after="0"/>
        <w:tabs>
          <w:tab w:leader="none" w:pos="1240" w:val="left"/>
        </w:tabs>
        <w:numPr>
          <w:ilvl w:val="0"/>
          <w:numId w:val="27"/>
        </w:numPr>
        <w:rPr>
          <w:rFonts w:ascii="Arial" w:cs="Arial" w:eastAsia="Arial" w:hAnsi="Arial"/>
          <w:sz w:val="21"/>
          <w:szCs w:val="21"/>
          <w:color w:val="auto"/>
        </w:rPr>
      </w:pPr>
      <w:r>
        <w:rPr>
          <w:rFonts w:ascii="Arial" w:cs="Arial" w:eastAsia="Arial" w:hAnsi="Arial"/>
          <w:sz w:val="17"/>
          <w:szCs w:val="17"/>
          <w:color w:val="auto"/>
        </w:rPr>
        <w:t>ClearGuard™, SwabCap™ and SwabTip™ disinfection caps.</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Oncology</w:t>
      </w:r>
    </w:p>
    <w:p>
      <w:pPr>
        <w:spacing w:after="0" w:line="243" w:lineRule="exact"/>
        <w:rPr>
          <w:sz w:val="20"/>
          <w:szCs w:val="20"/>
          <w:color w:val="auto"/>
        </w:rPr>
      </w:pPr>
    </w:p>
    <w:p>
      <w:pPr>
        <w:ind w:right="120" w:firstLine="619"/>
        <w:spacing w:after="0" w:line="349" w:lineRule="auto"/>
        <w:rPr>
          <w:sz w:val="20"/>
          <w:szCs w:val="20"/>
          <w:color w:val="auto"/>
        </w:rPr>
      </w:pPr>
      <w:r>
        <w:rPr>
          <w:rFonts w:ascii="Arial" w:cs="Arial" w:eastAsia="Arial" w:hAnsi="Arial"/>
          <w:sz w:val="15"/>
          <w:szCs w:val="15"/>
          <w:color w:val="auto"/>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40" w:right="60" w:hanging="309"/>
        <w:spacing w:after="0" w:line="237" w:lineRule="auto"/>
        <w:tabs>
          <w:tab w:leader="none" w:pos="1236"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ChemoLock</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CSTD, which utilizes a proprietary needlefree connection method, is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ChemoLock is used to limit the escape of hazardous drug or vapor concentrations, block the transfer of environmental contaminants into the system, and eliminates the risk of needlestick injury;</w:t>
      </w:r>
    </w:p>
    <w:p>
      <w:pPr>
        <w:spacing w:after="0" w:line="215" w:lineRule="exact"/>
        <w:rPr>
          <w:rFonts w:ascii="Arial" w:cs="Arial" w:eastAsia="Arial" w:hAnsi="Arial"/>
          <w:sz w:val="17"/>
          <w:szCs w:val="17"/>
          <w:color w:val="auto"/>
        </w:rPr>
      </w:pPr>
    </w:p>
    <w:p>
      <w:pPr>
        <w:ind w:left="1240" w:right="60" w:hanging="309"/>
        <w:spacing w:after="0" w:line="241" w:lineRule="auto"/>
        <w:tabs>
          <w:tab w:leader="none" w:pos="1236"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 drugs.</w:t>
      </w:r>
      <w:r>
        <w:rPr>
          <w:rFonts w:ascii="Arial" w:cs="Arial" w:eastAsia="Arial" w:hAnsi="Arial"/>
          <w:sz w:val="17"/>
          <w:szCs w:val="17"/>
          <w:i w:val="1"/>
          <w:iCs w:val="1"/>
          <w:color w:val="auto"/>
        </w:rPr>
        <w:t xml:space="preserve"> </w:t>
      </w:r>
      <w:r>
        <w:rPr>
          <w:rFonts w:ascii="Arial" w:cs="Arial" w:eastAsia="Arial" w:hAnsi="Arial"/>
          <w:sz w:val="17"/>
          <w:szCs w:val="17"/>
          <w:color w:val="auto"/>
        </w:rPr>
        <w:t>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52" w:lineRule="exact"/>
        <w:rPr>
          <w:rFonts w:ascii="Arial" w:cs="Arial" w:eastAsia="Arial" w:hAnsi="Arial"/>
          <w:sz w:val="17"/>
          <w:szCs w:val="17"/>
          <w:color w:val="auto"/>
        </w:rPr>
      </w:pPr>
    </w:p>
    <w:p>
      <w:pPr>
        <w:ind w:left="1240" w:hanging="309"/>
        <w:spacing w:after="0"/>
        <w:tabs>
          <w:tab w:leader="none" w:pos="1240" w:val="left"/>
        </w:tabs>
        <w:numPr>
          <w:ilvl w:val="0"/>
          <w:numId w:val="28"/>
        </w:numPr>
        <w:rPr>
          <w:rFonts w:ascii="Arial" w:cs="Arial" w:eastAsia="Arial" w:hAnsi="Arial"/>
          <w:sz w:val="21"/>
          <w:szCs w:val="21"/>
          <w:i w:val="1"/>
          <w:iCs w:val="1"/>
          <w:color w:val="auto"/>
        </w:rPr>
      </w:pPr>
      <w:r>
        <w:rPr>
          <w:rFonts w:ascii="Arial" w:cs="Arial" w:eastAsia="Arial" w:hAnsi="Arial"/>
          <w:sz w:val="17"/>
          <w:szCs w:val="17"/>
          <w:i w:val="1"/>
          <w:iCs w:val="1"/>
          <w:color w:val="auto"/>
        </w:rPr>
        <w:t>Deltec</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GRIPPER</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non-coring needles for portal access.</w:t>
      </w:r>
    </w:p>
    <w:p>
      <w:pPr>
        <w:spacing w:after="0" w:line="192" w:lineRule="exact"/>
        <w:rPr>
          <w:sz w:val="20"/>
          <w:szCs w:val="20"/>
          <w:color w:val="auto"/>
        </w:rPr>
      </w:pPr>
    </w:p>
    <w:p>
      <w:pPr>
        <w:ind w:firstLine="619"/>
        <w:spacing w:after="0" w:line="318" w:lineRule="auto"/>
        <w:rPr>
          <w:sz w:val="20"/>
          <w:szCs w:val="20"/>
          <w:color w:val="auto"/>
        </w:rPr>
      </w:pPr>
      <w:r>
        <w:rPr>
          <w:rFonts w:ascii="Arial" w:cs="Arial" w:eastAsia="Arial" w:hAnsi="Arial"/>
          <w:sz w:val="15"/>
          <w:szCs w:val="15"/>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Vascular Access</w:t>
      </w:r>
    </w:p>
    <w:p>
      <w:pPr>
        <w:spacing w:after="0" w:line="243"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Our vascular access products allow clinicians to safely access the patients' bloodstream to deliver fluids and medication or to obtain blood samples. Our primary Vascular Access products are:</w:t>
      </w:r>
    </w:p>
    <w:p>
      <w:pPr>
        <w:spacing w:after="0" w:line="190" w:lineRule="exact"/>
        <w:rPr>
          <w:sz w:val="20"/>
          <w:szCs w:val="20"/>
          <w:color w:val="auto"/>
        </w:rPr>
      </w:pPr>
    </w:p>
    <w:p>
      <w:pPr>
        <w:ind w:left="1240" w:right="140" w:hanging="309"/>
        <w:spacing w:after="0" w:line="226" w:lineRule="auto"/>
        <w:tabs>
          <w:tab w:leader="none" w:pos="1236"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Jelco</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safety and conventional peripheral IV catheters and sharps safety devices for hypodermic injection, designed to help prevent accidental</w:t>
      </w:r>
      <w:r>
        <w:rPr>
          <w:rFonts w:ascii="Arial" w:cs="Arial" w:eastAsia="Arial" w:hAnsi="Arial"/>
          <w:sz w:val="17"/>
          <w:szCs w:val="17"/>
          <w:i w:val="1"/>
          <w:iCs w:val="1"/>
          <w:color w:val="auto"/>
        </w:rPr>
        <w:t xml:space="preserve"> </w:t>
      </w:r>
      <w:r>
        <w:rPr>
          <w:rFonts w:ascii="Arial" w:cs="Arial" w:eastAsia="Arial" w:hAnsi="Arial"/>
          <w:sz w:val="17"/>
          <w:szCs w:val="17"/>
          <w:color w:val="auto"/>
        </w:rPr>
        <w:t>needlestick injury;</w:t>
      </w:r>
    </w:p>
    <w:p>
      <w:pPr>
        <w:spacing w:after="0" w:line="222" w:lineRule="exact"/>
        <w:rPr>
          <w:rFonts w:ascii="Arial" w:cs="Arial" w:eastAsia="Arial" w:hAnsi="Arial"/>
          <w:sz w:val="17"/>
          <w:szCs w:val="17"/>
          <w:i w:val="1"/>
          <w:iCs w:val="1"/>
          <w:color w:val="auto"/>
        </w:rPr>
      </w:pPr>
    </w:p>
    <w:p>
      <w:pPr>
        <w:ind w:left="1240" w:hanging="3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Safe-T Wing</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venipuncture and blood collection devices;</w:t>
      </w:r>
    </w:p>
    <w:p>
      <w:pPr>
        <w:spacing w:after="0" w:line="185" w:lineRule="exact"/>
        <w:rPr>
          <w:rFonts w:ascii="Arial" w:cs="Arial" w:eastAsia="Arial" w:hAnsi="Arial"/>
          <w:sz w:val="17"/>
          <w:szCs w:val="17"/>
          <w:color w:val="auto"/>
        </w:rPr>
      </w:pPr>
    </w:p>
    <w:p>
      <w:pPr>
        <w:ind w:left="1240" w:hanging="3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Port-A-Cath</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implantable ports;</w:t>
      </w:r>
    </w:p>
    <w:p>
      <w:pPr>
        <w:spacing w:after="0" w:line="185" w:lineRule="exact"/>
        <w:rPr>
          <w:rFonts w:ascii="Arial" w:cs="Arial" w:eastAsia="Arial" w:hAnsi="Arial"/>
          <w:sz w:val="17"/>
          <w:szCs w:val="17"/>
          <w:color w:val="auto"/>
        </w:rPr>
      </w:pPr>
    </w:p>
    <w:p>
      <w:pPr>
        <w:ind w:left="1240" w:hanging="3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Portex</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arterial blood sampling syringes;</w:t>
      </w:r>
    </w:p>
    <w:p>
      <w:pPr>
        <w:spacing w:after="0" w:line="224" w:lineRule="exact"/>
        <w:rPr>
          <w:rFonts w:ascii="Arial" w:cs="Arial" w:eastAsia="Arial" w:hAnsi="Arial"/>
          <w:sz w:val="17"/>
          <w:szCs w:val="17"/>
          <w:color w:val="auto"/>
        </w:rPr>
      </w:pPr>
    </w:p>
    <w:p>
      <w:pPr>
        <w:ind w:left="1240" w:hanging="309"/>
        <w:spacing w:after="0"/>
        <w:tabs>
          <w:tab w:leader="none" w:pos="1240" w:val="left"/>
        </w:tabs>
        <w:numPr>
          <w:ilvl w:val="0"/>
          <w:numId w:val="29"/>
        </w:numPr>
        <w:rPr>
          <w:rFonts w:ascii="Arial" w:cs="Arial" w:eastAsia="Arial" w:hAnsi="Arial"/>
          <w:sz w:val="21"/>
          <w:szCs w:val="21"/>
          <w:color w:val="auto"/>
        </w:rPr>
      </w:pPr>
      <w:r>
        <w:rPr>
          <w:rFonts w:ascii="Arial" w:cs="Arial" w:eastAsia="Arial" w:hAnsi="Arial"/>
          <w:sz w:val="17"/>
          <w:szCs w:val="17"/>
          <w:i w:val="1"/>
          <w:iCs w:val="1"/>
          <w:color w:val="auto"/>
        </w:rPr>
        <w:t>PowerWand</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midline catheters; and</w:t>
      </w:r>
    </w:p>
    <w:p>
      <w:pPr>
        <w:spacing w:after="0" w:line="224" w:lineRule="exact"/>
        <w:rPr>
          <w:rFonts w:ascii="Arial" w:cs="Arial" w:eastAsia="Arial" w:hAnsi="Arial"/>
          <w:sz w:val="21"/>
          <w:szCs w:val="21"/>
          <w:color w:val="auto"/>
        </w:rPr>
      </w:pPr>
    </w:p>
    <w:p>
      <w:pPr>
        <w:ind w:left="1240" w:hanging="309"/>
        <w:spacing w:after="0"/>
        <w:tabs>
          <w:tab w:leader="none" w:pos="1240" w:val="left"/>
        </w:tabs>
        <w:numPr>
          <w:ilvl w:val="0"/>
          <w:numId w:val="29"/>
        </w:numPr>
        <w:rPr>
          <w:rFonts w:ascii="Arial" w:cs="Arial" w:eastAsia="Arial" w:hAnsi="Arial"/>
          <w:sz w:val="21"/>
          <w:szCs w:val="21"/>
          <w:color w:val="auto"/>
        </w:rPr>
      </w:pPr>
      <w:r>
        <w:rPr>
          <w:rFonts w:ascii="Arial" w:cs="Arial" w:eastAsia="Arial" w:hAnsi="Arial"/>
          <w:sz w:val="17"/>
          <w:szCs w:val="17"/>
          <w:i w:val="1"/>
          <w:iCs w:val="1"/>
          <w:color w:val="auto"/>
        </w:rPr>
        <w:t>Cleo</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subcutaneous infusion catheters and sets.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Tracheostomy</w:t>
      </w:r>
    </w:p>
    <w:p>
      <w:pPr>
        <w:spacing w:after="0" w:line="243" w:lineRule="exact"/>
        <w:rPr>
          <w:sz w:val="20"/>
          <w:szCs w:val="20"/>
          <w:color w:val="auto"/>
        </w:rPr>
      </w:pPr>
    </w:p>
    <w:p>
      <w:pPr>
        <w:ind w:left="620" w:right="160"/>
        <w:spacing w:after="0" w:line="264" w:lineRule="auto"/>
        <w:rPr>
          <w:sz w:val="20"/>
          <w:szCs w:val="20"/>
          <w:color w:val="auto"/>
        </w:rPr>
      </w:pPr>
      <w:r>
        <w:rPr>
          <w:rFonts w:ascii="Arial" w:cs="Arial" w:eastAsia="Arial" w:hAnsi="Arial"/>
          <w:sz w:val="17"/>
          <w:szCs w:val="17"/>
          <w:color w:val="auto"/>
        </w:rPr>
        <w:t>Our tracheostomy products enable placement of a secure airway using both surgical and percutaneous insertion techniques. Our primary Tracheostomy products includes:</w:t>
      </w:r>
    </w:p>
    <w:p>
      <w:pPr>
        <w:spacing w:after="0" w:line="227" w:lineRule="exact"/>
        <w:rPr>
          <w:sz w:val="20"/>
          <w:szCs w:val="20"/>
          <w:color w:val="auto"/>
        </w:rPr>
      </w:pPr>
    </w:p>
    <w:p>
      <w:pPr>
        <w:ind w:left="1240" w:right="760" w:hanging="309"/>
        <w:spacing w:after="0" w:line="226" w:lineRule="auto"/>
        <w:tabs>
          <w:tab w:leader="none" w:pos="1235" w:val="left"/>
        </w:tabs>
        <w:numPr>
          <w:ilvl w:val="0"/>
          <w:numId w:val="30"/>
        </w:numPr>
        <w:rPr>
          <w:rFonts w:ascii="Arial" w:cs="Arial" w:eastAsia="Arial" w:hAnsi="Arial"/>
          <w:sz w:val="21"/>
          <w:szCs w:val="21"/>
          <w:color w:val="auto"/>
        </w:rPr>
      </w:pPr>
      <w:r>
        <w:rPr>
          <w:rFonts w:ascii="Arial" w:cs="Arial" w:eastAsia="Arial" w:hAnsi="Arial"/>
          <w:sz w:val="17"/>
          <w:szCs w:val="17"/>
          <w:color w:val="auto"/>
        </w:rPr>
        <w:t>Portex BLUselect</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PVC tracheostomy tubes feature an inner cannula as well as a Suctionaid option for above the cuff suctioning and vocalization capability;</w:t>
      </w:r>
    </w:p>
    <w:p>
      <w:pPr>
        <w:spacing w:after="0" w:line="260" w:lineRule="exact"/>
        <w:rPr>
          <w:rFonts w:ascii="Arial" w:cs="Arial" w:eastAsia="Arial" w:hAnsi="Arial"/>
          <w:sz w:val="21"/>
          <w:szCs w:val="21"/>
          <w:color w:val="auto"/>
        </w:rPr>
      </w:pPr>
    </w:p>
    <w:p>
      <w:pPr>
        <w:ind w:left="1240" w:right="180" w:hanging="309"/>
        <w:spacing w:after="0" w:line="233" w:lineRule="auto"/>
        <w:tabs>
          <w:tab w:leader="none" w:pos="1235" w:val="left"/>
        </w:tabs>
        <w:numPr>
          <w:ilvl w:val="0"/>
          <w:numId w:val="30"/>
        </w:numPr>
        <w:rPr>
          <w:rFonts w:ascii="Arial" w:cs="Arial" w:eastAsia="Arial" w:hAnsi="Arial"/>
          <w:sz w:val="21"/>
          <w:szCs w:val="21"/>
          <w:color w:val="auto"/>
        </w:rPr>
      </w:pPr>
      <w:r>
        <w:rPr>
          <w:rFonts w:ascii="Arial" w:cs="Arial" w:eastAsia="Arial" w:hAnsi="Arial"/>
          <w:sz w:val="17"/>
          <w:szCs w:val="17"/>
          <w:color w:val="auto"/>
        </w:rPr>
        <w:t>Portex Bivona</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silicone tracheostomy tubes offer the added benefits of comfort and mobility and come in a variety of configurations suited to meet the clinical needs of neonatal through adult patients; and</w:t>
      </w:r>
    </w:p>
    <w:p>
      <w:pPr>
        <w:spacing w:after="0" w:line="253" w:lineRule="exact"/>
        <w:rPr>
          <w:rFonts w:ascii="Arial" w:cs="Arial" w:eastAsia="Arial" w:hAnsi="Arial"/>
          <w:sz w:val="21"/>
          <w:szCs w:val="21"/>
          <w:color w:val="auto"/>
        </w:rPr>
      </w:pPr>
    </w:p>
    <w:p>
      <w:pPr>
        <w:ind w:left="1240" w:hanging="309"/>
        <w:spacing w:after="0"/>
        <w:tabs>
          <w:tab w:leader="none" w:pos="1240" w:val="left"/>
        </w:tabs>
        <w:numPr>
          <w:ilvl w:val="0"/>
          <w:numId w:val="30"/>
        </w:numPr>
        <w:rPr>
          <w:rFonts w:ascii="Arial" w:cs="Arial" w:eastAsia="Arial" w:hAnsi="Arial"/>
          <w:sz w:val="21"/>
          <w:szCs w:val="21"/>
          <w:color w:val="auto"/>
        </w:rPr>
      </w:pPr>
      <w:r>
        <w:rPr>
          <w:rFonts w:ascii="Arial" w:cs="Arial" w:eastAsia="Arial" w:hAnsi="Arial"/>
          <w:sz w:val="17"/>
          <w:szCs w:val="17"/>
          <w:color w:val="auto"/>
        </w:rPr>
        <w:t>Portex BLUperc</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percutaneous insertion kits allow for safe placement of the tracheostomy tube at the bedside.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offer a wide range of infusion pumps, dedicated IV sets, software and professional services. Our primary Infusion System products are:</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Large Volume Pump ("LVP") Hardware and Dedicated IV Sets:</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40" w:right="20" w:hanging="309"/>
        <w:spacing w:after="0" w:line="283" w:lineRule="auto"/>
        <w:tabs>
          <w:tab w:leader="none" w:pos="123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Plum 360™</w:t>
      </w:r>
      <w:r>
        <w:rPr>
          <w:rFonts w:ascii="Arial" w:cs="Arial" w:eastAsia="Arial" w:hAnsi="Arial"/>
          <w:sz w:val="16"/>
          <w:szCs w:val="16"/>
          <w:color w:val="auto"/>
        </w:rPr>
        <w:t>: The Plum 360™ infusion pump is an ICU Medical MedNet™ ready large volume infusion pump with an extensive drug library and</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capability. The pumps work with dedicated IV sets. Plum 360 was named the 2018, 2019, 2020, and 2022 Best in KLAS winner as top-performing IV smart pump and was the first medical device to be awarded UL Cybersecurity Assurance Program Certification. Also, in 2021 2022 and 2023, the Plum 360 won the award as the top-performing Smart Pump EMR-Integrated.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Ambulatory Infusion Hardware:</w:t>
      </w:r>
    </w:p>
    <w:p>
      <w:pPr>
        <w:spacing w:after="0" w:line="236" w:lineRule="exact"/>
        <w:rPr>
          <w:sz w:val="20"/>
          <w:szCs w:val="20"/>
          <w:color w:val="auto"/>
        </w:rPr>
      </w:pPr>
    </w:p>
    <w:p>
      <w:pPr>
        <w:ind w:left="1240" w:right="280" w:hanging="309"/>
        <w:spacing w:after="0" w:line="230" w:lineRule="auto"/>
        <w:tabs>
          <w:tab w:leader="none" w:pos="123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CADD</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ambulatory infusion pumps and disposables, including administration sets and medication cassette reservoirs, support a variety of IV</w:t>
      </w:r>
      <w:r>
        <w:rPr>
          <w:rFonts w:ascii="Arial" w:cs="Arial" w:eastAsia="Arial" w:hAnsi="Arial"/>
          <w:sz w:val="17"/>
          <w:szCs w:val="17"/>
          <w:i w:val="1"/>
          <w:iCs w:val="1"/>
          <w:color w:val="auto"/>
        </w:rPr>
        <w:t xml:space="preserve"> </w:t>
      </w:r>
      <w:r>
        <w:rPr>
          <w:rFonts w:ascii="Arial" w:cs="Arial" w:eastAsia="Arial" w:hAnsi="Arial"/>
          <w:sz w:val="17"/>
          <w:szCs w:val="17"/>
          <w:color w:val="auto"/>
        </w:rPr>
        <w:t>pain management therapies across clinical care areas from hospital to outpatient treatment.</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Syringe Infusion Hardware:</w:t>
      </w:r>
    </w:p>
    <w:p>
      <w:pPr>
        <w:spacing w:after="0" w:line="236" w:lineRule="exact"/>
        <w:rPr>
          <w:sz w:val="20"/>
          <w:szCs w:val="20"/>
          <w:color w:val="auto"/>
        </w:rPr>
      </w:pPr>
    </w:p>
    <w:p>
      <w:pPr>
        <w:ind w:left="1240" w:right="240" w:hanging="309"/>
        <w:spacing w:after="0" w:line="230" w:lineRule="auto"/>
        <w:tabs>
          <w:tab w:leader="none" w:pos="1236"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Medfusion</w:t>
      </w:r>
      <w:r>
        <w:rPr>
          <w:rFonts w:ascii="Arial" w:cs="Arial" w:eastAsia="Arial" w:hAnsi="Arial"/>
          <w:sz w:val="22"/>
          <w:szCs w:val="22"/>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syringe infusion pumps are designed for the administration of fluids and medication requiring precisely controlled infusion rates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variety of syringe sizes in acute care settings.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Medication Safety Software:</w:t>
      </w:r>
    </w:p>
    <w:p>
      <w:pPr>
        <w:spacing w:after="0" w:line="243" w:lineRule="exact"/>
        <w:rPr>
          <w:sz w:val="20"/>
          <w:szCs w:val="20"/>
          <w:color w:val="auto"/>
        </w:rPr>
      </w:pPr>
    </w:p>
    <w:p>
      <w:pPr>
        <w:ind w:left="1240" w:right="20" w:hanging="309"/>
        <w:spacing w:after="0" w:line="262" w:lineRule="auto"/>
        <w:tabs>
          <w:tab w:leader="none" w:pos="1236"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ICU Medical MedNet</w:t>
      </w:r>
      <w:r>
        <w:rPr>
          <w:rFonts w:ascii="Arial" w:cs="Arial" w:eastAsia="Arial" w:hAnsi="Arial"/>
          <w:sz w:val="17"/>
          <w:szCs w:val="17"/>
          <w:color w:val="auto"/>
        </w:rPr>
        <w:t>™: ICU Medical MedNet is an enterprise-class medication management platform for any sized healthcare system that can</w:t>
      </w:r>
      <w:r>
        <w:rPr>
          <w:rFonts w:ascii="Arial" w:cs="Arial" w:eastAsia="Arial" w:hAnsi="Arial"/>
          <w:sz w:val="17"/>
          <w:szCs w:val="17"/>
          <w:i w:val="1"/>
          <w:iCs w:val="1"/>
          <w:color w:val="auto"/>
        </w:rPr>
        <w:t xml:space="preserve"> </w:t>
      </w:r>
      <w:r>
        <w:rPr>
          <w:rFonts w:ascii="Arial" w:cs="Arial" w:eastAsia="Arial" w:hAnsi="Arial"/>
          <w:sz w:val="17"/>
          <w:szCs w:val="17"/>
          <w:color w:val="auto"/>
        </w:rPr>
        <w:t>help reduce medication errors, improve quality of care, streamline workflows and maximize revenue capture. ICU Medical MedNet connects our industry-leading smart pumps to a hospital’s EHR, asset tracking systems, and alarm notification platforms with the largest array of integration partners.</w:t>
      </w:r>
    </w:p>
    <w:p>
      <w:pPr>
        <w:spacing w:after="0" w:line="196" w:lineRule="exact"/>
        <w:rPr>
          <w:rFonts w:ascii="Arial" w:cs="Arial" w:eastAsia="Arial" w:hAnsi="Arial"/>
          <w:sz w:val="17"/>
          <w:szCs w:val="17"/>
          <w:color w:val="auto"/>
        </w:rPr>
      </w:pPr>
    </w:p>
    <w:p>
      <w:pPr>
        <w:ind w:left="1240" w:right="340" w:hanging="309"/>
        <w:spacing w:after="0" w:line="230" w:lineRule="auto"/>
        <w:tabs>
          <w:tab w:leader="none" w:pos="1236"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PharmGuard</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Medication Safety Software for Medfusion</w:t>
      </w:r>
      <w:r>
        <w:rPr>
          <w:rFonts w:ascii="Arial" w:cs="Arial" w:eastAsia="Arial" w:hAnsi="Arial"/>
          <w:sz w:val="22"/>
          <w:szCs w:val="22"/>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4000 syringe and CADD™ Solis pumps allows for customized drug libraries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the standardization of protocols for medication administration throughout the facility.</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Professional Services:</w:t>
      </w:r>
    </w:p>
    <w:p>
      <w:pPr>
        <w:spacing w:after="0" w:line="243" w:lineRule="exact"/>
        <w:rPr>
          <w:sz w:val="20"/>
          <w:szCs w:val="20"/>
          <w:color w:val="auto"/>
        </w:rPr>
      </w:pPr>
    </w:p>
    <w:p>
      <w:pPr>
        <w:ind w:left="1240" w:hanging="309"/>
        <w:spacing w:after="0" w:line="266" w:lineRule="auto"/>
        <w:tabs>
          <w:tab w:leader="none" w:pos="12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Vital Care</w:t>
      </w:r>
    </w:p>
    <w:p>
      <w:pPr>
        <w:spacing w:after="0" w:line="243"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Our Vital Care business unit includes IV Solutions, Critical Care, General Anesthesia and Respiratory, Temperature Management Solutions and Regional Anesthesia/Pain Management products.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IV Solutions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IV Solutions products include a broad portfolio of injection, irrigation, nutrition and specialty IV solutions including:</w:t>
      </w:r>
    </w:p>
    <w:p>
      <w:pPr>
        <w:spacing w:after="0" w:line="243"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IV Therapy and Diluents:</w:t>
      </w:r>
    </w:p>
    <w:p>
      <w:pPr>
        <w:spacing w:after="0" w:line="243" w:lineRule="exact"/>
        <w:rPr>
          <w:sz w:val="20"/>
          <w:szCs w:val="20"/>
          <w:color w:val="auto"/>
        </w:rPr>
      </w:pPr>
    </w:p>
    <w:p>
      <w:pPr>
        <w:ind w:left="1240" w:right="320" w:hanging="309"/>
        <w:spacing w:after="0" w:line="279" w:lineRule="auto"/>
        <w:tabs>
          <w:tab w:leader="none" w:pos="12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Including Sodium Chloride, Dextrose, Balanced Electrolyte Solutions, Lactated Ringer's, Ringer's, Mannitol, Sodium Chloride/Dextrose and Sterile Water.</w:t>
      </w:r>
    </w:p>
    <w:p>
      <w:pPr>
        <w:spacing w:after="0" w:line="190"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i w:val="1"/>
          <w:iCs w:val="1"/>
          <w:color w:val="auto"/>
        </w:rPr>
        <w:t>Irrigation:</w:t>
      </w:r>
    </w:p>
    <w:p>
      <w:pPr>
        <w:spacing w:after="0" w:line="242" w:lineRule="exact"/>
        <w:rPr>
          <w:rFonts w:ascii="Arial" w:cs="Arial" w:eastAsia="Arial" w:hAnsi="Arial"/>
          <w:sz w:val="17"/>
          <w:szCs w:val="17"/>
          <w:color w:val="auto"/>
        </w:rPr>
      </w:pPr>
    </w:p>
    <w:p>
      <w:pPr>
        <w:ind w:left="1240" w:right="600" w:hanging="309"/>
        <w:spacing w:after="0" w:line="279" w:lineRule="auto"/>
        <w:tabs>
          <w:tab w:leader="none" w:pos="12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Including Sodium Chloride Irrigation, Sterile Water Irrigation, Physiologic Solutions, Ringer's Irrigation, Acetic Acid Irrigation, Glycine Irrigation, Sorbitol-Mannitol Irrigation, Flexible Containers and Pour Bottle Options.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Hemodynamic Monitoring</w:t>
      </w:r>
    </w:p>
    <w:p>
      <w:pPr>
        <w:spacing w:after="0" w:line="243" w:lineRule="exact"/>
        <w:rPr>
          <w:sz w:val="20"/>
          <w:szCs w:val="20"/>
          <w:color w:val="auto"/>
        </w:rPr>
      </w:pPr>
    </w:p>
    <w:p>
      <w:pPr>
        <w:ind w:left="620" w:right="80" w:firstLine="619"/>
        <w:spacing w:after="0" w:line="318" w:lineRule="auto"/>
        <w:rPr>
          <w:sz w:val="20"/>
          <w:szCs w:val="20"/>
          <w:color w:val="auto"/>
        </w:rPr>
      </w:pPr>
      <w:r>
        <w:rPr>
          <w:rFonts w:ascii="Arial" w:cs="Arial" w:eastAsia="Arial" w:hAnsi="Arial"/>
          <w:sz w:val="15"/>
          <w:szCs w:val="15"/>
          <w:color w:val="auto"/>
        </w:rPr>
        <w:t>Our Hemodynamic Monitoring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spacing w:after="0" w:line="165" w:lineRule="exact"/>
        <w:rPr>
          <w:sz w:val="20"/>
          <w:szCs w:val="20"/>
          <w:color w:val="auto"/>
        </w:rPr>
      </w:pPr>
    </w:p>
    <w:p>
      <w:pPr>
        <w:ind w:left="1240" w:hanging="309"/>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Cogent™ 2-in-1 hemodynamic monitoring system;</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CardioFlo™ hemodynamic monitoring system;</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TDQ™ and OptiQ™ cardiac output monitoring catheters;</w:t>
      </w:r>
    </w:p>
    <w:p>
      <w:pPr>
        <w:spacing w:after="0" w:line="10" w:lineRule="exact"/>
        <w:rPr>
          <w:rFonts w:ascii="Arial" w:cs="Arial" w:eastAsia="Arial" w:hAnsi="Arial"/>
          <w:sz w:val="17"/>
          <w:szCs w:val="17"/>
          <w:color w:val="auto"/>
        </w:rPr>
      </w:pPr>
    </w:p>
    <w:p>
      <w:pPr>
        <w:ind w:left="1240" w:hanging="309"/>
        <w:spacing w:after="0" w:line="198" w:lineRule="auto"/>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TriOx</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venous oximetry catheters;</w:t>
      </w:r>
    </w:p>
    <w:p>
      <w:pPr>
        <w:ind w:left="1240" w:hanging="309"/>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Transpac™ blood pressure transducers; and</w:t>
      </w:r>
    </w:p>
    <w:p>
      <w:pPr>
        <w:spacing w:after="0" w:line="7" w:lineRule="exact"/>
        <w:rPr>
          <w:rFonts w:ascii="Arial" w:cs="Arial" w:eastAsia="Arial" w:hAnsi="Arial"/>
          <w:sz w:val="17"/>
          <w:szCs w:val="17"/>
          <w:color w:val="auto"/>
        </w:rPr>
      </w:pPr>
    </w:p>
    <w:p>
      <w:pPr>
        <w:ind w:left="1240" w:hanging="309"/>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SafeSet™ closed blood sampling and conservation system.</w:t>
      </w:r>
    </w:p>
    <w:p>
      <w:pPr>
        <w:spacing w:after="0" w:line="10" w:lineRule="exact"/>
        <w:rPr>
          <w:rFonts w:ascii="Arial" w:cs="Arial" w:eastAsia="Arial" w:hAnsi="Arial"/>
          <w:sz w:val="17"/>
          <w:szCs w:val="17"/>
          <w:color w:val="auto"/>
        </w:rPr>
      </w:pPr>
    </w:p>
    <w:p>
      <w:pPr>
        <w:ind w:left="1240" w:hanging="309"/>
        <w:spacing w:after="0" w:line="230" w:lineRule="auto"/>
        <w:tabs>
          <w:tab w:leader="none" w:pos="1240" w:val="left"/>
        </w:tabs>
        <w:numPr>
          <w:ilvl w:val="0"/>
          <w:numId w:val="37"/>
        </w:numPr>
        <w:rPr>
          <w:rFonts w:ascii="Arial" w:cs="Arial" w:eastAsia="Arial" w:hAnsi="Arial"/>
          <w:sz w:val="21"/>
          <w:szCs w:val="21"/>
          <w:color w:val="auto"/>
        </w:rPr>
      </w:pPr>
      <w:r>
        <w:rPr>
          <w:rFonts w:ascii="Arial" w:cs="Arial" w:eastAsia="Arial" w:hAnsi="Arial"/>
          <w:sz w:val="17"/>
          <w:szCs w:val="17"/>
          <w:color w:val="auto"/>
        </w:rPr>
        <w:t>MEDEX® LogiCal® Pressure Monitoring System and components.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General Anesthesia &amp; Respiratory</w:t>
      </w:r>
    </w:p>
    <w:p>
      <w:pPr>
        <w:spacing w:after="0" w:line="243" w:lineRule="exact"/>
        <w:rPr>
          <w:sz w:val="20"/>
          <w:szCs w:val="20"/>
          <w:color w:val="auto"/>
        </w:rPr>
      </w:pPr>
    </w:p>
    <w:p>
      <w:pPr>
        <w:ind w:right="420" w:firstLine="619"/>
        <w:spacing w:after="0" w:line="279" w:lineRule="auto"/>
        <w:rPr>
          <w:sz w:val="20"/>
          <w:szCs w:val="20"/>
          <w:color w:val="auto"/>
        </w:rPr>
      </w:pPr>
      <w:r>
        <w:rPr>
          <w:rFonts w:ascii="Arial" w:cs="Arial" w:eastAsia="Arial" w:hAnsi="Arial"/>
          <w:sz w:val="17"/>
          <w:szCs w:val="17"/>
          <w:color w:val="auto"/>
        </w:rPr>
        <w:t>We offer a broad range of anesthesia systems and devices and breathing circuits, ventilation, respiratory and specialty airway products that maintain patients’ airways before, during and after surgery. Our primary Anesthesia &amp; Respiratory products are:</w:t>
      </w:r>
    </w:p>
    <w:p>
      <w:pPr>
        <w:spacing w:after="0" w:line="183" w:lineRule="exact"/>
        <w:rPr>
          <w:sz w:val="20"/>
          <w:szCs w:val="20"/>
          <w:color w:val="auto"/>
        </w:rPr>
      </w:pPr>
    </w:p>
    <w:p>
      <w:pPr>
        <w:ind w:left="1240" w:right="20" w:hanging="309"/>
        <w:spacing w:after="0" w:line="230" w:lineRule="auto"/>
        <w:tabs>
          <w:tab w:leader="none" w:pos="1236" w:val="left"/>
        </w:tabs>
        <w:numPr>
          <w:ilvl w:val="0"/>
          <w:numId w:val="38"/>
        </w:numPr>
        <w:rPr>
          <w:rFonts w:ascii="Arial" w:cs="Arial" w:eastAsia="Arial" w:hAnsi="Arial"/>
          <w:sz w:val="17"/>
          <w:szCs w:val="17"/>
          <w:i w:val="1"/>
          <w:iCs w:val="1"/>
          <w:color w:val="auto"/>
        </w:rPr>
      </w:pPr>
      <w:r>
        <w:rPr>
          <w:rFonts w:ascii="Arial" w:cs="Arial" w:eastAsia="Arial" w:hAnsi="Arial"/>
          <w:sz w:val="17"/>
          <w:szCs w:val="17"/>
          <w:i w:val="1"/>
          <w:iCs w:val="1"/>
          <w:color w:val="auto"/>
        </w:rPr>
        <w:t>Portex</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acapella</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bronchial hygiene products used to mobilize pulmonary secretions to facilitate the opening of airways in patients with chronic</w:t>
      </w:r>
      <w:r>
        <w:rPr>
          <w:rFonts w:ascii="Arial" w:cs="Arial" w:eastAsia="Arial" w:hAnsi="Arial"/>
          <w:sz w:val="17"/>
          <w:szCs w:val="17"/>
          <w:i w:val="1"/>
          <w:iCs w:val="1"/>
          <w:color w:val="auto"/>
        </w:rPr>
        <w:t xml:space="preserve"> </w:t>
      </w:r>
      <w:r>
        <w:rPr>
          <w:rFonts w:ascii="Arial" w:cs="Arial" w:eastAsia="Arial" w:hAnsi="Arial"/>
          <w:sz w:val="17"/>
          <w:szCs w:val="17"/>
          <w:color w:val="auto"/>
        </w:rPr>
        <w:t>respiratory diseases such as chronic obstructive pulmonary disease, or COPD, asthma and cystic fibrosis.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Temperature Management Solutions</w:t>
      </w:r>
    </w:p>
    <w:p>
      <w:pPr>
        <w:spacing w:after="0" w:line="243" w:lineRule="exact"/>
        <w:rPr>
          <w:sz w:val="20"/>
          <w:szCs w:val="20"/>
          <w:color w:val="auto"/>
        </w:rPr>
      </w:pPr>
    </w:p>
    <w:p>
      <w:pPr>
        <w:ind w:right="360" w:firstLine="619"/>
        <w:spacing w:after="0" w:line="279" w:lineRule="auto"/>
        <w:rPr>
          <w:sz w:val="20"/>
          <w:szCs w:val="20"/>
          <w:color w:val="auto"/>
        </w:rPr>
      </w:pPr>
      <w:r>
        <w:rPr>
          <w:rFonts w:ascii="Arial" w:cs="Arial" w:eastAsia="Arial" w:hAnsi="Arial"/>
          <w:sz w:val="17"/>
          <w:szCs w:val="17"/>
          <w:color w:val="auto"/>
        </w:rPr>
        <w:t>Temperature Management solutions systems are used in perioperative and critical care settings to help monitor and regulate patient temperature. Our primary Temperature Management products include:</w:t>
      </w:r>
    </w:p>
    <w:p>
      <w:pPr>
        <w:spacing w:after="0" w:line="183" w:lineRule="exact"/>
        <w:rPr>
          <w:sz w:val="20"/>
          <w:szCs w:val="20"/>
          <w:color w:val="auto"/>
        </w:rPr>
      </w:pPr>
    </w:p>
    <w:p>
      <w:pPr>
        <w:ind w:left="1240" w:right="100" w:hanging="309"/>
        <w:spacing w:after="0" w:line="230"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Level 1</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rapid infusion, fluid warming, routine blood and fluid warming, irrigation fluid warming, convective patient warming and temperature</w:t>
      </w:r>
      <w:r>
        <w:rPr>
          <w:rFonts w:ascii="Arial" w:cs="Arial" w:eastAsia="Arial" w:hAnsi="Arial"/>
          <w:sz w:val="17"/>
          <w:szCs w:val="17"/>
          <w:i w:val="1"/>
          <w:iCs w:val="1"/>
          <w:color w:val="auto"/>
        </w:rPr>
        <w:t xml:space="preserve"> </w:t>
      </w:r>
      <w:r>
        <w:rPr>
          <w:rFonts w:ascii="Arial" w:cs="Arial" w:eastAsia="Arial" w:hAnsi="Arial"/>
          <w:sz w:val="17"/>
          <w:szCs w:val="17"/>
          <w:color w:val="auto"/>
        </w:rPr>
        <w:t>probes.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Regional Anesthesia/Pain Management Trays</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We offer a comprehensive range of </w:t>
      </w:r>
      <w:r>
        <w:rPr>
          <w:rFonts w:ascii="Arial" w:cs="Arial" w:eastAsia="Arial" w:hAnsi="Arial"/>
          <w:sz w:val="17"/>
          <w:szCs w:val="17"/>
          <w:i w:val="1"/>
          <w:iCs w:val="1"/>
          <w:color w:val="auto"/>
        </w:rPr>
        <w:t>Portex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regional anesthesia/pain management trays and components. Our primary products include:</w:t>
      </w:r>
    </w:p>
    <w:p>
      <w:pPr>
        <w:spacing w:after="0" w:line="194" w:lineRule="exact"/>
        <w:rPr>
          <w:sz w:val="20"/>
          <w:szCs w:val="20"/>
          <w:color w:val="auto"/>
        </w:rPr>
      </w:pPr>
    </w:p>
    <w:p>
      <w:pPr>
        <w:ind w:left="1240" w:hanging="309"/>
        <w:spacing w:after="0"/>
        <w:tabs>
          <w:tab w:leader="none" w:pos="1240" w:val="left"/>
        </w:tabs>
        <w:numPr>
          <w:ilvl w:val="0"/>
          <w:numId w:val="40"/>
        </w:numPr>
        <w:rPr>
          <w:rFonts w:ascii="Arial" w:cs="Arial" w:eastAsia="Arial" w:hAnsi="Arial"/>
          <w:sz w:val="21"/>
          <w:szCs w:val="21"/>
          <w:color w:val="auto"/>
        </w:rPr>
      </w:pPr>
      <w:r>
        <w:rPr>
          <w:rFonts w:ascii="Arial" w:cs="Arial" w:eastAsia="Arial" w:hAnsi="Arial"/>
          <w:sz w:val="17"/>
          <w:szCs w:val="17"/>
          <w:color w:val="auto"/>
        </w:rPr>
        <w:t>Epidural Trays;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40"/>
        </w:numPr>
        <w:rPr>
          <w:rFonts w:ascii="Arial" w:cs="Arial" w:eastAsia="Arial" w:hAnsi="Arial"/>
          <w:sz w:val="21"/>
          <w:szCs w:val="21"/>
          <w:color w:val="auto"/>
        </w:rPr>
      </w:pPr>
      <w:r>
        <w:rPr>
          <w:rFonts w:ascii="Arial" w:cs="Arial" w:eastAsia="Arial" w:hAnsi="Arial"/>
          <w:sz w:val="17"/>
          <w:szCs w:val="17"/>
          <w:color w:val="auto"/>
        </w:rPr>
        <w:t>Spinal Trays;</w:t>
      </w:r>
    </w:p>
    <w:p>
      <w:pPr>
        <w:spacing w:after="0" w:line="16" w:lineRule="exact"/>
        <w:rPr>
          <w:rFonts w:ascii="Arial" w:cs="Arial" w:eastAsia="Arial" w:hAnsi="Arial"/>
          <w:sz w:val="21"/>
          <w:szCs w:val="21"/>
          <w:color w:val="auto"/>
        </w:rPr>
      </w:pPr>
    </w:p>
    <w:p>
      <w:pPr>
        <w:ind w:left="1240" w:hanging="309"/>
        <w:spacing w:after="0"/>
        <w:tabs>
          <w:tab w:leader="none" w:pos="1240" w:val="left"/>
        </w:tabs>
        <w:numPr>
          <w:ilvl w:val="0"/>
          <w:numId w:val="40"/>
        </w:numPr>
        <w:rPr>
          <w:rFonts w:ascii="Arial" w:cs="Arial" w:eastAsia="Arial" w:hAnsi="Arial"/>
          <w:sz w:val="21"/>
          <w:szCs w:val="21"/>
          <w:color w:val="auto"/>
        </w:rPr>
      </w:pPr>
      <w:r>
        <w:rPr>
          <w:rFonts w:ascii="Arial" w:cs="Arial" w:eastAsia="Arial" w:hAnsi="Arial"/>
          <w:sz w:val="17"/>
          <w:szCs w:val="17"/>
          <w:color w:val="auto"/>
        </w:rPr>
        <w:t>Combined (CSE) Trays;</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40"/>
        </w:numPr>
        <w:rPr>
          <w:rFonts w:ascii="Arial" w:cs="Arial" w:eastAsia="Arial" w:hAnsi="Arial"/>
          <w:sz w:val="21"/>
          <w:szCs w:val="21"/>
          <w:color w:val="auto"/>
        </w:rPr>
      </w:pPr>
      <w:r>
        <w:rPr>
          <w:rFonts w:ascii="Arial" w:cs="Arial" w:eastAsia="Arial" w:hAnsi="Arial"/>
          <w:sz w:val="17"/>
          <w:szCs w:val="17"/>
          <w:color w:val="auto"/>
        </w:rPr>
        <w:t>Peripheral Nerve Block Trays; and</w:t>
      </w:r>
    </w:p>
    <w:p>
      <w:pPr>
        <w:spacing w:after="0" w:line="12" w:lineRule="exact"/>
        <w:rPr>
          <w:rFonts w:ascii="Arial" w:cs="Arial" w:eastAsia="Arial" w:hAnsi="Arial"/>
          <w:sz w:val="21"/>
          <w:szCs w:val="21"/>
          <w:color w:val="auto"/>
        </w:rPr>
      </w:pPr>
    </w:p>
    <w:p>
      <w:pPr>
        <w:ind w:left="1240" w:hanging="309"/>
        <w:spacing w:after="0" w:line="231" w:lineRule="auto"/>
        <w:tabs>
          <w:tab w:leader="none" w:pos="1240" w:val="left"/>
        </w:tabs>
        <w:numPr>
          <w:ilvl w:val="0"/>
          <w:numId w:val="40"/>
        </w:numPr>
        <w:rPr>
          <w:rFonts w:ascii="Arial" w:cs="Arial" w:eastAsia="Arial" w:hAnsi="Arial"/>
          <w:sz w:val="21"/>
          <w:szCs w:val="21"/>
          <w:color w:val="auto"/>
        </w:rPr>
      </w:pPr>
      <w:r>
        <w:rPr>
          <w:rFonts w:ascii="Arial" w:cs="Arial" w:eastAsia="Arial" w:hAnsi="Arial"/>
          <w:sz w:val="17"/>
          <w:szCs w:val="17"/>
          <w:color w:val="auto"/>
        </w:rPr>
        <w:t>Specialty Trays (Lumbar Puncture, Amniocentesis, Myelogram).</w:t>
      </w:r>
    </w:p>
    <w:p>
      <w:pPr>
        <w:spacing w:after="0" w:line="222" w:lineRule="exact"/>
        <w:rPr>
          <w:sz w:val="20"/>
          <w:szCs w:val="20"/>
          <w:color w:val="auto"/>
        </w:rPr>
      </w:pPr>
    </w:p>
    <w:p>
      <w:pPr>
        <w:ind w:right="160" w:firstLine="619"/>
        <w:spacing w:after="0" w:line="290" w:lineRule="auto"/>
        <w:rPr>
          <w:sz w:val="20"/>
          <w:szCs w:val="20"/>
          <w:color w:val="auto"/>
        </w:rPr>
      </w:pPr>
      <w:r>
        <w:rPr>
          <w:rFonts w:ascii="Arial" w:cs="Arial" w:eastAsia="Arial" w:hAnsi="Arial"/>
          <w:sz w:val="16"/>
          <w:szCs w:val="16"/>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Supply Constraints, Global Economic Conditions</w:t>
      </w:r>
    </w:p>
    <w:p>
      <w:pPr>
        <w:spacing w:after="0" w:line="236"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We have experienced significant impacts to our business as a result of global economic challenges, resulting from the COVID-19 pandemic and the continuing conflict between Russia and Ukraine, such as rising inflation, especially with respect to freight costs driven by higher fuel prices, increased cost and shortages of raw materials, and supply chain disruptions which negatively impacted our gross profit margin during 2022. We expect the pressure on the supply chain to continue and freight costs to remain subject to volatility in the market. The rising interest rates and foreign currency impact due to the strengthening of the U.S. dollar have also impacted our results of operations during 2022 and the nine months ended September 30, 2023.</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These challenges arising from global economic conditions could worsen as a result of the current armed conflict in the Middle East, which is highly uncertain at this time.</w:t>
      </w:r>
    </w:p>
    <w:p>
      <w:pPr>
        <w:spacing w:after="0" w:line="240"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Our business operations expose us to risks associated with public health crises and epidemics/pandemics, such as COVID-19. COVID 19 caused lower hospital admissions and medical procedure volumes, and any resurgence of the pandemic or any new public health crisis could again shift healthcare priorities and cause volatility in the demand for our products, thereby adversely affecting our business operations.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While we continually monitor the ongoing and evolving impact of the above events on our operations, the overall impact remains uncertain and may not</w:t>
      </w:r>
    </w:p>
    <w:p>
      <w:pPr>
        <w:spacing w:after="0" w:line="60"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be fully reflected until future periods. The overall impact to our results of operations will depend on factors such as the duration and extent of the current global economic challenges, including any impact from conflicts in Eastern Europe and the Middle East more generally, and the resurgence of the pandemic or the emergence of a new public health crisis, none of which can be fully predicted at this time. See “Part I. Item 1A. Risk Factors” in our 2022 Annual Report on Form 10-K for a discussion of risks and uncertainties.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49" w:lineRule="exact"/>
        <w:rPr>
          <w:sz w:val="20"/>
          <w:szCs w:val="20"/>
          <w:color w:val="auto"/>
        </w:rPr>
      </w:pPr>
    </w:p>
    <w:p>
      <w:pPr>
        <w:ind w:right="40" w:firstLine="172"/>
        <w:spacing w:after="0" w:line="279" w:lineRule="auto"/>
        <w:rPr>
          <w:sz w:val="20"/>
          <w:szCs w:val="20"/>
          <w:color w:val="auto"/>
        </w:rPr>
      </w:pPr>
      <w:r>
        <w:rPr>
          <w:rFonts w:ascii="Arial" w:cs="Arial" w:eastAsia="Arial" w:hAnsi="Arial"/>
          <w:sz w:val="17"/>
          <w:szCs w:val="17"/>
          <w:color w:val="auto"/>
        </w:rPr>
        <w:t>We present income statement data in Part I, Item 1. "Financial Statements." The following table shows, for the three and nine months ended September 30, 2023 and 2022, the percentages of each income statement caption in relation to total revenue: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2460" w:type="dxa"/>
            <w:vAlign w:val="bottom"/>
            <w:gridSpan w:val="4"/>
          </w:tcPr>
          <w:p>
            <w:pPr>
              <w:jc w:val="center"/>
              <w:ind w:left="374"/>
              <w:spacing w:after="0"/>
              <w:rPr>
                <w:sz w:val="20"/>
                <w:szCs w:val="20"/>
                <w:color w:val="auto"/>
              </w:rPr>
            </w:pPr>
            <w:r>
              <w:rPr>
                <w:rFonts w:ascii="Arial" w:cs="Arial" w:eastAsia="Arial" w:hAnsi="Arial"/>
                <w:sz w:val="17"/>
                <w:szCs w:val="17"/>
                <w:b w:val="1"/>
                <w:bCs w:val="1"/>
                <w:color w:val="auto"/>
                <w:w w:val="90"/>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Nine months ended</w:t>
            </w:r>
          </w:p>
        </w:tc>
      </w:tr>
      <w:tr>
        <w:trPr>
          <w:trHeight w:val="224"/>
        </w:trPr>
        <w:tc>
          <w:tcPr>
            <w:tcW w:w="51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7"/>
                <w:szCs w:val="17"/>
                <w:b w:val="1"/>
                <w:bCs w:val="1"/>
                <w:color w:val="auto"/>
                <w:w w:val="89"/>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7"/>
                <w:szCs w:val="17"/>
                <w:b w:val="1"/>
                <w:bCs w:val="1"/>
                <w:color w:val="auto"/>
                <w:w w:val="91"/>
              </w:rPr>
              <w:t>September 30,</w:t>
            </w:r>
          </w:p>
        </w:tc>
        <w:tc>
          <w:tcPr>
            <w:tcW w:w="920" w:type="dxa"/>
            <w:vAlign w:val="bottom"/>
            <w:tcBorders>
              <w:bottom w:val="single" w:sz="8" w:color="auto"/>
            </w:tcBorders>
          </w:tcPr>
          <w:p>
            <w:pPr>
              <w:spacing w:after="0"/>
              <w:rPr>
                <w:sz w:val="19"/>
                <w:szCs w:val="19"/>
                <w:color w:val="auto"/>
              </w:rPr>
            </w:pPr>
          </w:p>
        </w:tc>
      </w:tr>
      <w:tr>
        <w:trPr>
          <w:trHeight w:val="213"/>
        </w:trPr>
        <w:tc>
          <w:tcPr>
            <w:tcW w:w="5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w w:val="95"/>
              </w:rPr>
              <w:t>2022</w:t>
            </w:r>
          </w:p>
        </w:tc>
      </w:tr>
      <w:tr>
        <w:trPr>
          <w:trHeight w:val="212"/>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100 %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18"/>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50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31 %</w:t>
            </w:r>
          </w:p>
        </w:tc>
      </w:tr>
      <w:tr>
        <w:trPr>
          <w:trHeight w:val="22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r>
      <w:tr>
        <w:trPr>
          <w:trHeight w:val="218"/>
        </w:trPr>
        <w:tc>
          <w:tcPr>
            <w:tcW w:w="610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 expenses</w:t>
            </w:r>
          </w:p>
        </w:tc>
        <w:tc>
          <w:tcPr>
            <w:tcW w:w="50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4 %</w:t>
            </w:r>
          </w:p>
        </w:tc>
      </w:tr>
      <w:tr>
        <w:trPr>
          <w:trHeight w:val="22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Restructuring, strategic transaction and integration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r>
      <w:tr>
        <w:trPr>
          <w:trHeight w:val="21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contingent earn-out</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33 %</w:t>
            </w:r>
          </w:p>
        </w:tc>
      </w:tr>
      <w:tr>
        <w:trPr>
          <w:trHeight w:val="212"/>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Income (loss) from operations</w:t>
            </w:r>
          </w:p>
        </w:tc>
        <w:tc>
          <w:tcPr>
            <w:tcW w:w="50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40" w:type="dxa"/>
            <w:vAlign w:val="bottom"/>
          </w:tcPr>
          <w:p>
            <w:pPr>
              <w:jc w:val="right"/>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expense, net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(expense) income, net</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r>
      <w:tr>
        <w:trPr>
          <w:trHeight w:val="21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for income taxes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1 %</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r>
      <w:tr>
        <w:trPr>
          <w:trHeight w:val="23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206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Seasonality/Quarterly Results</w:t>
      </w:r>
    </w:p>
    <w:p>
      <w:pPr>
        <w:spacing w:after="0" w:line="243" w:lineRule="exact"/>
        <w:rPr>
          <w:sz w:val="20"/>
          <w:szCs w:val="20"/>
          <w:color w:val="auto"/>
        </w:rPr>
      </w:pPr>
    </w:p>
    <w:p>
      <w:pPr>
        <w:jc w:val="both"/>
        <w:ind w:right="80"/>
        <w:spacing w:after="0" w:line="290" w:lineRule="auto"/>
        <w:rPr>
          <w:sz w:val="20"/>
          <w:szCs w:val="20"/>
          <w:color w:val="auto"/>
        </w:rPr>
      </w:pPr>
      <w:r>
        <w:rPr>
          <w:rFonts w:ascii="Arial" w:cs="Arial" w:eastAsia="Arial" w:hAnsi="Arial"/>
          <w:sz w:val="16"/>
          <w:szCs w:val="16"/>
          <w:color w:val="auto"/>
        </w:rPr>
        <w:t>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217" w:lineRule="exact"/>
        <w:rPr>
          <w:sz w:val="20"/>
          <w:szCs w:val="20"/>
          <w:color w:val="auto"/>
        </w:rPr>
      </w:pPr>
    </w:p>
    <w:p>
      <w:pPr>
        <w:ind w:right="40" w:firstLine="619"/>
        <w:spacing w:after="0" w:line="279" w:lineRule="auto"/>
        <w:rPr>
          <w:sz w:val="20"/>
          <w:szCs w:val="20"/>
          <w:color w:val="auto"/>
        </w:rPr>
      </w:pPr>
      <w:r>
        <w:rPr>
          <w:rFonts w:ascii="Arial" w:cs="Arial" w:eastAsia="Arial" w:hAnsi="Arial"/>
          <w:sz w:val="16"/>
          <w:szCs w:val="16"/>
          <w:color w:val="auto"/>
        </w:rPr>
        <w:t>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period local currency revenues at prior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period's average exchange rates. We consistently apply this approach to revenues for all currencies where the functional currency is not the U.S. dollar.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Consumables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Consumables revenue (in millions):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right"/>
              <w:ind w:right="260"/>
              <w:spacing w:after="0"/>
              <w:rPr>
                <w:sz w:val="20"/>
                <w:szCs w:val="20"/>
                <w:color w:val="auto"/>
              </w:rPr>
            </w:pPr>
            <w:r>
              <w:rPr>
                <w:rFonts w:ascii="Arial" w:cs="Arial" w:eastAsia="Arial" w:hAnsi="Arial"/>
                <w:sz w:val="15"/>
                <w:szCs w:val="15"/>
                <w:b w:val="1"/>
                <w:bCs w:val="1"/>
                <w:color w:val="auto"/>
              </w:rPr>
              <w:t>Three months ended</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center"/>
              <w:ind w:right="80"/>
              <w:spacing w:after="0"/>
              <w:rPr>
                <w:sz w:val="20"/>
                <w:szCs w:val="20"/>
                <w:color w:val="auto"/>
              </w:rPr>
            </w:pPr>
            <w:r>
              <w:rPr>
                <w:rFonts w:ascii="Arial" w:cs="Arial" w:eastAsia="Arial" w:hAnsi="Arial"/>
                <w:sz w:val="15"/>
                <w:szCs w:val="15"/>
                <w:b w:val="1"/>
                <w:bCs w:val="1"/>
                <w:color w:val="auto"/>
                <w:w w:val="90"/>
              </w:rPr>
              <w:t>Nine months ended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460"/>
              <w:spacing w:after="0"/>
              <w:rPr>
                <w:sz w:val="20"/>
                <w:szCs w:val="20"/>
                <w:color w:val="auto"/>
              </w:rPr>
            </w:pPr>
            <w:r>
              <w:rPr>
                <w:rFonts w:ascii="Arial" w:cs="Arial" w:eastAsia="Arial" w:hAnsi="Arial"/>
                <w:sz w:val="15"/>
                <w:szCs w:val="15"/>
                <w:b w:val="1"/>
                <w:bCs w:val="1"/>
                <w:color w:val="auto"/>
              </w:rPr>
              <w:t>September 30,</w:t>
            </w: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5"/>
                <w:szCs w:val="15"/>
                <w:b w:val="1"/>
                <w:bCs w:val="1"/>
                <w:color w:val="auto"/>
                <w:w w:val="91"/>
              </w:rPr>
              <w:t>September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3"/>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3"/>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4"/>
              </w:rPr>
              <w:t>$ Change</w:t>
            </w:r>
          </w:p>
        </w:tc>
        <w:tc>
          <w:tcPr>
            <w:tcW w:w="1180" w:type="dxa"/>
            <w:vAlign w:val="bottom"/>
          </w:tcPr>
          <w:p>
            <w:pPr>
              <w:jc w:val="right"/>
              <w:ind w:right="183"/>
              <w:spacing w:after="0"/>
              <w:rPr>
                <w:sz w:val="20"/>
                <w:szCs w:val="20"/>
                <w:color w:val="auto"/>
              </w:rPr>
            </w:pPr>
            <w:r>
              <w:rPr>
                <w:rFonts w:ascii="Arial" w:cs="Arial" w:eastAsia="Arial" w:hAnsi="Arial"/>
                <w:sz w:val="15"/>
                <w:szCs w:val="15"/>
                <w:b w:val="1"/>
                <w:bCs w:val="1"/>
                <w:color w:val="auto"/>
              </w:rPr>
              <w:t>% Change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3"/>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5"/>
                <w:szCs w:val="15"/>
                <w:b w:val="1"/>
                <w:bCs w:val="1"/>
                <w:color w:val="auto"/>
              </w:rPr>
              <w:t>$ Change</w:t>
            </w:r>
          </w:p>
        </w:tc>
        <w:tc>
          <w:tcPr>
            <w:tcW w:w="1200" w:type="dxa"/>
            <w:vAlign w:val="bottom"/>
          </w:tcPr>
          <w:p>
            <w:pPr>
              <w:jc w:val="right"/>
              <w:ind w:right="18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1"/>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Consumables revenue (GAAP)</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242.0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251.6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715.1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60"/>
        </w:trPr>
        <w:tc>
          <w:tcPr>
            <w:tcW w:w="2440" w:type="dxa"/>
            <w:vAlign w:val="bottom"/>
          </w:tcPr>
          <w:p>
            <w:pPr>
              <w:spacing w:after="0" w:line="160" w:lineRule="exact"/>
              <w:rPr>
                <w:sz w:val="20"/>
                <w:szCs w:val="20"/>
                <w:color w:val="auto"/>
              </w:rPr>
            </w:pPr>
            <w:r>
              <w:rPr>
                <w:rFonts w:ascii="Arial" w:cs="Arial" w:eastAsia="Arial" w:hAnsi="Arial"/>
                <w:sz w:val="15"/>
                <w:szCs w:val="15"/>
                <w:color w:val="auto"/>
              </w:rPr>
              <w:t>Impact of foreign exchange rate</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440" w:type="dxa"/>
            <w:vAlign w:val="bottom"/>
          </w:tcPr>
          <w:p>
            <w:pPr>
              <w:spacing w:after="0"/>
              <w:rPr>
                <w:sz w:val="20"/>
                <w:szCs w:val="20"/>
                <w:color w:val="auto"/>
              </w:rPr>
            </w:pPr>
            <w:r>
              <w:rPr>
                <w:rFonts w:ascii="Arial" w:cs="Arial" w:eastAsia="Arial" w:hAnsi="Arial"/>
                <w:sz w:val="15"/>
                <w:szCs w:val="15"/>
                <w:color w:val="auto"/>
              </w:rPr>
              <w:t>changes</w:t>
            </w: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9"/>
              </w:rPr>
              <w:t>Consumables revenue on a constant</w:t>
            </w: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240.1</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251.6</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720.9</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732.8</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spacing w:after="0"/>
              <w:rPr>
                <w:sz w:val="20"/>
                <w:szCs w:val="20"/>
                <w:color w:val="auto"/>
              </w:rPr>
            </w:pPr>
            <w:r>
              <w:rPr>
                <w:rFonts w:ascii="Arial" w:cs="Arial" w:eastAsia="Arial" w:hAnsi="Arial"/>
                <w:sz w:val="15"/>
                <w:szCs w:val="15"/>
                <w:color w:val="auto"/>
              </w:rPr>
              <w:t>currency basis (non-GAAP)</w:t>
            </w:r>
          </w:p>
        </w:tc>
        <w:tc>
          <w:tcPr>
            <w:tcW w:w="1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right="60" w:firstLine="619"/>
        <w:spacing w:after="0" w:line="244" w:lineRule="auto"/>
        <w:rPr>
          <w:sz w:val="20"/>
          <w:szCs w:val="20"/>
          <w:color w:val="auto"/>
        </w:rPr>
      </w:pPr>
      <w:r>
        <w:rPr>
          <w:rFonts w:ascii="Arial" w:cs="Arial" w:eastAsia="Arial" w:hAnsi="Arial"/>
          <w:sz w:val="17"/>
          <w:szCs w:val="17"/>
          <w:color w:val="auto"/>
        </w:rPr>
        <w:t>Consumables revenue decreased for the three and nine months ended September 30, 2023, as compared to the same periods in the prior year, primarily due to a decrease in our Vascular Access revenues. For the three months ended September 30, 2023, the revenue decrease was partially offset by an increase in Infusion Therapy revenue and the impact of having six less billing days in the current year period for the products acquired from Smiths Group as compared to the same prior year period. For the nine months ended September 30, 2023, the revenue decrease was partially offset by an increase in Infusion Therapy and Tracheostomy revenues.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Systems revenue (in millions):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ind w:right="100"/>
              <w:spacing w:after="0"/>
              <w:rPr>
                <w:sz w:val="20"/>
                <w:szCs w:val="20"/>
                <w:color w:val="auto"/>
              </w:rPr>
            </w:pPr>
            <w:r>
              <w:rPr>
                <w:rFonts w:ascii="Arial" w:cs="Arial" w:eastAsia="Arial" w:hAnsi="Arial"/>
                <w:sz w:val="15"/>
                <w:szCs w:val="15"/>
                <w:b w:val="1"/>
                <w:bCs w:val="1"/>
                <w:color w:val="auto"/>
                <w:w w:val="92"/>
              </w:rPr>
              <w:t>Three months ended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center"/>
              <w:ind w:right="80"/>
              <w:spacing w:after="0"/>
              <w:rPr>
                <w:sz w:val="20"/>
                <w:szCs w:val="20"/>
                <w:color w:val="auto"/>
              </w:rPr>
            </w:pPr>
            <w:r>
              <w:rPr>
                <w:rFonts w:ascii="Arial" w:cs="Arial" w:eastAsia="Arial" w:hAnsi="Arial"/>
                <w:sz w:val="15"/>
                <w:szCs w:val="15"/>
                <w:b w:val="1"/>
                <w:bCs w:val="1"/>
                <w:color w:val="auto"/>
                <w:w w:val="91"/>
              </w:rPr>
              <w:t>Nine months ended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5"/>
                <w:szCs w:val="15"/>
                <w:b w:val="1"/>
                <w:bCs w:val="1"/>
                <w:color w:val="auto"/>
                <w:w w:val="91"/>
              </w:rPr>
              <w:t>September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5"/>
                <w:szCs w:val="15"/>
                <w:b w:val="1"/>
                <w:bCs w:val="1"/>
                <w:color w:val="auto"/>
                <w:w w:val="91"/>
              </w:rPr>
              <w:t>September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43"/>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200" w:type="dxa"/>
            <w:vAlign w:val="bottom"/>
          </w:tcPr>
          <w:p>
            <w:pPr>
              <w:jc w:val="right"/>
              <w:ind w:right="183"/>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3"/>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200" w:type="dxa"/>
            <w:vAlign w:val="bottom"/>
          </w:tcPr>
          <w:p>
            <w:pPr>
              <w:jc w:val="right"/>
              <w:ind w:right="16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1"/>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Infusion Systems (GAAP)</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463.9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448.4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0" w:type="dxa"/>
            <w:vAlign w:val="bottom"/>
          </w:tcPr>
          <w:p>
            <w:pPr>
              <w:spacing w:after="0"/>
              <w:rPr>
                <w:sz w:val="1"/>
                <w:szCs w:val="1"/>
                <w:color w:val="auto"/>
              </w:rPr>
            </w:pPr>
          </w:p>
        </w:tc>
      </w:tr>
      <w:tr>
        <w:trPr>
          <w:trHeight w:val="160"/>
        </w:trPr>
        <w:tc>
          <w:tcPr>
            <w:tcW w:w="2400" w:type="dxa"/>
            <w:vAlign w:val="bottom"/>
          </w:tcPr>
          <w:p>
            <w:pPr>
              <w:spacing w:after="0" w:line="160" w:lineRule="exact"/>
              <w:rPr>
                <w:sz w:val="20"/>
                <w:szCs w:val="20"/>
                <w:color w:val="auto"/>
              </w:rPr>
            </w:pPr>
            <w:r>
              <w:rPr>
                <w:rFonts w:ascii="Arial" w:cs="Arial" w:eastAsia="Arial" w:hAnsi="Arial"/>
                <w:sz w:val="15"/>
                <w:szCs w:val="15"/>
                <w:color w:val="auto"/>
              </w:rPr>
              <w:t>Impact of foreign exchange rate</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400" w:type="dxa"/>
            <w:vAlign w:val="bottom"/>
          </w:tcPr>
          <w:p>
            <w:pPr>
              <w:spacing w:after="0"/>
              <w:rPr>
                <w:sz w:val="20"/>
                <w:szCs w:val="20"/>
                <w:color w:val="auto"/>
              </w:rPr>
            </w:pPr>
            <w:r>
              <w:rPr>
                <w:rFonts w:ascii="Arial" w:cs="Arial" w:eastAsia="Arial" w:hAnsi="Arial"/>
                <w:sz w:val="15"/>
                <w:szCs w:val="15"/>
                <w:color w:val="auto"/>
              </w:rPr>
              <w:t>changes</w:t>
            </w: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Infusion Systems on a constant</w:t>
            </w:r>
          </w:p>
        </w:tc>
        <w:tc>
          <w:tcPr>
            <w:tcW w:w="1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161.6</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472.8</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448.4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0" w:type="dxa"/>
            <w:vAlign w:val="bottom"/>
          </w:tcPr>
          <w:p>
            <w:pPr>
              <w:spacing w:after="0"/>
              <w:rPr>
                <w:sz w:val="1"/>
                <w:szCs w:val="1"/>
                <w:color w:val="auto"/>
              </w:rPr>
            </w:pP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currency basis (non-GAAP)</w:t>
            </w: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firstLine="619"/>
        <w:spacing w:after="0" w:line="261" w:lineRule="auto"/>
        <w:rPr>
          <w:sz w:val="20"/>
          <w:szCs w:val="20"/>
          <w:color w:val="auto"/>
        </w:rPr>
      </w:pPr>
      <w:r>
        <w:rPr>
          <w:rFonts w:ascii="Arial" w:cs="Arial" w:eastAsia="Arial" w:hAnsi="Arial"/>
          <w:sz w:val="16"/>
          <w:szCs w:val="16"/>
          <w:color w:val="auto"/>
        </w:rPr>
        <w:t>Infusion Systems revenue decreased for the three months ended September 30, 2023, as compared to the same period in the prior year, primarily due to the impact of having six less billing days in the current year period for the products acquired from Smiths Group as compared to the same prior year period and our backorder recovery in the prior year period. Infusion Systems revenue increased for the nine months ended September 30, 2023, as compared to the same period in the prior year, primarily due to higher sales of our syringe pump products and LVP dedicated sets.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Vital Care</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Vital Care revenue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5"/>
                <w:szCs w:val="15"/>
                <w:b w:val="1"/>
                <w:bCs w:val="1"/>
                <w:color w:val="auto"/>
                <w:w w:val="92"/>
              </w:rPr>
              <w:t>Three months ended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center"/>
              <w:ind w:right="60"/>
              <w:spacing w:after="0"/>
              <w:rPr>
                <w:sz w:val="20"/>
                <w:szCs w:val="20"/>
                <w:color w:val="auto"/>
              </w:rPr>
            </w:pPr>
            <w:r>
              <w:rPr>
                <w:rFonts w:ascii="Arial" w:cs="Arial" w:eastAsia="Arial" w:hAnsi="Arial"/>
                <w:sz w:val="15"/>
                <w:szCs w:val="15"/>
                <w:b w:val="1"/>
                <w:bCs w:val="1"/>
                <w:color w:val="auto"/>
                <w:w w:val="90"/>
              </w:rPr>
              <w:t>Nine months ended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5"/>
                <w:szCs w:val="15"/>
                <w:b w:val="1"/>
                <w:bCs w:val="1"/>
                <w:color w:val="auto"/>
                <w:w w:val="91"/>
              </w:rPr>
              <w:t>September 30,</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5"/>
                <w:szCs w:val="15"/>
                <w:b w:val="1"/>
                <w:bCs w:val="1"/>
                <w:color w:val="auto"/>
                <w:w w:val="91"/>
              </w:rPr>
              <w:t>September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4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180" w:type="dxa"/>
            <w:vAlign w:val="bottom"/>
          </w:tcPr>
          <w:p>
            <w:pPr>
              <w:jc w:val="right"/>
              <w:ind w:right="163"/>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5"/>
                <w:szCs w:val="15"/>
                <w:b w:val="1"/>
                <w:bCs w:val="1"/>
                <w:color w:val="auto"/>
              </w:rPr>
              <w:t>$ Change</w:t>
            </w:r>
          </w:p>
        </w:tc>
        <w:tc>
          <w:tcPr>
            <w:tcW w:w="1200" w:type="dxa"/>
            <w:vAlign w:val="bottom"/>
          </w:tcPr>
          <w:p>
            <w:pPr>
              <w:jc w:val="right"/>
              <w:ind w:right="163"/>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Vital Care (GAAP)</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184.7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520.8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60"/>
        </w:trPr>
        <w:tc>
          <w:tcPr>
            <w:tcW w:w="2420" w:type="dxa"/>
            <w:vAlign w:val="bottom"/>
          </w:tcPr>
          <w:p>
            <w:pPr>
              <w:ind w:left="20"/>
              <w:spacing w:after="0" w:line="160" w:lineRule="exact"/>
              <w:rPr>
                <w:sz w:val="20"/>
                <w:szCs w:val="20"/>
                <w:color w:val="auto"/>
              </w:rPr>
            </w:pPr>
            <w:r>
              <w:rPr>
                <w:rFonts w:ascii="Arial" w:cs="Arial" w:eastAsia="Arial" w:hAnsi="Arial"/>
                <w:sz w:val="15"/>
                <w:szCs w:val="15"/>
                <w:color w:val="auto"/>
              </w:rPr>
              <w:t>Impact of foreign exchange rate</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420" w:type="dxa"/>
            <w:vAlign w:val="bottom"/>
          </w:tcPr>
          <w:p>
            <w:pPr>
              <w:ind w:left="20"/>
              <w:spacing w:after="0"/>
              <w:rPr>
                <w:sz w:val="20"/>
                <w:szCs w:val="20"/>
                <w:color w:val="auto"/>
              </w:rPr>
            </w:pPr>
            <w:r>
              <w:rPr>
                <w:rFonts w:ascii="Arial" w:cs="Arial" w:eastAsia="Arial" w:hAnsi="Arial"/>
                <w:sz w:val="15"/>
                <w:szCs w:val="15"/>
                <w:color w:val="auto"/>
              </w:rPr>
              <w:t>changes</w:t>
            </w: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Vital Care on a constant currency</w:t>
            </w:r>
          </w:p>
        </w:tc>
        <w:tc>
          <w:tcPr>
            <w:tcW w:w="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184.7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497.3</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520.8</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basis (non-GAAP)</w:t>
            </w: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 w:firstLine="619"/>
        <w:spacing w:after="0" w:line="273" w:lineRule="auto"/>
        <w:rPr>
          <w:sz w:val="20"/>
          <w:szCs w:val="20"/>
          <w:color w:val="auto"/>
        </w:rPr>
      </w:pPr>
      <w:r>
        <w:rPr>
          <w:rFonts w:ascii="Arial" w:cs="Arial" w:eastAsia="Arial" w:hAnsi="Arial"/>
          <w:sz w:val="16"/>
          <w:szCs w:val="16"/>
          <w:color w:val="auto"/>
        </w:rPr>
        <w:t>Vital Care revenue decreased for the three and nine months ended September 30, 2023, as compared to the same periods in the prior year, primarily due to lower sales of IV Solutions in the current year period and backorder recovery in the prior year period. Additionally, revenue for the three months ended September 30, 2023 included the impact of six less billing days for the products acquired from Smiths Group as compared to the same period in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Margins</w:t>
      </w:r>
    </w:p>
    <w:p>
      <w:pPr>
        <w:spacing w:after="0" w:line="230" w:lineRule="exact"/>
        <w:rPr>
          <w:sz w:val="20"/>
          <w:szCs w:val="20"/>
          <w:color w:val="auto"/>
        </w:rPr>
      </w:pPr>
    </w:p>
    <w:p>
      <w:pPr>
        <w:ind w:right="180" w:firstLine="172"/>
        <w:spacing w:after="0" w:line="257" w:lineRule="auto"/>
        <w:rPr>
          <w:sz w:val="20"/>
          <w:szCs w:val="20"/>
          <w:color w:val="auto"/>
        </w:rPr>
      </w:pPr>
      <w:r>
        <w:rPr>
          <w:rFonts w:ascii="Arial" w:cs="Arial" w:eastAsia="Arial" w:hAnsi="Arial"/>
          <w:sz w:val="16"/>
          <w:szCs w:val="16"/>
          <w:color w:val="auto"/>
        </w:rPr>
        <w:t>For the three and nine months ended September 30, 2023, gross margins were 33.2% and 34.0%, respectively, as compared to 31.2% and 30.7% for the three and nine months ended September 30, 2022, respectively. The increase in gross margin for the three months ended September 30, 2023, as compared to the same period in the prior year, was primarily driven by lower freight costs and lower quality remediation costs partially offset by lower manufacturing absorption from lower volumes and scheduled plant shutdowns, the impact of foreign exchange rate changes and higher product reserves related to product-line integration. The increase in gross margin for the nine months ended September 30, 2023, as compared to the same period in the prior year, was primarily driven by lower freight costs and the cost recognition of a purchase accounting write-up of inventory in 2022.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SG&amp;A Expenses (in millions):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90"/>
              </w:rPr>
              <w:t>Three months ended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w w:val="90"/>
              </w:rPr>
              <w:t>Nine months ended</w:t>
            </w:r>
          </w:p>
        </w:tc>
        <w:tc>
          <w:tcPr>
            <w:tcW w:w="1200" w:type="dxa"/>
            <w:vAlign w:val="bottom"/>
          </w:tcPr>
          <w:p>
            <w:pPr>
              <w:spacing w:after="0"/>
              <w:rPr>
                <w:sz w:val="14"/>
                <w:szCs w:val="14"/>
                <w:color w:val="auto"/>
              </w:rPr>
            </w:pPr>
          </w:p>
        </w:tc>
      </w:tr>
      <w:tr>
        <w:trPr>
          <w:trHeight w:val="204"/>
        </w:trPr>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5"/>
                <w:szCs w:val="15"/>
                <w:b w:val="1"/>
                <w:bCs w:val="1"/>
                <w:color w:val="auto"/>
                <w:w w:val="91"/>
              </w:rPr>
              <w:t>September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5"/>
                <w:szCs w:val="15"/>
                <w:b w:val="1"/>
                <w:bCs w:val="1"/>
                <w:color w:val="auto"/>
                <w:w w:val="91"/>
              </w:rPr>
              <w:t>September 30,</w:t>
            </w:r>
          </w:p>
        </w:tc>
        <w:tc>
          <w:tcPr>
            <w:tcW w:w="1200" w:type="dxa"/>
            <w:vAlign w:val="bottom"/>
            <w:tcBorders>
              <w:bottom w:val="single" w:sz="8" w:color="auto"/>
            </w:tcBorders>
          </w:tcPr>
          <w:p>
            <w:pPr>
              <w:spacing w:after="0"/>
              <w:rPr>
                <w:sz w:val="17"/>
                <w:szCs w:val="17"/>
                <w:color w:val="auto"/>
              </w:rPr>
            </w:pPr>
          </w:p>
        </w:tc>
      </w:tr>
      <w:tr>
        <w:trPr>
          <w:trHeight w:val="199"/>
        </w:trPr>
        <w:tc>
          <w:tcPr>
            <w:tcW w:w="17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7"/>
              </w:rPr>
              <w: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SG&amp;A</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(3.2)%  $</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465.4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r>
    </w:tbl>
    <w:p>
      <w:pPr>
        <w:spacing w:after="0" w:line="284"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SG&amp;A expenses decreased for the three months ended September 30, 2023, as compared to the same period in the prior year primarily due to decreases of $5.2 million in depreciation and amortization, $3.0 million in compensation costs, and $1.8 million of IT expenses. These decreases were partially offset by an increase of $4.2 million in dealer fees and $1.8 million in stock based compensation. Depreciation and amortization decreased as the fair market values of certain intangible assets acquired in regard to the 2022 Smiths Medical acquisition were adjusted down after the same period in the prior year. Compensation costs decreased primarily due to a decrease in cash incentive compensation. IT expenses decreased based on current operating needs. Dealer fees increased due to an increase in revenues to distributors. Stock based compensation increased due to an increase in the fair value of amounts awarded in the current year over the fair value of the awards in the prior year.</w:t>
      </w:r>
    </w:p>
    <w:p>
      <w:pPr>
        <w:spacing w:after="0" w:line="211"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SG&amp;A expenses decreased for the nine months ended September 30, 2023, as compared to the same period in the prior year primarily due to decreases of $9.9 million in depreciation and amortization, $3.1 million in dealer fees, and $3.0 million in IT expenses. Partially offsetting these decreases was a $3.3 million increase in commissions. Commissions increased primarily due to sales performance in the current period measured against preset sales targets as compared to sales performance achieved against targets in the comparable prior year period.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(“R&amp;D”) Expenses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R&amp;D Expenses (in millions):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w w:val="90"/>
              </w:rPr>
              <w:t>Three months ended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jc w:val="right"/>
              <w:spacing w:after="0"/>
              <w:rPr>
                <w:sz w:val="20"/>
                <w:szCs w:val="20"/>
                <w:color w:val="auto"/>
              </w:rPr>
            </w:pPr>
            <w:r>
              <w:rPr>
                <w:rFonts w:ascii="Arial" w:cs="Arial" w:eastAsia="Arial" w:hAnsi="Arial"/>
                <w:sz w:val="15"/>
                <w:szCs w:val="15"/>
                <w:b w:val="1"/>
                <w:bCs w:val="1"/>
                <w:color w:val="auto"/>
              </w:rPr>
              <w:t>Nine months ended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4"/>
        </w:trPr>
        <w:tc>
          <w:tcPr>
            <w:tcW w:w="1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5"/>
                <w:szCs w:val="15"/>
                <w:b w:val="1"/>
                <w:bCs w:val="1"/>
                <w:color w:val="auto"/>
                <w:w w:val="91"/>
              </w:rPr>
              <w:t>September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9"/>
        </w:trPr>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5"/>
                <w:szCs w:val="15"/>
                <w:b w:val="1"/>
                <w:bCs w:val="1"/>
                <w:color w:val="auto"/>
              </w:rPr>
              <w:t>$ Change</w:t>
            </w:r>
          </w:p>
        </w:tc>
        <w:tc>
          <w:tcPr>
            <w:tcW w:w="1200" w:type="dxa"/>
            <w:vAlign w:val="bottom"/>
          </w:tcPr>
          <w:p>
            <w:pPr>
              <w:jc w:val="right"/>
              <w:ind w:right="183"/>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2023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ind w:left="220"/>
              <w:spacing w:after="0"/>
              <w:rPr>
                <w:sz w:val="20"/>
                <w:szCs w:val="20"/>
                <w:color w:val="auto"/>
              </w:rPr>
            </w:pPr>
            <w:r>
              <w:rPr>
                <w:rFonts w:ascii="Arial" w:cs="Arial" w:eastAsia="Arial" w:hAnsi="Arial"/>
                <w:sz w:val="15"/>
                <w:szCs w:val="15"/>
                <w:b w:val="1"/>
                <w:bCs w:val="1"/>
                <w:color w:val="auto"/>
              </w:rPr>
              <w:t>$ Change</w:t>
            </w:r>
          </w:p>
        </w:tc>
        <w:tc>
          <w:tcPr>
            <w:tcW w:w="1200" w:type="dxa"/>
            <w:vAlign w:val="bottom"/>
          </w:tcPr>
          <w:p>
            <w:pPr>
              <w:jc w:val="right"/>
              <w:ind w:right="183"/>
              <w:spacing w:after="0"/>
              <w:rPr>
                <w:sz w:val="20"/>
                <w:szCs w:val="20"/>
                <w:color w:val="auto"/>
              </w:rPr>
            </w:pPr>
            <w:r>
              <w:rPr>
                <w:rFonts w:ascii="Arial" w:cs="Arial" w:eastAsia="Arial" w:hAnsi="Arial"/>
                <w:sz w:val="15"/>
                <w:szCs w:val="15"/>
                <w:b w:val="1"/>
                <w:bCs w:val="1"/>
                <w:color w:val="auto"/>
              </w:rPr>
              <w:t>% Change</w:t>
            </w:r>
          </w:p>
        </w:tc>
      </w:tr>
      <w:tr>
        <w:trPr>
          <w:trHeight w:val="201"/>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R&amp;D</w:t>
            </w: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20.9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88"/>
              </w:rPr>
              <w:t>62.9</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69.5</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w:t>
            </w:r>
          </w:p>
        </w:tc>
      </w:tr>
    </w:tbl>
    <w:p>
      <w:pPr>
        <w:spacing w:after="0" w:line="284" w:lineRule="exact"/>
        <w:rPr>
          <w:sz w:val="20"/>
          <w:szCs w:val="20"/>
          <w:color w:val="auto"/>
        </w:rPr>
      </w:pPr>
    </w:p>
    <w:p>
      <w:pPr>
        <w:ind w:right="340" w:firstLine="619"/>
        <w:spacing w:after="0" w:line="279" w:lineRule="auto"/>
        <w:rPr>
          <w:sz w:val="20"/>
          <w:szCs w:val="20"/>
          <w:color w:val="auto"/>
        </w:rPr>
      </w:pPr>
      <w:r>
        <w:rPr>
          <w:rFonts w:ascii="Arial" w:cs="Arial" w:eastAsia="Arial" w:hAnsi="Arial"/>
          <w:sz w:val="17"/>
          <w:szCs w:val="17"/>
          <w:color w:val="auto"/>
        </w:rPr>
        <w:t>R&amp;D expenses decreased for the three and nine months ended September 30, 2023, as compared to the same periods in the prior year. R&amp;D expenses during both periods primarily relate to headcount and employment expense in support of ongoing R&amp;D projects.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Strategic Transaction and Integration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20" w:firstLine="172"/>
        <w:spacing w:after="0" w:line="312" w:lineRule="auto"/>
        <w:rPr>
          <w:sz w:val="20"/>
          <w:szCs w:val="20"/>
          <w:color w:val="auto"/>
        </w:rPr>
      </w:pPr>
      <w:r>
        <w:rPr>
          <w:rFonts w:ascii="Arial" w:cs="Arial" w:eastAsia="Arial" w:hAnsi="Arial"/>
          <w:sz w:val="16"/>
          <w:szCs w:val="16"/>
          <w:color w:val="auto"/>
        </w:rPr>
        <w:t>Restructuring, strategic transaction and integration expenses were $7.2 million and $30.5 million for the three and nine months ended September 30, 2023, respectively, as compared to $14.4 million and $61.8 million for the three and nine months ended September 30,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charges</w:t>
      </w:r>
    </w:p>
    <w:p>
      <w:pPr>
        <w:spacing w:after="0" w:line="243" w:lineRule="exact"/>
        <w:rPr>
          <w:sz w:val="20"/>
          <w:szCs w:val="20"/>
          <w:color w:val="auto"/>
        </w:rPr>
      </w:pPr>
    </w:p>
    <w:p>
      <w:pPr>
        <w:ind w:right="180" w:firstLine="172"/>
        <w:spacing w:after="0" w:line="272" w:lineRule="auto"/>
        <w:rPr>
          <w:sz w:val="20"/>
          <w:szCs w:val="20"/>
          <w:color w:val="auto"/>
        </w:rPr>
      </w:pPr>
      <w:r>
        <w:rPr>
          <w:rFonts w:ascii="Arial" w:cs="Arial" w:eastAsia="Arial" w:hAnsi="Arial"/>
          <w:sz w:val="16"/>
          <w:szCs w:val="16"/>
          <w:color w:val="auto"/>
        </w:rPr>
        <w:t>Restructuring charges were $1.1 million and $5.1 million for the three and nine months ended September 30, 2023, respectively, as compared to $2.4 million and $7.3 million for the three and nine months ended September 30, 2022, respectively, and were primarily related to severance costs for all periods. The restructuring charges for the three and nine months ended September 30, 2023 were net of $0.2 million of facility closures costs that were reversed in the current period. We expect to pay the majority of unpaid restructuring charges as of September 30, 2023 during the remainder of 2023 and 2024.</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32" w:lineRule="exact"/>
        <w:rPr>
          <w:sz w:val="20"/>
          <w:szCs w:val="20"/>
          <w:color w:val="auto"/>
        </w:rPr>
      </w:pPr>
    </w:p>
    <w:p>
      <w:pPr>
        <w:ind w:right="160" w:firstLine="172"/>
        <w:spacing w:after="0" w:line="299" w:lineRule="auto"/>
        <w:rPr>
          <w:sz w:val="20"/>
          <w:szCs w:val="20"/>
          <w:color w:val="auto"/>
        </w:rPr>
      </w:pPr>
      <w:r>
        <w:rPr>
          <w:rFonts w:ascii="Arial" w:cs="Arial" w:eastAsia="Arial" w:hAnsi="Arial"/>
          <w:sz w:val="15"/>
          <w:szCs w:val="15"/>
          <w:color w:val="auto"/>
        </w:rPr>
        <w:t>Strategic transaction and integration expenses were $6.1 million and $25.4 million for the three and nine months ended September 30, 2023, respectively, as compared to $12.0 million and $54.5 million for the three and nine months ended September 30, 2022, respectively. The strategic transaction and integration expenses during the three and nine months ended September 30, 2023 were primarily related to consulting expenses and employee costs incurred to integrate our Smiths Medical business acquired in 2022. The strategic transaction and integration expenses for the three and nine months ended September 30, 2022 were primarily related to transaction and integration expenses associated with our acquisition of Smiths Medical on January 6, 2022 which primarily included legal expenses, bank fees, and employee costs. The nine months ended September 30, 2022 also included a United Kingdom stamp tax.</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Earn-out</w:t>
      </w:r>
    </w:p>
    <w:p>
      <w:pPr>
        <w:spacing w:after="0" w:line="243" w:lineRule="exact"/>
        <w:rPr>
          <w:sz w:val="20"/>
          <w:szCs w:val="20"/>
          <w:color w:val="auto"/>
        </w:rPr>
      </w:pPr>
    </w:p>
    <w:p>
      <w:pPr>
        <w:jc w:val="both"/>
        <w:ind w:right="140" w:firstLine="619"/>
        <w:spacing w:after="0" w:line="262" w:lineRule="auto"/>
        <w:rPr>
          <w:sz w:val="20"/>
          <w:szCs w:val="20"/>
          <w:color w:val="auto"/>
        </w:rPr>
      </w:pPr>
      <w:r>
        <w:rPr>
          <w:rFonts w:ascii="Arial" w:cs="Arial" w:eastAsia="Arial" w:hAnsi="Arial"/>
          <w:sz w:val="17"/>
          <w:szCs w:val="17"/>
          <w:color w:val="auto"/>
        </w:rPr>
        <w:t>For the three and nine months ended September 30, 2023, we recorded gains of $15.6 million and $12.3 million, respectively, related to a change in the fair value of contingent earn-outs as compared to a gain of $4.1 million and $31.3 million, respectively, for the three and nine months ended September 30, 2022, primarily related to the Smiths Medical acquisition. During the three and nine months ended September 30, 2023, the fair value of the Smiths Medical contingent earn-out decreased due to decreases in our stock price.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interest expense, net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5"/>
          </w:tcPr>
          <w:p>
            <w:pPr>
              <w:ind w:left="400"/>
              <w:spacing w:after="0"/>
              <w:rPr>
                <w:sz w:val="20"/>
                <w:szCs w:val="20"/>
                <w:color w:val="auto"/>
              </w:rPr>
            </w:pPr>
            <w:r>
              <w:rPr>
                <w:rFonts w:ascii="Arial" w:cs="Arial" w:eastAsia="Arial" w:hAnsi="Arial"/>
                <w:sz w:val="15"/>
                <w:szCs w:val="15"/>
                <w:b w:val="1"/>
                <w:bCs w:val="1"/>
                <w:color w:val="auto"/>
              </w:rPr>
              <w:t>Three Months Ended</w:t>
            </w:r>
          </w:p>
        </w:tc>
        <w:tc>
          <w:tcPr>
            <w:tcW w:w="320" w:type="dxa"/>
            <w:vAlign w:val="bottom"/>
          </w:tcPr>
          <w:p>
            <w:pPr>
              <w:spacing w:after="0"/>
              <w:rPr>
                <w:sz w:val="17"/>
                <w:szCs w:val="17"/>
                <w:color w:val="auto"/>
              </w:rPr>
            </w:pPr>
          </w:p>
        </w:tc>
        <w:tc>
          <w:tcPr>
            <w:tcW w:w="2500" w:type="dxa"/>
            <w:vAlign w:val="bottom"/>
            <w:gridSpan w:val="4"/>
          </w:tcPr>
          <w:p>
            <w:pPr>
              <w:ind w:left="440"/>
              <w:spacing w:after="0"/>
              <w:rPr>
                <w:sz w:val="20"/>
                <w:szCs w:val="20"/>
                <w:color w:val="auto"/>
              </w:rPr>
            </w:pPr>
            <w:r>
              <w:rPr>
                <w:rFonts w:ascii="Arial" w:cs="Arial" w:eastAsia="Arial" w:hAnsi="Arial"/>
                <w:sz w:val="15"/>
                <w:szCs w:val="15"/>
                <w:b w:val="1"/>
                <w:bCs w:val="1"/>
                <w:color w:val="auto"/>
              </w:rPr>
              <w:t>Nine Months Ended</w:t>
            </w:r>
          </w:p>
        </w:tc>
      </w:tr>
      <w:tr>
        <w:trPr>
          <w:trHeight w:val="209"/>
        </w:trPr>
        <w:tc>
          <w:tcPr>
            <w:tcW w:w="5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5"/>
              </w:rPr>
              <w:t>September 30,</w:t>
            </w:r>
          </w:p>
        </w:tc>
        <w:tc>
          <w:tcPr>
            <w:tcW w:w="880" w:type="dxa"/>
            <w:vAlign w:val="bottom"/>
            <w:tcBorders>
              <w:bottom w:val="single" w:sz="8" w:color="auto"/>
            </w:tcBorders>
          </w:tcPr>
          <w:p>
            <w:pPr>
              <w:spacing w:after="0"/>
              <w:rPr>
                <w:sz w:val="18"/>
                <w:szCs w:val="18"/>
                <w:color w:val="auto"/>
              </w:rPr>
            </w:pPr>
          </w:p>
        </w:tc>
      </w:tr>
      <w:tr>
        <w:trPr>
          <w:trHeight w:val="200"/>
        </w:trPr>
        <w:tc>
          <w:tcPr>
            <w:tcW w:w="55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2022</w:t>
            </w:r>
          </w:p>
        </w:tc>
      </w:tr>
      <w:tr>
        <w:trPr>
          <w:trHeight w:val="214"/>
        </w:trPr>
        <w:tc>
          <w:tcPr>
            <w:tcW w:w="5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1"/>
              </w:rPr>
              <w:t>(76,021)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(51,068)</w:t>
            </w:r>
          </w:p>
        </w:tc>
      </w:tr>
      <w:tr>
        <w:trPr>
          <w:trHeight w:val="218"/>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Interest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4,765</w:t>
            </w: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(24,175)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(17,808)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w w:val="91"/>
              </w:rPr>
              <w:t>(70,811)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(46,303)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172"/>
        <w:spacing w:after="0" w:line="299" w:lineRule="auto"/>
        <w:rPr>
          <w:sz w:val="20"/>
          <w:szCs w:val="20"/>
          <w:color w:val="auto"/>
        </w:rPr>
      </w:pPr>
      <w:r>
        <w:rPr>
          <w:rFonts w:ascii="Arial" w:cs="Arial" w:eastAsia="Arial" w:hAnsi="Arial"/>
          <w:sz w:val="15"/>
          <w:szCs w:val="15"/>
          <w:color w:val="auto"/>
        </w:rPr>
        <w:t>Interest expense, net for the three and nine months ended September 30, 2023 and 2022 primarily includes the contractual interest incurred on borrowings under the Credit Agreement, the per annum commitment fee charged on the available amount of the revolving credit facility contained in the Credit Agreement, the amortization of debt issuance costs incurred in connection with entering into the Credit Agreement (see Note 17: Long-Term Debt in our accompanying condensed consolidated financial statements) and the impact of the interest rate swaps. The interest expense increased for the three and nine months ended September 30, 2023, as compared to the respective prior year periods, primarily due to increases in the applicable SOFR reference rate. These increases were partially offset by the impact of the interest rate swaps (see Note 8: Derivatives and Hedging in our accompanying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other expense, net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Pr>
          <w:p>
            <w:pPr>
              <w:spacing w:after="0"/>
              <w:rPr>
                <w:sz w:val="17"/>
                <w:szCs w:val="17"/>
                <w:color w:val="auto"/>
              </w:rPr>
            </w:pPr>
          </w:p>
        </w:tc>
        <w:tc>
          <w:tcPr>
            <w:tcW w:w="2320" w:type="dxa"/>
            <w:vAlign w:val="bottom"/>
            <w:gridSpan w:val="4"/>
          </w:tcPr>
          <w:p>
            <w:pPr>
              <w:jc w:val="right"/>
              <w:ind w:right="96"/>
              <w:spacing w:after="0"/>
              <w:rPr>
                <w:sz w:val="20"/>
                <w:szCs w:val="20"/>
                <w:color w:val="auto"/>
              </w:rPr>
            </w:pPr>
            <w:r>
              <w:rPr>
                <w:rFonts w:ascii="Arial" w:cs="Arial" w:eastAsia="Arial" w:hAnsi="Arial"/>
                <w:sz w:val="15"/>
                <w:szCs w:val="15"/>
                <w:b w:val="1"/>
                <w:bCs w:val="1"/>
                <w:color w:val="auto"/>
              </w:rPr>
              <w:t>Three Months Ended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00" w:type="dxa"/>
            <w:vAlign w:val="bottom"/>
            <w:gridSpan w:val="4"/>
          </w:tcPr>
          <w:p>
            <w:pPr>
              <w:jc w:val="center"/>
              <w:ind w:right="216"/>
              <w:spacing w:after="0"/>
              <w:rPr>
                <w:sz w:val="20"/>
                <w:szCs w:val="20"/>
                <w:color w:val="auto"/>
              </w:rPr>
            </w:pPr>
            <w:r>
              <w:rPr>
                <w:rFonts w:ascii="Arial" w:cs="Arial" w:eastAsia="Arial" w:hAnsi="Arial"/>
                <w:sz w:val="15"/>
                <w:szCs w:val="15"/>
                <w:b w:val="1"/>
                <w:bCs w:val="1"/>
                <w:color w:val="auto"/>
                <w:w w:val="94"/>
              </w:rPr>
              <w:t>Nine Months Ended</w:t>
            </w:r>
          </w:p>
        </w:tc>
      </w:tr>
      <w:tr>
        <w:trPr>
          <w:trHeight w:val="209"/>
        </w:trPr>
        <w:tc>
          <w:tcPr>
            <w:tcW w:w="54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5"/>
                <w:szCs w:val="15"/>
                <w:b w:val="1"/>
                <w:bCs w:val="1"/>
                <w:color w:val="auto"/>
                <w:w w:val="99"/>
              </w:rPr>
              <w:t>September 30,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5"/>
                <w:szCs w:val="15"/>
                <w:b w:val="1"/>
                <w:bCs w:val="1"/>
                <w:color w:val="auto"/>
                <w:w w:val="91"/>
              </w:rPr>
              <w:t>September 30,</w:t>
            </w:r>
          </w:p>
        </w:tc>
        <w:tc>
          <w:tcPr>
            <w:tcW w:w="880" w:type="dxa"/>
            <w:vAlign w:val="bottom"/>
            <w:tcBorders>
              <w:bottom w:val="single" w:sz="8" w:color="auto"/>
            </w:tcBorders>
          </w:tcPr>
          <w:p>
            <w:pPr>
              <w:spacing w:after="0"/>
              <w:rPr>
                <w:sz w:val="18"/>
                <w:szCs w:val="18"/>
                <w:color w:val="auto"/>
              </w:rPr>
            </w:pPr>
          </w:p>
        </w:tc>
      </w:tr>
      <w:tr>
        <w:trPr>
          <w:trHeight w:val="200"/>
        </w:trPr>
        <w:tc>
          <w:tcPr>
            <w:tcW w:w="54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2022</w:t>
            </w:r>
          </w:p>
        </w:tc>
      </w:tr>
      <w:tr>
        <w:trPr>
          <w:trHeight w:val="214"/>
        </w:trPr>
        <w:tc>
          <w:tcPr>
            <w:tcW w:w="5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Foreign exchange losses, net</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(3,010)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256"/>
              <w:spacing w:after="0"/>
              <w:rPr>
                <w:sz w:val="20"/>
                <w:szCs w:val="20"/>
                <w:color w:val="auto"/>
              </w:rPr>
            </w:pPr>
            <w:r>
              <w:rPr>
                <w:rFonts w:ascii="Arial" w:cs="Arial" w:eastAsia="Arial" w:hAnsi="Arial"/>
                <w:sz w:val="17"/>
                <w:szCs w:val="17"/>
                <w:color w:val="auto"/>
                <w:w w:val="92"/>
              </w:rPr>
              <w:t>(4,587)</w:t>
            </w:r>
          </w:p>
        </w:tc>
      </w:tr>
      <w:tr>
        <w:trPr>
          <w:trHeight w:val="218"/>
        </w:trPr>
        <w:tc>
          <w:tcPr>
            <w:tcW w:w="5480" w:type="dxa"/>
            <w:vAlign w:val="bottom"/>
          </w:tcPr>
          <w:p>
            <w:pPr>
              <w:ind w:left="120"/>
              <w:spacing w:after="0"/>
              <w:rPr>
                <w:sz w:val="20"/>
                <w:szCs w:val="20"/>
                <w:color w:val="auto"/>
              </w:rPr>
            </w:pPr>
            <w:r>
              <w:rPr>
                <w:rFonts w:ascii="Arial" w:cs="Arial" w:eastAsia="Arial" w:hAnsi="Arial"/>
                <w:sz w:val="17"/>
                <w:szCs w:val="17"/>
                <w:color w:val="auto"/>
              </w:rPr>
              <w:t>Loss on disposition of assets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(446)</w:t>
            </w:r>
          </w:p>
        </w:tc>
        <w:tc>
          <w:tcPr>
            <w:tcW w:w="80" w:type="dxa"/>
            <w:vAlign w:val="bottom"/>
          </w:tcPr>
          <w:p>
            <w:pPr>
              <w:spacing w:after="0"/>
              <w:rPr>
                <w:sz w:val="18"/>
                <w:szCs w:val="18"/>
                <w:color w:val="auto"/>
              </w:rPr>
            </w:pPr>
          </w:p>
        </w:tc>
        <w:tc>
          <w:tcPr>
            <w:tcW w:w="840" w:type="dxa"/>
            <w:vAlign w:val="bottom"/>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9"/>
              </w:rPr>
              <w:t>(1,366)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center"/>
              <w:ind w:left="256"/>
              <w:spacing w:after="0"/>
              <w:rPr>
                <w:sz w:val="20"/>
                <w:szCs w:val="20"/>
                <w:color w:val="auto"/>
              </w:rPr>
            </w:pPr>
            <w:r>
              <w:rPr>
                <w:rFonts w:ascii="Arial" w:cs="Arial" w:eastAsia="Arial" w:hAnsi="Arial"/>
                <w:sz w:val="17"/>
                <w:szCs w:val="17"/>
                <w:color w:val="auto"/>
                <w:w w:val="92"/>
              </w:rPr>
              <w:t>(2,321)</w:t>
            </w:r>
          </w:p>
        </w:tc>
      </w:tr>
      <w:tr>
        <w:trPr>
          <w:trHeight w:val="219"/>
        </w:trPr>
        <w:tc>
          <w:tcPr>
            <w:tcW w:w="5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miscellaneous (expense) income,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276"/>
              <w:spacing w:after="0"/>
              <w:rPr>
                <w:sz w:val="20"/>
                <w:szCs w:val="20"/>
                <w:color w:val="auto"/>
              </w:rPr>
            </w:pPr>
            <w:r>
              <w:rPr>
                <w:rFonts w:ascii="Arial" w:cs="Arial" w:eastAsia="Arial" w:hAnsi="Arial"/>
                <w:sz w:val="17"/>
                <w:szCs w:val="17"/>
                <w:color w:val="auto"/>
                <w:w w:val="93"/>
              </w:rPr>
              <w:t>2,925</w:t>
            </w:r>
          </w:p>
        </w:tc>
      </w:tr>
      <w:tr>
        <w:trPr>
          <w:trHeight w:val="213"/>
        </w:trPr>
        <w:tc>
          <w:tcPr>
            <w:tcW w:w="548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(4,044)</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(3,032)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center"/>
              <w:ind w:left="256"/>
              <w:spacing w:after="0"/>
              <w:rPr>
                <w:sz w:val="20"/>
                <w:szCs w:val="20"/>
                <w:color w:val="auto"/>
              </w:rPr>
            </w:pPr>
            <w:r>
              <w:rPr>
                <w:rFonts w:ascii="Arial" w:cs="Arial" w:eastAsia="Arial" w:hAnsi="Arial"/>
                <w:sz w:val="17"/>
                <w:szCs w:val="17"/>
                <w:color w:val="auto"/>
                <w:w w:val="92"/>
              </w:rPr>
              <w:t>(3,983)</w:t>
            </w:r>
          </w:p>
        </w:tc>
      </w:tr>
      <w:tr>
        <w:trPr>
          <w:trHeight w:val="20"/>
        </w:trPr>
        <w:tc>
          <w:tcPr>
            <w:tcW w:w="5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ind w:right="520" w:firstLine="172"/>
        <w:spacing w:after="0" w:line="279" w:lineRule="auto"/>
        <w:rPr>
          <w:sz w:val="20"/>
          <w:szCs w:val="20"/>
          <w:color w:val="auto"/>
        </w:rPr>
      </w:pPr>
      <w:r>
        <w:rPr>
          <w:rFonts w:ascii="Arial" w:cs="Arial" w:eastAsia="Arial" w:hAnsi="Arial"/>
          <w:sz w:val="17"/>
          <w:szCs w:val="17"/>
          <w:color w:val="auto"/>
        </w:rPr>
        <w:t>For the three and nine months ended September 30, 2023, income taxes were accrued at an estimated effective tax rate of 235% and 70%, respectively, as compared to 38% and 37% for the three and nine months ended September 30, 2022, respectively.</w:t>
      </w:r>
    </w:p>
    <w:p>
      <w:pPr>
        <w:spacing w:after="0" w:line="177" w:lineRule="exact"/>
        <w:rPr>
          <w:sz w:val="20"/>
          <w:szCs w:val="20"/>
          <w:color w:val="auto"/>
        </w:rPr>
      </w:pPr>
    </w:p>
    <w:p>
      <w:pPr>
        <w:ind w:right="120" w:firstLine="619"/>
        <w:spacing w:after="0" w:line="274" w:lineRule="auto"/>
        <w:rPr>
          <w:sz w:val="20"/>
          <w:szCs w:val="20"/>
          <w:color w:val="auto"/>
        </w:rPr>
      </w:pPr>
      <w:r>
        <w:rPr>
          <w:rFonts w:ascii="Arial" w:cs="Arial" w:eastAsia="Arial" w:hAnsi="Arial"/>
          <w:sz w:val="15"/>
          <w:szCs w:val="15"/>
          <w:color w:val="auto"/>
        </w:rPr>
        <w:t>The effective tax rate for the three and nine months ended September 30, 2023 differs from the federal statutory rate of 21% principally because of the effect of the mix of U.S. and foreign incomes, state income taxes, section 162(m) excess compensation, foreign-derived intangible income (</w:t>
      </w:r>
      <w:r>
        <w:rPr>
          <w:rFonts w:ascii="Arial" w:cs="Arial" w:eastAsia="Arial" w:hAnsi="Arial"/>
          <w:sz w:val="15"/>
          <w:szCs w:val="15"/>
          <w:i w:val="1"/>
          <w:iCs w:val="1"/>
          <w:color w:val="auto"/>
        </w:rPr>
        <w:t>“</w:t>
      </w:r>
      <w:r>
        <w:rPr>
          <w:rFonts w:ascii="Arial" w:cs="Arial" w:eastAsia="Arial" w:hAnsi="Arial"/>
          <w:sz w:val="15"/>
          <w:szCs w:val="15"/>
          <w:color w:val="auto"/>
        </w:rPr>
        <w:t>FDII</w:t>
      </w:r>
      <w:r>
        <w:rPr>
          <w:rFonts w:ascii="Arial" w:cs="Arial" w:eastAsia="Arial" w:hAnsi="Arial"/>
          <w:sz w:val="15"/>
          <w:szCs w:val="15"/>
          <w:i w:val="1"/>
          <w:iCs w:val="1"/>
          <w:color w:val="auto"/>
        </w:rPr>
        <w:t>”</w:t>
      </w:r>
      <w:r>
        <w:rPr>
          <w:rFonts w:ascii="Arial" w:cs="Arial" w:eastAsia="Arial" w:hAnsi="Arial"/>
          <w:sz w:val="15"/>
          <w:szCs w:val="15"/>
          <w:color w:val="auto"/>
        </w:rPr>
        <w:t>) and tax credits. The effective tax rate for both the three and nine months ended September 30, 2023 included a tax benefit of $0.0 million and $6.0 million, respectively, primarily related to unrecognized tax benefits released as a result of the expiration of the statute of limitations. The effective tax rate during the three and nine months ended September 30, 2023 also included a tax benefit of $0.6 million and $0.8 million, respectively, related to the excess tax benefits recognized on stock option exercises and the vesting of restricted stock during the period. Additionally, the effective tax rate for both the three and nine months ended September 30, 2023 included a tax benefit of $7.5 million related to U.S. federal return-to-provision adjustments net of related tax reserves. The adjustments related to primarily to changes in estimates for the research and development credit and foreign tax credits. Additionally, the effective tax rate for the three and nine months ended September 30, 2023 also included the nil tax impact of the revaluation of contingent consideration for $15.6 million and $12.3 million, respectively.</w:t>
      </w:r>
    </w:p>
    <w:p>
      <w:pPr>
        <w:spacing w:after="0" w:line="200" w:lineRule="exact"/>
        <w:rPr>
          <w:sz w:val="20"/>
          <w:szCs w:val="20"/>
          <w:color w:val="auto"/>
        </w:rPr>
      </w:pPr>
    </w:p>
    <w:p>
      <w:pPr>
        <w:ind w:firstLine="172"/>
        <w:spacing w:after="0" w:line="279" w:lineRule="auto"/>
        <w:rPr>
          <w:sz w:val="20"/>
          <w:szCs w:val="20"/>
          <w:color w:val="auto"/>
        </w:rPr>
      </w:pPr>
      <w:r>
        <w:rPr>
          <w:rFonts w:ascii="Arial" w:cs="Arial" w:eastAsia="Arial" w:hAnsi="Arial"/>
          <w:sz w:val="16"/>
          <w:szCs w:val="16"/>
          <w:color w:val="auto"/>
        </w:rPr>
        <w:t>The effective tax rate for the three and nine months ended September 30, 2022 differs from the federal statutory rate of 21% principally because of the effect of the mix of U.S. and foreign incomes, state income taxes, section 162(m) excess compensation, FDII and tax credits. The effective tax rate during the three and nine months ended September 30, 2022 included a discrete tax benefit of $1.5 million and $4.1 million, respectively, related to excess tax benefits recognized on stock option exercises and the vesting of restricted stock units during the period. The revaluation of the contingent consideration during the three and nine months ended September 30, 2022 of $4.1 million and $31.3 million, respectively, resulted in a tax expense of $0.0 million for both periods.</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23"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43" w:lineRule="exact"/>
        <w:rPr>
          <w:sz w:val="20"/>
          <w:szCs w:val="20"/>
          <w:color w:val="auto"/>
        </w:rPr>
      </w:pPr>
    </w:p>
    <w:p>
      <w:pPr>
        <w:ind w:right="640" w:firstLine="619"/>
        <w:spacing w:after="0" w:line="279" w:lineRule="auto"/>
        <w:rPr>
          <w:sz w:val="20"/>
          <w:szCs w:val="20"/>
          <w:color w:val="auto"/>
        </w:rPr>
      </w:pPr>
      <w:r>
        <w:rPr>
          <w:rFonts w:ascii="Arial" w:cs="Arial" w:eastAsia="Arial" w:hAnsi="Arial"/>
          <w:sz w:val="17"/>
          <w:szCs w:val="17"/>
          <w:color w:val="auto"/>
        </w:rPr>
        <w:t>Our primary sources of liquidity are cash and cash equivalents, our short-term investment portfolio, cash flows from our operations and access to borrowing arrangements.</w:t>
      </w:r>
    </w:p>
    <w:p>
      <w:pPr>
        <w:spacing w:after="0" w:line="190"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Funds generated from operations are held in cash and cash equivalents and investment securities. During the nine months ended September 30, 2023, our cash and cash equivalents and short-term investment securities decreased by $14.0 million from $213.0 million at December 31, 2022 to $199.0 million at September 30, 2023. This decrease was driven by a decrease in our accounts payable balances, capital expenditures, principal payments on our long-term debt and the related interest payments. Our short-term investment portfolio currently consists of investment-grade corporate and federal treasury bonds and is primarily intended to facilitate capital preservation.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Credit Agreement and Access to Capital</w:t>
      </w:r>
    </w:p>
    <w:p>
      <w:pPr>
        <w:spacing w:after="0" w:line="243" w:lineRule="exact"/>
        <w:rPr>
          <w:sz w:val="20"/>
          <w:szCs w:val="20"/>
          <w:color w:val="auto"/>
        </w:rPr>
      </w:pPr>
    </w:p>
    <w:p>
      <w:pPr>
        <w:ind w:right="60" w:firstLine="619"/>
        <w:spacing w:after="0" w:line="273" w:lineRule="auto"/>
        <w:rPr>
          <w:sz w:val="20"/>
          <w:szCs w:val="20"/>
          <w:color w:val="auto"/>
        </w:rPr>
      </w:pPr>
      <w:r>
        <w:rPr>
          <w:rFonts w:ascii="Arial" w:cs="Arial" w:eastAsia="Arial" w:hAnsi="Arial"/>
          <w:sz w:val="16"/>
          <w:szCs w:val="16"/>
          <w:color w:val="auto"/>
        </w:rPr>
        <w:t>As discussed in Note 17: Long-Term Debt to our accompanying condensed consolidated financial statements, 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$1.7 billion as of September 30, 2023,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September 30, 2023. As part of entering into the Senior Secured Credit Facilities, we were assigned issuer and Term Loan B credit ratings. At the date of issuance of this report, our issuer and Term Loan B credit ratings assigned and outlook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440" w:type="dxa"/>
            <w:vAlign w:val="bottom"/>
          </w:tcPr>
          <w:p>
            <w:pPr>
              <w:jc w:val="center"/>
              <w:ind w:right="154"/>
              <w:spacing w:after="0"/>
              <w:rPr>
                <w:sz w:val="20"/>
                <w:szCs w:val="20"/>
                <w:color w:val="auto"/>
              </w:rPr>
            </w:pPr>
            <w:r>
              <w:rPr>
                <w:rFonts w:ascii="Arial" w:cs="Arial" w:eastAsia="Arial" w:hAnsi="Arial"/>
                <w:sz w:val="17"/>
                <w:szCs w:val="17"/>
                <w:b w:val="1"/>
                <w:bCs w:val="1"/>
                <w:color w:val="auto"/>
                <w:w w:val="93"/>
              </w:rPr>
              <w:t>Issuer/Term Loan B</w:t>
            </w:r>
          </w:p>
        </w:tc>
        <w:tc>
          <w:tcPr>
            <w:tcW w:w="2020" w:type="dxa"/>
            <w:vAlign w:val="bottom"/>
          </w:tcPr>
          <w:p>
            <w:pPr>
              <w:spacing w:after="0"/>
              <w:rPr>
                <w:sz w:val="16"/>
                <w:szCs w:val="16"/>
                <w:color w:val="auto"/>
              </w:rPr>
            </w:pPr>
          </w:p>
        </w:tc>
      </w:tr>
      <w:tr>
        <w:trPr>
          <w:trHeight w:val="231"/>
        </w:trPr>
        <w:tc>
          <w:tcPr>
            <w:tcW w:w="678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2"/>
              </w:rPr>
              <w:t>Credit Ratings</w:t>
            </w:r>
          </w:p>
        </w:tc>
        <w:tc>
          <w:tcPr>
            <w:tcW w:w="202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96"/>
              </w:rPr>
              <w:t>Outlook</w:t>
            </w: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Moody's</w:t>
            </w:r>
          </w:p>
        </w:tc>
        <w:tc>
          <w:tcPr>
            <w:tcW w:w="244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w w:val="91"/>
              </w:rPr>
              <w:t>Ba3/Ba3</w:t>
            </w:r>
          </w:p>
        </w:tc>
        <w:tc>
          <w:tcPr>
            <w:tcW w:w="202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w w:val="87"/>
              </w:rPr>
              <w:t>Stable</w:t>
            </w:r>
          </w:p>
        </w:tc>
      </w:tr>
      <w:tr>
        <w:trPr>
          <w:trHeight w:val="219"/>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Fitch</w:t>
            </w:r>
          </w:p>
        </w:tc>
        <w:tc>
          <w:tcPr>
            <w:tcW w:w="2440" w:type="dxa"/>
            <w:vAlign w:val="bottom"/>
          </w:tcPr>
          <w:p>
            <w:pPr>
              <w:jc w:val="center"/>
              <w:ind w:right="114"/>
              <w:spacing w:after="0"/>
              <w:rPr>
                <w:sz w:val="20"/>
                <w:szCs w:val="20"/>
                <w:color w:val="auto"/>
              </w:rPr>
            </w:pPr>
            <w:r>
              <w:rPr>
                <w:rFonts w:ascii="Arial" w:cs="Arial" w:eastAsia="Arial" w:hAnsi="Arial"/>
                <w:sz w:val="17"/>
                <w:szCs w:val="17"/>
                <w:color w:val="auto"/>
                <w:w w:val="99"/>
              </w:rPr>
              <w:t>BB/BB+</w:t>
            </w:r>
          </w:p>
        </w:tc>
        <w:tc>
          <w:tcPr>
            <w:tcW w:w="2020" w:type="dxa"/>
            <w:vAlign w:val="bottom"/>
          </w:tcPr>
          <w:p>
            <w:pPr>
              <w:jc w:val="center"/>
              <w:ind w:right="114"/>
              <w:spacing w:after="0"/>
              <w:rPr>
                <w:sz w:val="20"/>
                <w:szCs w:val="20"/>
                <w:color w:val="auto"/>
              </w:rPr>
            </w:pPr>
            <w:r>
              <w:rPr>
                <w:rFonts w:ascii="Arial" w:cs="Arial" w:eastAsia="Arial" w:hAnsi="Arial"/>
                <w:sz w:val="17"/>
                <w:szCs w:val="17"/>
                <w:color w:val="auto"/>
                <w:w w:val="87"/>
              </w:rPr>
              <w:t>Stable</w:t>
            </w: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Standard &amp; Poor's</w:t>
            </w:r>
          </w:p>
        </w:tc>
        <w:tc>
          <w:tcPr>
            <w:tcW w:w="2440" w:type="dxa"/>
            <w:vAlign w:val="bottom"/>
            <w:shd w:val="clear" w:color="auto" w:fill="CCEEFF"/>
          </w:tcPr>
          <w:p>
            <w:pPr>
              <w:jc w:val="center"/>
              <w:ind w:right="134"/>
              <w:spacing w:after="0"/>
              <w:rPr>
                <w:sz w:val="20"/>
                <w:szCs w:val="20"/>
                <w:color w:val="auto"/>
              </w:rPr>
            </w:pPr>
            <w:r>
              <w:rPr>
                <w:rFonts w:ascii="Arial" w:cs="Arial" w:eastAsia="Arial" w:hAnsi="Arial"/>
                <w:sz w:val="17"/>
                <w:szCs w:val="17"/>
                <w:color w:val="auto"/>
              </w:rPr>
              <w:t>BB-/BB-</w:t>
            </w:r>
          </w:p>
        </w:tc>
        <w:tc>
          <w:tcPr>
            <w:tcW w:w="2020" w:type="dxa"/>
            <w:vAlign w:val="bottom"/>
            <w:shd w:val="clear" w:color="auto" w:fill="CCEEFF"/>
          </w:tcPr>
          <w:p>
            <w:pPr>
              <w:jc w:val="center"/>
              <w:ind w:right="114"/>
              <w:spacing w:after="0"/>
              <w:rPr>
                <w:sz w:val="20"/>
                <w:szCs w:val="20"/>
                <w:color w:val="auto"/>
              </w:rPr>
            </w:pPr>
            <w:r>
              <w:rPr>
                <w:rFonts w:ascii="Arial" w:cs="Arial" w:eastAsia="Arial" w:hAnsi="Arial"/>
                <w:sz w:val="17"/>
                <w:szCs w:val="17"/>
                <w:color w:val="auto"/>
                <w:w w:val="92"/>
              </w:rPr>
              <w:t>Negative</w:t>
            </w:r>
          </w:p>
        </w:tc>
      </w:tr>
    </w:tbl>
    <w:p>
      <w:pPr>
        <w:spacing w:after="0" w:line="310" w:lineRule="exact"/>
        <w:rPr>
          <w:sz w:val="20"/>
          <w:szCs w:val="20"/>
          <w:color w:val="auto"/>
        </w:rPr>
      </w:pPr>
    </w:p>
    <w:p>
      <w:pPr>
        <w:ind w:right="280" w:firstLine="619"/>
        <w:spacing w:after="0" w:line="262" w:lineRule="auto"/>
        <w:rPr>
          <w:sz w:val="20"/>
          <w:szCs w:val="20"/>
          <w:color w:val="auto"/>
        </w:rPr>
      </w:pPr>
      <w:r>
        <w:rPr>
          <w:rFonts w:ascii="Arial" w:cs="Arial" w:eastAsia="Arial" w:hAnsi="Arial"/>
          <w:sz w:val="17"/>
          <w:szCs w:val="17"/>
          <w:color w:val="auto"/>
        </w:rPr>
        <w:t>The Credit Agreement contains financial covenants that pertain to the Term Loan A and the Revolving Credit Facility. Specifically, we are required to maintain a Senior Secured Leverage Ratio of no more than 4.50 to 1.00 until June 30, 2024, with stepdowns to 4.00 to 1.00 thereafter, and an Interest Coverage Ratio of no less than 3.00 to 1.00 (defined and discussed in greater detail in Note 17: Long-Term Debt to our accompanying condensed consolidated financial statements). We were in compliance with these financial covenants as of September 30, 2023.</w:t>
      </w:r>
    </w:p>
    <w:p>
      <w:pPr>
        <w:spacing w:after="0" w:line="204" w:lineRule="exact"/>
        <w:rPr>
          <w:sz w:val="20"/>
          <w:szCs w:val="20"/>
          <w:color w:val="auto"/>
        </w:rPr>
      </w:pPr>
    </w:p>
    <w:p>
      <w:pPr>
        <w:ind w:right="80" w:firstLine="619"/>
        <w:spacing w:after="0" w:line="274" w:lineRule="auto"/>
        <w:rPr>
          <w:sz w:val="20"/>
          <w:szCs w:val="20"/>
          <w:color w:val="auto"/>
        </w:rPr>
      </w:pPr>
      <w:r>
        <w:rPr>
          <w:rFonts w:ascii="Arial" w:cs="Arial" w:eastAsia="Arial" w:hAnsi="Arial"/>
          <w:sz w:val="16"/>
          <w:szCs w:val="16"/>
          <w:color w:val="auto"/>
        </w:rPr>
        <w:t>We believe that our existing cash and cash equivalents along with cash flows expected to be generated from future operations including the cash received from our uncommitted trade accounts receivable purchase facility and the funds received and accessible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2022 Annual Report on Form 10-K for discussion of the risks and uncertainties associated with our debt financing.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Liquidity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Expenditures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September 30, 2023, we estimate that our capital expenditures in 2023 will be in the range of $75 million to $85 million.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principal commitments at September 30, 2023 include both short and long-term future obligations.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Operating Leases</w:t>
      </w:r>
    </w:p>
    <w:p>
      <w:pPr>
        <w:spacing w:after="0" w:line="243" w:lineRule="exact"/>
        <w:rPr>
          <w:sz w:val="20"/>
          <w:szCs w:val="20"/>
          <w:color w:val="auto"/>
        </w:rPr>
      </w:pPr>
    </w:p>
    <w:p>
      <w:pPr>
        <w:ind w:right="380" w:firstLine="619"/>
        <w:spacing w:after="0" w:line="279" w:lineRule="auto"/>
        <w:rPr>
          <w:sz w:val="20"/>
          <w:szCs w:val="20"/>
          <w:color w:val="auto"/>
        </w:rPr>
      </w:pPr>
      <w:r>
        <w:rPr>
          <w:rFonts w:ascii="Arial" w:cs="Arial" w:eastAsia="Arial" w:hAnsi="Arial"/>
          <w:sz w:val="17"/>
          <w:szCs w:val="17"/>
          <w:color w:val="auto"/>
        </w:rPr>
        <w:t>We have non-cancelable operating lease agreements where we are contractually obligated for certain lease payment amounts. We assumed additional operating leases as a result of our acquisition of Smiths Medical. For more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regarding our operating lease obligations, (see Note 6: Leases to our accompanying condensed consolidated financial statements).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Long-term Debt</w:t>
      </w:r>
    </w:p>
    <w:p>
      <w:pPr>
        <w:spacing w:after="0" w:line="243" w:lineRule="exact"/>
        <w:rPr>
          <w:sz w:val="20"/>
          <w:szCs w:val="20"/>
          <w:color w:val="auto"/>
        </w:rPr>
      </w:pPr>
    </w:p>
    <w:p>
      <w:pPr>
        <w:ind w:right="60" w:firstLine="619"/>
        <w:spacing w:after="0" w:line="299" w:lineRule="auto"/>
        <w:rPr>
          <w:sz w:val="20"/>
          <w:szCs w:val="20"/>
          <w:color w:val="auto"/>
        </w:rPr>
      </w:pPr>
      <w:r>
        <w:rPr>
          <w:rFonts w:ascii="Arial" w:cs="Arial" w:eastAsia="Arial" w:hAnsi="Arial"/>
          <w:sz w:val="15"/>
          <w:szCs w:val="15"/>
          <w:color w:val="auto"/>
        </w:rPr>
        <w:t>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initial applicable margin of 1.75% for Term Loan A and 2.50% for Term Loan B and the revolver commitment fees were estimated using the initial rate of 0.25%. The applicable margin rate and commitment fee rate will change from time to time in accordance with a preset pricing grid based on the leverage ratio (see Note 17: Long-Term Debt to our accompanying condensed consolidated financial statements for pricing grids related to the Senior Secured Credit Facilities). We expect to fund these obligations with our existing cash and cash equivalents and cash generated from our future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7"/>
              </w:rPr>
              <w:t>Remainder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b w:val="1"/>
                <w:bCs w:val="1"/>
                <w:color w:val="auto"/>
                <w:w w:val="94"/>
              </w:rPr>
              <w:t>(in millions)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0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2024</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2025</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2026</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2028</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98"/>
              </w:rPr>
              <w:t>Thereafter</w:t>
            </w: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A Principal Payments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664.1</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Term Loan A Interest Payments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B Principal Payments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792.6</w:t>
            </w:r>
          </w:p>
        </w:tc>
        <w:tc>
          <w:tcPr>
            <w:tcW w:w="0" w:type="dxa"/>
            <w:vAlign w:val="bottom"/>
          </w:tcPr>
          <w:p>
            <w:pPr>
              <w:spacing w:after="0"/>
              <w:rPr>
                <w:sz w:val="1"/>
                <w:szCs w:val="1"/>
                <w:color w:val="auto"/>
              </w:rPr>
            </w:pPr>
          </w:p>
        </w:tc>
      </w:tr>
      <w:tr>
        <w:trPr>
          <w:trHeight w:val="218"/>
        </w:trPr>
        <w:tc>
          <w:tcPr>
            <w:tcW w:w="3060" w:type="dxa"/>
            <w:vAlign w:val="bottom"/>
          </w:tcPr>
          <w:p>
            <w:pPr>
              <w:ind w:left="20"/>
              <w:spacing w:after="0"/>
              <w:rPr>
                <w:sz w:val="20"/>
                <w:szCs w:val="20"/>
                <w:color w:val="auto"/>
              </w:rPr>
            </w:pPr>
            <w:r>
              <w:rPr>
                <w:rFonts w:ascii="Arial" w:cs="Arial" w:eastAsia="Arial" w:hAnsi="Arial"/>
                <w:sz w:val="17"/>
                <w:szCs w:val="17"/>
                <w:color w:val="auto"/>
              </w:rPr>
              <w:t>Term Loan B Interest Payments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Revolver Commitment Fee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178.5</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171.8</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727.0</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Future Capital Investments</w:t>
      </w:r>
    </w:p>
    <w:p>
      <w:pPr>
        <w:spacing w:after="0" w:line="243" w:lineRule="exact"/>
        <w:rPr>
          <w:sz w:val="20"/>
          <w:szCs w:val="20"/>
          <w:color w:val="auto"/>
        </w:rPr>
      </w:pPr>
    </w:p>
    <w:p>
      <w:pPr>
        <w:jc w:val="both"/>
        <w:ind w:right="280" w:firstLine="619"/>
        <w:spacing w:after="0" w:line="279" w:lineRule="auto"/>
        <w:rPr>
          <w:sz w:val="20"/>
          <w:szCs w:val="20"/>
          <w:color w:val="auto"/>
        </w:rPr>
      </w:pPr>
      <w:r>
        <w:rPr>
          <w:rFonts w:ascii="Arial" w:cs="Arial" w:eastAsia="Arial" w:hAnsi="Arial"/>
          <w:sz w:val="17"/>
          <w:szCs w:val="17"/>
          <w:color w:val="auto"/>
        </w:rPr>
        <w:t>At September 30, 2023, there have been no material changes to our estimate for restructuring and integration expenses along with spending to support quality systems and quality compliance objectives, as previously disclosed in our 2022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Indemnifications</w:t>
      </w:r>
    </w:p>
    <w:p>
      <w:pPr>
        <w:spacing w:after="0" w:line="249" w:lineRule="exact"/>
        <w:rPr>
          <w:sz w:val="20"/>
          <w:szCs w:val="20"/>
          <w:color w:val="auto"/>
        </w:rPr>
      </w:pPr>
    </w:p>
    <w:p>
      <w:pPr>
        <w:jc w:val="both"/>
        <w:ind w:right="300" w:firstLine="619"/>
        <w:spacing w:after="0" w:line="318" w:lineRule="auto"/>
        <w:rPr>
          <w:sz w:val="20"/>
          <w:szCs w:val="20"/>
          <w:color w:val="auto"/>
        </w:rPr>
      </w:pPr>
      <w:r>
        <w:rPr>
          <w:rFonts w:ascii="Arial" w:cs="Arial" w:eastAsia="Arial" w:hAnsi="Arial"/>
          <w:sz w:val="15"/>
          <w:szCs w:val="15"/>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Historical Cash Flows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43"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Our net cash provided by operations for the nine months ended September 30, 2023 was $74.9 million. The changes in operating assets and liabilities included a $66.7 million increase in inventories, a $18.9 million increase in other assets, a $65.0 million decrease in accounts payable, $42.9 million in net changes in income taxes, including excess tax benefits and deferred income taxes and a $10.5 million decrease in accrued liabilities. Offsetting these amounts was a $43.1 million decrease in accounts receivable and a $11.3 million decrease in prepaid expenses and other current assets. The increase in inventory was primarily to build inventory safety stock levels. The increase in other assets was due to the purchase of spare parts. The decrease in accounts payable was due to the timing of payments. The net changes in income taxes was a result of recording the current deferred provision and the timing of payments. The increase in accrued liabilities was primarily due to employee costs. The decrease in accounts receivable was primarily due to the sale of accounts receivable as part of our accounts receivable purchase program with Bank of the West (see Note 21: Accounts Receivable Purchase Program). The decrease in prepaid expenses and other current assets was primarily due to insurance and property taxes.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firstLine="619"/>
        <w:spacing w:after="0" w:line="294" w:lineRule="auto"/>
        <w:rPr>
          <w:sz w:val="20"/>
          <w:szCs w:val="20"/>
          <w:color w:val="auto"/>
        </w:rPr>
      </w:pPr>
      <w:r>
        <w:rPr>
          <w:rFonts w:ascii="Arial" w:cs="Arial" w:eastAsia="Arial" w:hAnsi="Arial"/>
          <w:sz w:val="15"/>
          <w:szCs w:val="15"/>
          <w:color w:val="auto"/>
        </w:rPr>
        <w:t>Our net cash used in operations for the nine months ended September 30, 2022 was $60.4 million. The changes in operating assets and liabilities included a $151.8 million increase in inventories, a $22.6 million increase in other assets, a $38.1 million decrease in accrued liabilities, $63.0 million in net changes in income taxes, including excess tax benefits and deferred income taxes and a $9.0 million increase in accounts receivable. Offsetting these amounts was a $20.1 million decrease in prepaid expenses and other current assets and a $30.4 million increase in accounts payable. The increase in inventory was primarily to build inventory safety stock levels. The increase in other assets was due to the purchase of spare parts and the capitalization of debt issuance costs allocated to the revolving credit facility. The decrease in accrued liabilities was primarily due to the payout of annual bonuses. The net changes in income taxes was a result of recording the current deferred provision and the timing of payments. The increase in accounts receivable was primarily due to the net impact of collection efforts and the timing of revenue. The net decrease in prepaid expenses and other current assets was primarily due to a decrease in deferred costs mostly offset by capitalized debt issuance costs allocated to the revolving credit facility. The increase in accounts payable was due to the timing of payments.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38"/>
        </w:trPr>
        <w:tc>
          <w:tcPr>
            <w:tcW w:w="6520" w:type="dxa"/>
            <w:vAlign w:val="bottom"/>
          </w:tcPr>
          <w:p>
            <w:pPr>
              <w:ind w:left="180"/>
              <w:spacing w:after="0"/>
              <w:rPr>
                <w:sz w:val="20"/>
                <w:szCs w:val="20"/>
                <w:color w:val="auto"/>
              </w:rPr>
            </w:pPr>
            <w:r>
              <w:rPr>
                <w:rFonts w:ascii="Arial" w:cs="Arial" w:eastAsia="Arial" w:hAnsi="Arial"/>
                <w:sz w:val="17"/>
                <w:szCs w:val="17"/>
                <w:color w:val="auto"/>
                <w:w w:val="96"/>
              </w:rPr>
              <w:t>The following table summarizes the changes in our investing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5"/>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Arial" w:cs="Arial" w:eastAsia="Arial" w:hAnsi="Arial"/>
                <w:sz w:val="17"/>
                <w:szCs w:val="17"/>
                <w:b w:val="1"/>
                <w:bCs w:val="1"/>
                <w:color w:val="auto"/>
              </w:rPr>
              <w:t>Nine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5"/>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9"/>
        </w:trPr>
        <w:tc>
          <w:tcPr>
            <w:tcW w:w="6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9"/>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400" w:type="dxa"/>
            <w:vAlign w:val="bottom"/>
            <w:tcBorders>
              <w:bottom w:val="single" w:sz="8" w:color="auto"/>
            </w:tcBorders>
          </w:tcPr>
          <w:p>
            <w:pPr>
              <w:spacing w:after="0"/>
              <w:rPr>
                <w:sz w:val="19"/>
                <w:szCs w:val="19"/>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Purchases of property, plant and equipment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(53,956)</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(68,715)</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14,759</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(1)</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400" w:type="dxa"/>
            <w:vAlign w:val="bottom"/>
            <w:shd w:val="clear" w:color="auto" w:fill="CCEEFF"/>
          </w:tcPr>
          <w:p>
            <w:pPr>
              <w:spacing w:after="0"/>
              <w:rPr>
                <w:sz w:val="19"/>
                <w:szCs w:val="19"/>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Business acquisitions, net of cash acquired</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4"/>
              </w:rPr>
              <w:t>(1,844,164)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1,844,164</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(2)</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 additions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w:t>
            </w:r>
          </w:p>
        </w:tc>
        <w:tc>
          <w:tcPr>
            <w:tcW w:w="400" w:type="dxa"/>
            <w:vAlign w:val="bottom"/>
            <w:shd w:val="clear" w:color="auto" w:fill="CCEEFF"/>
          </w:tcPr>
          <w:p>
            <w:pPr>
              <w:spacing w:after="0"/>
              <w:rPr>
                <w:sz w:val="19"/>
                <w:szCs w:val="19"/>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Purchases of investment securities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3,397</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(3)</w:t>
            </w: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investment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(33,513) (4)</w:t>
            </w:r>
          </w:p>
        </w:tc>
      </w:tr>
      <w:tr>
        <w:trPr>
          <w:trHeight w:val="213"/>
        </w:trPr>
        <w:tc>
          <w:tcPr>
            <w:tcW w:w="6520" w:type="dxa"/>
            <w:vAlign w:val="bottom"/>
          </w:tcPr>
          <w:p>
            <w:pPr>
              <w:ind w:left="14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(57,297)</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(1,885,470)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1,828,173</w:t>
            </w:r>
          </w:p>
        </w:tc>
        <w:tc>
          <w:tcPr>
            <w:tcW w:w="4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62" w:lineRule="exact"/>
        <w:rPr>
          <w:sz w:val="20"/>
          <w:szCs w:val="20"/>
          <w:color w:val="auto"/>
        </w:rPr>
      </w:pPr>
    </w:p>
    <w:p>
      <w:pPr>
        <w:ind w:left="320" w:right="560" w:hanging="317"/>
        <w:spacing w:after="0" w:line="226" w:lineRule="auto"/>
        <w:tabs>
          <w:tab w:leader="none" w:pos="183" w:val="left"/>
        </w:tabs>
        <w:numPr>
          <w:ilvl w:val="0"/>
          <w:numId w:val="41"/>
        </w:numPr>
        <w:rPr>
          <w:rFonts w:ascii="Arial" w:cs="Arial" w:eastAsia="Arial" w:hAnsi="Arial"/>
          <w:sz w:val="22"/>
          <w:szCs w:val="22"/>
          <w:color w:val="auto"/>
          <w:vertAlign w:val="superscript"/>
        </w:rPr>
      </w:pPr>
      <w:r>
        <w:rPr>
          <w:rFonts w:ascii="Arial" w:cs="Arial" w:eastAsia="Arial" w:hAnsi="Arial"/>
          <w:sz w:val="17"/>
          <w:szCs w:val="17"/>
          <w:color w:val="auto"/>
        </w:rPr>
        <w:t>Our purchases of property, plant and equipment will also vary from period to period based on additional investments needed to support new and existing products and expansion of our manufacturing facilities.</w:t>
      </w:r>
    </w:p>
    <w:p>
      <w:pPr>
        <w:spacing w:after="0" w:line="41" w:lineRule="exact"/>
        <w:rPr>
          <w:rFonts w:ascii="Arial" w:cs="Arial" w:eastAsia="Arial" w:hAnsi="Arial"/>
          <w:sz w:val="22"/>
          <w:szCs w:val="22"/>
          <w:color w:val="auto"/>
          <w:vertAlign w:val="superscript"/>
        </w:rPr>
      </w:pPr>
    </w:p>
    <w:p>
      <w:pPr>
        <w:ind w:left="320" w:right="200" w:hanging="317"/>
        <w:spacing w:after="0" w:line="234" w:lineRule="auto"/>
        <w:tabs>
          <w:tab w:leader="none" w:pos="183" w:val="left"/>
        </w:tabs>
        <w:numPr>
          <w:ilvl w:val="0"/>
          <w:numId w:val="41"/>
        </w:numPr>
        <w:rPr>
          <w:rFonts w:ascii="Arial" w:cs="Arial" w:eastAsia="Arial" w:hAnsi="Arial"/>
          <w:sz w:val="22"/>
          <w:szCs w:val="22"/>
          <w:color w:val="auto"/>
          <w:vertAlign w:val="superscript"/>
        </w:rPr>
      </w:pPr>
      <w:r>
        <w:rPr>
          <w:rFonts w:ascii="Arial" w:cs="Arial" w:eastAsia="Arial" w:hAnsi="Arial"/>
          <w:sz w:val="17"/>
          <w:szCs w:val="17"/>
          <w:color w:val="auto"/>
        </w:rPr>
        <w:t>Our business acquisitions will vary from period to period based upon our current growth strategy and our ability to execute on desirable target companies. On January 6, 2022, we completed the acquisition of Smiths Medical. The cash consideration for the transaction was $1.9 billion, which was financed with existing cash balances and borrowings under the Credit Agreement. Acquired cash was $78.8 million.</w:t>
      </w:r>
    </w:p>
    <w:p>
      <w:pPr>
        <w:spacing w:after="0" w:line="42" w:lineRule="exact"/>
        <w:rPr>
          <w:rFonts w:ascii="Arial" w:cs="Arial" w:eastAsia="Arial" w:hAnsi="Arial"/>
          <w:sz w:val="22"/>
          <w:szCs w:val="22"/>
          <w:color w:val="auto"/>
          <w:vertAlign w:val="superscript"/>
        </w:rPr>
      </w:pPr>
    </w:p>
    <w:p>
      <w:pPr>
        <w:ind w:left="320" w:right="80" w:hanging="317"/>
        <w:spacing w:after="0" w:line="226" w:lineRule="auto"/>
        <w:tabs>
          <w:tab w:leader="none" w:pos="252" w:val="left"/>
        </w:tabs>
        <w:numPr>
          <w:ilvl w:val="0"/>
          <w:numId w:val="41"/>
        </w:numPr>
        <w:rPr>
          <w:rFonts w:ascii="Arial" w:cs="Arial" w:eastAsia="Arial" w:hAnsi="Arial"/>
          <w:sz w:val="22"/>
          <w:szCs w:val="22"/>
          <w:color w:val="auto"/>
          <w:vertAlign w:val="superscript"/>
        </w:rPr>
      </w:pPr>
      <w:r>
        <w:rPr>
          <w:rFonts w:ascii="Arial" w:cs="Arial" w:eastAsia="Arial" w:hAnsi="Arial"/>
          <w:sz w:val="17"/>
          <w:szCs w:val="17"/>
          <w:color w:val="auto"/>
        </w:rPr>
        <w:t>Our purchases of investment securities will vary from period to period based on current cash needs, planning for known future transactions and changes in our investment strategy.</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41"/>
        </w:numPr>
        <w:rPr>
          <w:rFonts w:ascii="Arial" w:cs="Arial" w:eastAsia="Arial" w:hAnsi="Arial"/>
          <w:sz w:val="22"/>
          <w:szCs w:val="22"/>
          <w:color w:val="auto"/>
          <w:vertAlign w:val="superscript"/>
        </w:rPr>
      </w:pPr>
      <w:r>
        <w:rPr>
          <w:rFonts w:ascii="Arial" w:cs="Arial" w:eastAsia="Arial" w:hAnsi="Arial"/>
          <w:sz w:val="17"/>
          <w:szCs w:val="17"/>
          <w:color w:val="auto"/>
        </w:rPr>
        <w:t>Proceeds from the sale of our investment securities will vary from period to period based on the maturity dates of the investments.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changes in our financing cash flows (in thousands):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7"/>
                <w:szCs w:val="17"/>
                <w:b w:val="1"/>
                <w:bCs w:val="1"/>
                <w:color w:val="auto"/>
              </w:rPr>
              <w:t>Nine months ended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25"/>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9"/>
        </w:trPr>
        <w:tc>
          <w:tcPr>
            <w:tcW w:w="6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9"/>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400" w:type="dxa"/>
            <w:vAlign w:val="bottom"/>
            <w:tcBorders>
              <w:bottom w:val="single" w:sz="8" w:color="auto"/>
            </w:tcBorders>
          </w:tcPr>
          <w:p>
            <w:pPr>
              <w:spacing w:after="0"/>
              <w:rPr>
                <w:sz w:val="19"/>
                <w:szCs w:val="19"/>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Proceeds from issuance of long-term debt, net of lender debt issuance costs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1,672,631</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(1,672,631)</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(1)</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payments on long-term debt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(2)</w:t>
            </w: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Payment of third-party debt issuance costs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1,852</w:t>
            </w:r>
          </w:p>
        </w:tc>
        <w:tc>
          <w:tcPr>
            <w:tcW w:w="400" w:type="dxa"/>
            <w:vAlign w:val="bottom"/>
          </w:tcPr>
          <w:p>
            <w:pPr>
              <w:jc w:val="right"/>
              <w:ind w:right="94"/>
              <w:spacing w:after="0"/>
              <w:rPr>
                <w:sz w:val="20"/>
                <w:szCs w:val="20"/>
                <w:color w:val="auto"/>
              </w:rPr>
            </w:pPr>
            <w:r>
              <w:rPr>
                <w:rFonts w:ascii="Arial" w:cs="Arial" w:eastAsia="Arial" w:hAnsi="Arial"/>
                <w:sz w:val="17"/>
                <w:szCs w:val="17"/>
                <w:color w:val="auto"/>
                <w:w w:val="96"/>
              </w:rPr>
              <w:t>(3)</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(3,884)</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(4)</w:t>
            </w: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Payments on finance leases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(204)</w:t>
            </w:r>
          </w:p>
        </w:tc>
        <w:tc>
          <w:tcPr>
            <w:tcW w:w="400" w:type="dxa"/>
            <w:vAlign w:val="bottom"/>
          </w:tcPr>
          <w:p>
            <w:pPr>
              <w:spacing w:after="0"/>
              <w:rPr>
                <w:sz w:val="18"/>
                <w:szCs w:val="18"/>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withholding payments related to net share settlement of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6"/>
              </w:rPr>
              <w:t>(5)</w:t>
            </w:r>
          </w:p>
        </w:tc>
      </w:tr>
      <w:tr>
        <w:trPr>
          <w:trHeight w:val="213"/>
        </w:trPr>
        <w:tc>
          <w:tcPr>
            <w:tcW w:w="6520" w:type="dxa"/>
            <w:vAlign w:val="bottom"/>
          </w:tcPr>
          <w:p>
            <w:pPr>
              <w:ind w:left="140"/>
              <w:spacing w:after="0"/>
              <w:rPr>
                <w:sz w:val="20"/>
                <w:szCs w:val="20"/>
                <w:color w:val="auto"/>
              </w:rPr>
            </w:pPr>
            <w:r>
              <w:rPr>
                <w:rFonts w:ascii="Arial" w:cs="Arial" w:eastAsia="Arial" w:hAnsi="Arial"/>
                <w:sz w:val="17"/>
                <w:szCs w:val="17"/>
                <w:color w:val="auto"/>
              </w:rPr>
              <w:t>Net cash (used in) provided by financing activities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(28,130)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1,647,417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(1,675,547)</w:t>
            </w:r>
          </w:p>
        </w:tc>
        <w:tc>
          <w:tcPr>
            <w:tcW w:w="4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62" w:lineRule="exact"/>
        <w:rPr>
          <w:sz w:val="20"/>
          <w:szCs w:val="20"/>
          <w:color w:val="auto"/>
        </w:rPr>
      </w:pPr>
    </w:p>
    <w:p>
      <w:pPr>
        <w:ind w:left="320" w:hanging="317"/>
        <w:spacing w:after="0" w:line="234" w:lineRule="auto"/>
        <w:tabs>
          <w:tab w:leader="none" w:pos="252"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In January 2022, we borrowed an aggregate of $1.7 billion under the Senior Secured Credit Facilities to partially finance our acquisition of Smiths Medical (see Note 17: Long-Term Debt to our accompanying condensed consolidated financial statements for additional information). The proceeds were net of $27.3 million in payments of lender debt issuance costs.</w:t>
      </w:r>
    </w:p>
    <w:p>
      <w:pPr>
        <w:spacing w:after="0" w:line="6"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Relates to scheduled principal payments on the Senior Secured Credit Facilities.</w:t>
      </w:r>
    </w:p>
    <w:p>
      <w:pPr>
        <w:spacing w:after="0" w:line="54" w:lineRule="exact"/>
        <w:rPr>
          <w:rFonts w:ascii="Arial" w:cs="Arial" w:eastAsia="Arial" w:hAnsi="Arial"/>
          <w:sz w:val="22"/>
          <w:szCs w:val="22"/>
          <w:color w:val="auto"/>
          <w:vertAlign w:val="superscript"/>
        </w:rPr>
      </w:pPr>
    </w:p>
    <w:p>
      <w:pPr>
        <w:ind w:left="300" w:hanging="297"/>
        <w:spacing w:after="0" w:line="192" w:lineRule="auto"/>
        <w:tabs>
          <w:tab w:leader="none" w:pos="300"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Relates to third-party debt issuance costs in connection with entering into the Senior Secured Credit Facilities.</w:t>
      </w:r>
    </w:p>
    <w:p>
      <w:pPr>
        <w:spacing w:after="0" w:line="55" w:lineRule="exact"/>
        <w:rPr>
          <w:rFonts w:ascii="Arial" w:cs="Arial" w:eastAsia="Arial" w:hAnsi="Arial"/>
          <w:sz w:val="22"/>
          <w:szCs w:val="22"/>
          <w:color w:val="auto"/>
          <w:vertAlign w:val="superscript"/>
        </w:rPr>
      </w:pPr>
    </w:p>
    <w:p>
      <w:pPr>
        <w:ind w:left="320" w:right="320" w:hanging="317"/>
        <w:spacing w:after="0" w:line="219" w:lineRule="auto"/>
        <w:tabs>
          <w:tab w:leader="none" w:pos="312"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Proceeds from the exercise of stock options will vary from period to period based on the volume of options exercised and the exercise price of the specific options exercised.</w:t>
      </w:r>
    </w:p>
    <w:p>
      <w:pPr>
        <w:spacing w:after="0" w:line="40" w:lineRule="exact"/>
        <w:rPr>
          <w:rFonts w:ascii="Arial" w:cs="Arial" w:eastAsia="Arial" w:hAnsi="Arial"/>
          <w:sz w:val="22"/>
          <w:szCs w:val="22"/>
          <w:color w:val="auto"/>
          <w:vertAlign w:val="superscript"/>
        </w:rPr>
      </w:pPr>
    </w:p>
    <w:p>
      <w:pPr>
        <w:ind w:left="320" w:right="40" w:hanging="317"/>
        <w:spacing w:after="0" w:line="261" w:lineRule="auto"/>
        <w:tabs>
          <w:tab w:leader="none" w:pos="168" w:val="left"/>
        </w:tabs>
        <w:numPr>
          <w:ilvl w:val="0"/>
          <w:numId w:val="42"/>
        </w:numPr>
        <w:rPr>
          <w:rFonts w:ascii="Arial" w:cs="Arial" w:eastAsia="Arial" w:hAnsi="Arial"/>
          <w:sz w:val="20"/>
          <w:szCs w:val="20"/>
          <w:color w:val="auto"/>
          <w:vertAlign w:val="superscript"/>
        </w:rPr>
      </w:pPr>
      <w:r>
        <w:rPr>
          <w:rFonts w:ascii="Arial" w:cs="Arial" w:eastAsia="Arial" w:hAnsi="Arial"/>
          <w:sz w:val="16"/>
          <w:szCs w:val="16"/>
          <w:color w:val="auto"/>
        </w:rPr>
        <w:t>During the nine months ended September 30, 2023, our employees surrendered 58,089 shares of our common stock from vested restricted stock unit awards as consideration for approximately $9.2 million in minimum statutory withholding obligations paid on their behalf. During the nine months ended September 30, 2022, our employees surrendered 45,370 shares of our common stock from vested restricted stock unit awards as consideration for approximately $10.5 million in minimum statutory withholding obligations paid on their behalf.</w:t>
      </w:r>
    </w:p>
    <w:p>
      <w:pPr>
        <w:spacing w:after="0" w:line="207" w:lineRule="exact"/>
        <w:rPr>
          <w:sz w:val="20"/>
          <w:szCs w:val="20"/>
          <w:color w:val="auto"/>
        </w:rPr>
      </w:pPr>
    </w:p>
    <w:p>
      <w:pPr>
        <w:ind w:firstLine="619"/>
        <w:spacing w:after="0" w:line="349" w:lineRule="auto"/>
        <w:rPr>
          <w:sz w:val="20"/>
          <w:szCs w:val="20"/>
          <w:color w:val="auto"/>
        </w:rPr>
      </w:pPr>
      <w:r>
        <w:rPr>
          <w:rFonts w:ascii="Arial" w:cs="Arial" w:eastAsia="Arial" w:hAnsi="Arial"/>
          <w:sz w:val="15"/>
          <w:szCs w:val="15"/>
          <w:color w:val="auto"/>
        </w:rPr>
        <w:t>Our common stock purchase plan, which authorized the repurchase of up to $100.0 million of our common stock, was approved by our Board of Directors in August 2019. This plan has no expiration date. As of September 30, 2023, all of the $100.0 million available for purchase was remaining under the plan.</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49"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In our 2022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2022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2: New Accounting Pronouncements in Part I, Item 1.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Credit Facility</w:t>
      </w:r>
    </w:p>
    <w:p>
      <w:pPr>
        <w:spacing w:after="0" w:line="243" w:lineRule="exact"/>
        <w:rPr>
          <w:sz w:val="20"/>
          <w:szCs w:val="20"/>
          <w:color w:val="auto"/>
        </w:rPr>
      </w:pPr>
    </w:p>
    <w:p>
      <w:pPr>
        <w:jc w:val="both"/>
        <w:ind w:right="220" w:firstLine="172"/>
        <w:spacing w:after="0" w:line="266" w:lineRule="auto"/>
        <w:rPr>
          <w:sz w:val="20"/>
          <w:szCs w:val="20"/>
          <w:color w:val="auto"/>
        </w:rPr>
      </w:pPr>
      <w:r>
        <w:rPr>
          <w:rFonts w:ascii="Arial" w:cs="Arial" w:eastAsia="Arial" w:hAnsi="Arial"/>
          <w:sz w:val="17"/>
          <w:szCs w:val="17"/>
          <w:color w:val="auto"/>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The term loan A facility currently bears interest based on Adjusted Term SOFR plus an initial applicable margin of 1.75% per year. The term loan B facility currently bears interest based on Adjusted Term SOFR subject to a 0.50% floor plus an initial applicable margin of 2.5%. We used a sensitivity analysis to measure our interest rate risk exposure. If the SOFR rate increases or decreases 1% from September 30, 2023, the additional annual interest expense or savings related to the term loans would amount to approximately $16.6 million.</w:t>
      </w:r>
    </w:p>
    <w:p>
      <w:pPr>
        <w:spacing w:after="0" w:line="204" w:lineRule="exact"/>
        <w:rPr>
          <w:sz w:val="20"/>
          <w:szCs w:val="20"/>
          <w:color w:val="auto"/>
        </w:rPr>
      </w:pPr>
    </w:p>
    <w:p>
      <w:pPr>
        <w:ind w:right="200" w:firstLine="619"/>
        <w:spacing w:after="0" w:line="292" w:lineRule="auto"/>
        <w:rPr>
          <w:sz w:val="20"/>
          <w:szCs w:val="20"/>
          <w:color w:val="auto"/>
        </w:rPr>
      </w:pPr>
      <w:r>
        <w:rPr>
          <w:rFonts w:ascii="Arial" w:cs="Arial" w:eastAsia="Arial" w:hAnsi="Arial"/>
          <w:sz w:val="15"/>
          <w:szCs w:val="15"/>
          <w:color w:val="auto"/>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excluding its final maturity on March 30, 2027 and we will pay a fixed rate of 1.32% and will receive the greater of 3-month USD SOFR or</w:t>
      </w:r>
    </w:p>
    <w:p>
      <w:pPr>
        <w:spacing w:after="0" w:line="302" w:lineRule="auto"/>
        <w:rPr>
          <w:sz w:val="20"/>
          <w:szCs w:val="20"/>
          <w:color w:val="auto"/>
        </w:rPr>
      </w:pPr>
      <w:r>
        <w:rPr>
          <w:rFonts w:ascii="Arial" w:cs="Arial" w:eastAsia="Arial" w:hAnsi="Arial"/>
          <w:sz w:val="15"/>
          <w:szCs w:val="15"/>
          <w:color w:val="auto"/>
        </w:rPr>
        <w:t>(0.15)%. The term loan B swap has an initial notional amount of $750.0 million, reducing to $46.9 million evenly on a quarterly basis excluding its final maturity on March 30, 2026 and we will pay a fixed rate of 1.17% and will receive the greater of 3-month USD SOFR or 0.35%. In June 2023, we entered into an additional swap with a notional amount of $300 million with a maturity date of June 30, 2028 and we will pay a fixed rate of 3.8765% starting on June 30, 2023 and receive 3-month USD SOFR. See Note 8: Derivatives and Hedging Activities to the condensed consolidated financial statements in Part I, Item 1 of this Form 10-Q.</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Accounts Receivable Purchase Program</w:t>
      </w:r>
    </w:p>
    <w:p>
      <w:pPr>
        <w:spacing w:after="0" w:line="243"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Additionally, our accounts receivable purchase program with Bank of the West bears discount rates tied to SOFR. These variable discount rates would affect the amount of factoring costs we incur, and the amount of cash we receive upon the sales of accounts receivable under this program. A 1% increase in SOFR rates on the accounts receivable sales would not have a material impact on our results of operations.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Foreign Currency Exchange Rate Risk</w:t>
      </w:r>
    </w:p>
    <w:p>
      <w:pPr>
        <w:spacing w:after="0" w:line="243" w:lineRule="exact"/>
        <w:rPr>
          <w:sz w:val="20"/>
          <w:szCs w:val="20"/>
          <w:color w:val="auto"/>
        </w:rPr>
      </w:pPr>
    </w:p>
    <w:p>
      <w:pPr>
        <w:ind w:right="40" w:firstLine="172"/>
        <w:spacing w:after="0" w:line="276" w:lineRule="auto"/>
        <w:rPr>
          <w:sz w:val="20"/>
          <w:szCs w:val="20"/>
          <w:color w:val="auto"/>
        </w:rPr>
      </w:pPr>
      <w:r>
        <w:rPr>
          <w:rFonts w:ascii="Arial" w:cs="Arial" w:eastAsia="Arial" w:hAnsi="Arial"/>
          <w:sz w:val="16"/>
          <w:szCs w:val="16"/>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currency exchange rate risk.</w:t>
      </w:r>
    </w:p>
    <w:p>
      <w:pPr>
        <w:spacing w:after="0" w:line="19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Our foreign currency exchange forward contracts hedge a portion of our forecasted foreign currency-denominated revenues and expenses (principally Mexican Pesos, Euros, Japanese Yen, U.S. Dollar, Chinese Renminbi, Canadian Dollar, and Australian Dollar) that differ from the functional currency of the operating unit. These derivative contracts are designated and qualify as cash flow hedges (see Note 8: Derivatives and Hedging Activities to the condensed consolidated financial statements in Part I, Item 1 of this Quarterly Report on Form 10-Q). We performed a sensitivity analysis to estimate changes in the fair value of our foreign exchange derivatives due to potential changes in near-term foreign currency exchange rates. At September 30, 2023, the effect of a hypothetical 10% weakening in the actual foreign currency exchange rates used for the applicable currencies would result in an estimated decrease in the fair value of these outstanding derivative contracts by approximately $2.6 million.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Limitations on Effectiveness of Controls and Procedures</w:t>
      </w:r>
    </w:p>
    <w:p>
      <w:pPr>
        <w:spacing w:after="0" w:line="243" w:lineRule="exact"/>
        <w:rPr>
          <w:sz w:val="20"/>
          <w:szCs w:val="20"/>
          <w:color w:val="auto"/>
        </w:rPr>
      </w:pPr>
    </w:p>
    <w:p>
      <w:pPr>
        <w:ind w:right="3080" w:firstLine="619"/>
        <w:spacing w:after="0" w:line="259"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80" w:firstLine="619"/>
        <w:spacing w:after="0" w:line="313"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has evaluated the effectiveness of our disclosure controls and procedures (as such term is defined in Rules 13a-15(e) and 15d-15(e) under the Securities Exchange Act of 1934, as amended (the "Exchange Act")),</w:t>
      </w:r>
    </w:p>
    <w:p>
      <w:pPr>
        <w:spacing w:after="0" w:line="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the end of the period covered by this Quarterly Report. Based on the evaluation, our principal executive officer and principal financial officer concluded that, as of September 30, 2023, our disclosure controls and procedures were effective at the reasonable assurance level.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30" w:lineRule="exact"/>
        <w:rPr>
          <w:sz w:val="20"/>
          <w:szCs w:val="20"/>
          <w:color w:val="auto"/>
        </w:rPr>
      </w:pPr>
    </w:p>
    <w:p>
      <w:pPr>
        <w:ind w:right="360" w:firstLine="619"/>
        <w:spacing w:after="0" w:line="295"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during the quarter ended September 30, 2023 that has materially affected, or is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Legal Proceedings</w:t>
      </w:r>
    </w:p>
    <w:p>
      <w:pPr>
        <w:spacing w:after="0" w:line="223" w:lineRule="exact"/>
        <w:rPr>
          <w:sz w:val="20"/>
          <w:szCs w:val="20"/>
          <w:color w:val="auto"/>
        </w:rPr>
      </w:pPr>
    </w:p>
    <w:p>
      <w:pPr>
        <w:ind w:right="380" w:firstLine="172"/>
        <w:spacing w:after="0" w:line="279" w:lineRule="auto"/>
        <w:rPr>
          <w:sz w:val="20"/>
          <w:szCs w:val="20"/>
          <w:color w:val="auto"/>
        </w:rPr>
      </w:pPr>
      <w:r>
        <w:rPr>
          <w:rFonts w:ascii="Arial" w:cs="Arial" w:eastAsia="Arial" w:hAnsi="Arial"/>
          <w:sz w:val="17"/>
          <w:szCs w:val="17"/>
          <w:color w:val="auto"/>
        </w:rPr>
        <w:t>Certain legal proceedings in which we are involved are discussed in Part I, Item 1. "Financial Statements" of this Form 10-Q in Note 19. Commitments and Contingencies to the Condensed Consolidated Financial Statements,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223" w:lineRule="exact"/>
        <w:rPr>
          <w:sz w:val="20"/>
          <w:szCs w:val="20"/>
          <w:color w:val="auto"/>
        </w:rPr>
      </w:pPr>
    </w:p>
    <w:p>
      <w:pPr>
        <w:ind w:right="20" w:firstLine="172"/>
        <w:spacing w:after="0" w:line="262" w:lineRule="auto"/>
        <w:rPr>
          <w:sz w:val="20"/>
          <w:szCs w:val="20"/>
          <w:color w:val="auto"/>
        </w:rPr>
      </w:pPr>
      <w:r>
        <w:rPr>
          <w:rFonts w:ascii="Arial" w:cs="Arial" w:eastAsia="Arial" w:hAnsi="Arial"/>
          <w:sz w:val="17"/>
          <w:szCs w:val="17"/>
          <w:color w:val="auto"/>
        </w:rPr>
        <w:t>In evaluating an investment in our common stock, investors should consider carefully, among other things, the risk factors previously disclosed in Part I, Item 1A of our 2022 Annual Report on Form 10-K, as well as the information contained in this Quarterly Report, in each case as updated by our periodic reports and registration statements filed with the SEC. There have been no material changes to the risk factors disclosed in Part I. Item 1A of our 2022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Unregistered Sales of Equity Securities, Use of Proceeds, and Issuer Purchases of Equity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of Equity Securities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is a summary of our stock repurchasing activity during the third quarter of 2023: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4"/>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Average</w:t>
            </w:r>
          </w:p>
        </w:tc>
        <w:tc>
          <w:tcPr>
            <w:tcW w:w="1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part of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2" w:lineRule="exact"/>
              <w:rPr>
                <w:sz w:val="20"/>
                <w:szCs w:val="20"/>
                <w:color w:val="auto"/>
              </w:rPr>
            </w:pPr>
            <w:r>
              <w:rPr>
                <w:rFonts w:ascii="Arial" w:cs="Arial" w:eastAsia="Arial" w:hAnsi="Arial"/>
                <w:sz w:val="14"/>
                <w:szCs w:val="14"/>
                <w:b w:val="1"/>
                <w:bCs w:val="1"/>
                <w:color w:val="auto"/>
                <w:w w:val="89"/>
              </w:rPr>
              <w:t>dollar value that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7"/>
              </w:rPr>
              <w:t>Total number 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33"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87"/>
              </w:rPr>
              <w:t>price paid</w:t>
            </w: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5"/>
              </w:rPr>
              <w:t>announced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39" w:lineRule="exact"/>
              <w:rPr>
                <w:sz w:val="20"/>
                <w:szCs w:val="20"/>
                <w:color w:val="auto"/>
              </w:rPr>
            </w:pPr>
            <w:r>
              <w:rPr>
                <w:rFonts w:ascii="Arial" w:cs="Arial" w:eastAsia="Arial" w:hAnsi="Arial"/>
                <w:sz w:val="14"/>
                <w:szCs w:val="14"/>
                <w:b w:val="1"/>
                <w:bCs w:val="1"/>
                <w:color w:val="auto"/>
                <w:w w:val="88"/>
              </w:rPr>
              <w:t>purchased under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5"/>
              </w:rPr>
              <w:t>per share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4"/>
              <w:spacing w:after="0" w:line="194" w:lineRule="exact"/>
              <w:rPr>
                <w:sz w:val="20"/>
                <w:szCs w:val="20"/>
                <w:color w:val="auto"/>
              </w:rPr>
            </w:pPr>
            <w:r>
              <w:rPr>
                <w:rFonts w:ascii="Arial" w:cs="Arial" w:eastAsia="Arial" w:hAnsi="Arial"/>
                <w:sz w:val="14"/>
                <w:szCs w:val="14"/>
                <w:b w:val="1"/>
                <w:bCs w:val="1"/>
                <w:color w:val="auto"/>
                <w:w w:val="87"/>
              </w:rPr>
              <w:t>the program</w:t>
            </w:r>
            <w:r>
              <w:rPr>
                <w:rFonts w:ascii="Arial" w:cs="Arial" w:eastAsia="Arial" w:hAnsi="Arial"/>
                <w:sz w:val="17"/>
                <w:szCs w:val="17"/>
                <w:b w:val="1"/>
                <w:bCs w:val="1"/>
                <w:color w:val="auto"/>
                <w:w w:val="87"/>
                <w:vertAlign w:val="superscript"/>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07/01/2023 — 07/31/2023</w:t>
            </w:r>
          </w:p>
        </w:tc>
        <w:tc>
          <w:tcPr>
            <w:tcW w:w="142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08/01/2023 — 08/31/2023</w:t>
            </w:r>
          </w:p>
        </w:tc>
        <w:tc>
          <w:tcPr>
            <w:tcW w:w="1420" w:type="dxa"/>
            <w:vAlign w:val="bottom"/>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09/01/2023 — 09/30/2023</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Third quarter of 2023 total</w:t>
            </w: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4"/>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2378"/>
              <w:spacing w:after="0"/>
              <w:rPr>
                <w:sz w:val="20"/>
                <w:szCs w:val="20"/>
                <w:color w:val="auto"/>
              </w:rPr>
            </w:pPr>
            <w:r>
              <w:rPr>
                <w:rFonts w:ascii="Arial" w:cs="Arial" w:eastAsia="Arial" w:hAnsi="Arial"/>
                <w:sz w:val="19"/>
                <w:szCs w:val="19"/>
                <w:color w:val="auto"/>
                <w:w w:val="88"/>
              </w:rPr>
              <w:t>____________________________</w:t>
            </w: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20" w:right="20" w:hanging="317"/>
        <w:spacing w:after="0" w:line="242" w:lineRule="auto"/>
        <w:tabs>
          <w:tab w:leader="none" w:pos="230" w:val="left"/>
        </w:tabs>
        <w:numPr>
          <w:ilvl w:val="0"/>
          <w:numId w:val="43"/>
        </w:numPr>
        <w:rPr>
          <w:rFonts w:ascii="Arial" w:cs="Arial" w:eastAsia="Arial" w:hAnsi="Arial"/>
          <w:sz w:val="22"/>
          <w:szCs w:val="22"/>
          <w:color w:val="auto"/>
          <w:vertAlign w:val="superscript"/>
        </w:rPr>
      </w:pPr>
      <w:r>
        <w:rPr>
          <w:rFonts w:ascii="Arial" w:cs="Arial" w:eastAsia="Arial" w:hAnsi="Arial"/>
          <w:sz w:val="17"/>
          <w:szCs w:val="17"/>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and any restrictions on share purchases under our debt agreements, purchases under a stock purchase program may be made at such times and in such amounts as we deem appropriate. Purchases made under our stock purchase program can be discontinued at any time we feel additional purchases are not warranted.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5. Other Information</w:t>
      </w:r>
    </w:p>
    <w:p>
      <w:pPr>
        <w:spacing w:after="0" w:line="249" w:lineRule="exact"/>
        <w:rPr>
          <w:sz w:val="20"/>
          <w:szCs w:val="20"/>
          <w:color w:val="auto"/>
        </w:rPr>
      </w:pPr>
    </w:p>
    <w:p>
      <w:pPr>
        <w:ind w:left="680" w:hanging="367"/>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None</w:t>
      </w:r>
    </w:p>
    <w:p>
      <w:pPr>
        <w:spacing w:after="0" w:line="242" w:lineRule="exact"/>
        <w:rPr>
          <w:rFonts w:ascii="Arial" w:cs="Arial" w:eastAsia="Arial" w:hAnsi="Arial"/>
          <w:sz w:val="17"/>
          <w:szCs w:val="17"/>
          <w:color w:val="auto"/>
        </w:rPr>
      </w:pPr>
    </w:p>
    <w:p>
      <w:pPr>
        <w:ind w:left="680" w:hanging="367"/>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w:t>
      </w:r>
    </w:p>
    <w:p>
      <w:pPr>
        <w:spacing w:after="0" w:line="243" w:lineRule="exact"/>
        <w:rPr>
          <w:sz w:val="20"/>
          <w:szCs w:val="20"/>
          <w:color w:val="auto"/>
        </w:rPr>
      </w:pPr>
    </w:p>
    <w:p>
      <w:pPr>
        <w:ind w:left="320" w:right="140"/>
        <w:spacing w:after="0" w:line="318" w:lineRule="auto"/>
        <w:rPr>
          <w:sz w:val="20"/>
          <w:szCs w:val="20"/>
          <w:color w:val="auto"/>
        </w:rPr>
      </w:pPr>
      <w:r>
        <w:rPr>
          <w:rFonts w:ascii="Arial" w:cs="Arial" w:eastAsia="Arial" w:hAnsi="Arial"/>
          <w:sz w:val="15"/>
          <w:szCs w:val="15"/>
          <w:color w:val="auto"/>
        </w:rPr>
        <w:t xml:space="preserve">The following table shows any </w:t>
      </w:r>
      <w:r>
        <w:rPr>
          <w:rFonts w:ascii="Arial" w:cs="Arial" w:eastAsia="Arial" w:hAnsi="Arial"/>
          <w:sz w:val="15"/>
          <w:szCs w:val="15"/>
          <w:i w:val="1"/>
          <w:iCs w:val="1"/>
          <w:color w:val="auto"/>
        </w:rPr>
        <w:t>“</w:t>
      </w:r>
      <w:r>
        <w:rPr>
          <w:rFonts w:ascii="Arial" w:cs="Arial" w:eastAsia="Arial" w:hAnsi="Arial"/>
          <w:sz w:val="15"/>
          <w:szCs w:val="15"/>
          <w:color w:val="auto"/>
        </w:rPr>
        <w:t>Rule 10b5-1 trading arrangement</w:t>
      </w:r>
      <w:r>
        <w:rPr>
          <w:rFonts w:ascii="Arial" w:cs="Arial" w:eastAsia="Arial" w:hAnsi="Arial"/>
          <w:sz w:val="15"/>
          <w:szCs w:val="15"/>
          <w:i w:val="1"/>
          <w:iCs w:val="1"/>
          <w:color w:val="auto"/>
        </w:rPr>
        <w:t>”</w:t>
      </w:r>
      <w:r>
        <w:rPr>
          <w:rFonts w:ascii="Arial" w:cs="Arial" w:eastAsia="Arial" w:hAnsi="Arial"/>
          <w:sz w:val="15"/>
          <w:szCs w:val="15"/>
          <w:color w:val="auto"/>
        </w:rPr>
        <w:t xml:space="preserve"> or </w:t>
      </w:r>
      <w:r>
        <w:rPr>
          <w:rFonts w:ascii="Arial" w:cs="Arial" w:eastAsia="Arial" w:hAnsi="Arial"/>
          <w:sz w:val="15"/>
          <w:szCs w:val="15"/>
          <w:i w:val="1"/>
          <w:iCs w:val="1"/>
          <w:color w:val="auto"/>
        </w:rPr>
        <w:t>“</w:t>
      </w:r>
      <w:r>
        <w:rPr>
          <w:rFonts w:ascii="Arial" w:cs="Arial" w:eastAsia="Arial" w:hAnsi="Arial"/>
          <w:sz w:val="15"/>
          <w:szCs w:val="15"/>
          <w:color w:val="auto"/>
        </w:rPr>
        <w:t>non-Rule 10b5-1 trading arrangement,</w:t>
      </w:r>
      <w:r>
        <w:rPr>
          <w:rFonts w:ascii="Arial" w:cs="Arial" w:eastAsia="Arial" w:hAnsi="Arial"/>
          <w:sz w:val="15"/>
          <w:szCs w:val="15"/>
          <w:i w:val="1"/>
          <w:iCs w:val="1"/>
          <w:color w:val="auto"/>
        </w:rPr>
        <w:t>”</w:t>
      </w:r>
      <w:r>
        <w:rPr>
          <w:rFonts w:ascii="Arial" w:cs="Arial" w:eastAsia="Arial" w:hAnsi="Arial"/>
          <w:sz w:val="15"/>
          <w:szCs w:val="15"/>
          <w:color w:val="auto"/>
        </w:rPr>
        <w:t xml:space="preserve"> each as defined in Item 408(a) of Regulation S-K, adopted, modified, or terminated by our directors or "officers" (as defined in Rule 16a-1(f) under the Exchange Act) during the three months ended September 30, 2023. In accordance with our insider trading policy, the trading arrangement shown below was adopted during an open trading window.</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1620" w:type="dxa"/>
            <w:vAlign w:val="bottom"/>
            <w:tcBorders>
              <w:top w:val="single" w:sz="8" w:color="auto"/>
              <w:left w:val="single" w:sz="8" w:color="auto"/>
              <w:right w:val="single" w:sz="8" w:color="auto"/>
            </w:tcBorders>
            <w:vMerge w:val="restart"/>
          </w:tcPr>
          <w:p>
            <w:pPr>
              <w:ind w:left="440"/>
              <w:spacing w:after="0"/>
              <w:rPr>
                <w:sz w:val="20"/>
                <w:szCs w:val="20"/>
                <w:color w:val="auto"/>
              </w:rPr>
            </w:pPr>
            <w:r>
              <w:rPr>
                <w:rFonts w:ascii="Arial" w:cs="Arial" w:eastAsia="Arial" w:hAnsi="Arial"/>
                <w:sz w:val="15"/>
                <w:szCs w:val="15"/>
                <w:b w:val="1"/>
                <w:bCs w:val="1"/>
                <w:color w:val="auto"/>
              </w:rPr>
              <w:t>Name/Title</w:t>
            </w:r>
          </w:p>
        </w:tc>
        <w:tc>
          <w:tcPr>
            <w:tcW w:w="114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5"/>
                <w:szCs w:val="15"/>
                <w:b w:val="1"/>
                <w:bCs w:val="1"/>
                <w:color w:val="auto"/>
              </w:rPr>
              <w:t>Action</w:t>
            </w:r>
          </w:p>
        </w:tc>
        <w:tc>
          <w:tcPr>
            <w:tcW w:w="2120" w:type="dxa"/>
            <w:vAlign w:val="bottom"/>
            <w:tcBorders>
              <w:top w:val="single" w:sz="8" w:color="auto"/>
              <w:right w:val="single" w:sz="8" w:color="auto"/>
            </w:tcBorders>
            <w:vMerge w:val="restart"/>
          </w:tcPr>
          <w:p>
            <w:pPr>
              <w:ind w:left="620"/>
              <w:spacing w:after="0"/>
              <w:rPr>
                <w:sz w:val="20"/>
                <w:szCs w:val="20"/>
                <w:color w:val="auto"/>
              </w:rPr>
            </w:pPr>
            <w:r>
              <w:rPr>
                <w:rFonts w:ascii="Arial" w:cs="Arial" w:eastAsia="Arial" w:hAnsi="Arial"/>
                <w:sz w:val="15"/>
                <w:szCs w:val="15"/>
                <w:b w:val="1"/>
                <w:bCs w:val="1"/>
                <w:color w:val="auto"/>
              </w:rPr>
              <w:t>Type of Plan</w:t>
            </w:r>
          </w:p>
        </w:tc>
        <w:tc>
          <w:tcPr>
            <w:tcW w:w="1420" w:type="dxa"/>
            <w:vAlign w:val="bottom"/>
            <w:tcBorders>
              <w:top w:val="single" w:sz="8" w:color="auto"/>
              <w:right w:val="single" w:sz="8" w:color="auto"/>
            </w:tcBorders>
            <w:vMerge w:val="restart"/>
          </w:tcPr>
          <w:p>
            <w:pPr>
              <w:jc w:val="right"/>
              <w:ind w:right="163"/>
              <w:spacing w:after="0"/>
              <w:rPr>
                <w:sz w:val="20"/>
                <w:szCs w:val="20"/>
                <w:color w:val="auto"/>
              </w:rPr>
            </w:pPr>
            <w:r>
              <w:rPr>
                <w:rFonts w:ascii="Arial" w:cs="Arial" w:eastAsia="Arial" w:hAnsi="Arial"/>
                <w:sz w:val="15"/>
                <w:szCs w:val="15"/>
                <w:b w:val="1"/>
                <w:bCs w:val="1"/>
                <w:color w:val="auto"/>
              </w:rPr>
              <w:t>Adoption Date</w:t>
            </w:r>
          </w:p>
        </w:tc>
        <w:tc>
          <w:tcPr>
            <w:tcW w:w="2040" w:type="dxa"/>
            <w:vAlign w:val="bottom"/>
            <w:tcBorders>
              <w:top w:val="single" w:sz="8" w:color="auto"/>
              <w:right w:val="single" w:sz="8" w:color="auto"/>
            </w:tcBorders>
            <w:vMerge w:val="restart"/>
          </w:tcPr>
          <w:p>
            <w:pPr>
              <w:jc w:val="right"/>
              <w:ind w:right="643"/>
              <w:spacing w:after="0"/>
              <w:rPr>
                <w:sz w:val="20"/>
                <w:szCs w:val="20"/>
                <w:color w:val="auto"/>
              </w:rPr>
            </w:pPr>
            <w:r>
              <w:rPr>
                <w:rFonts w:ascii="Arial" w:cs="Arial" w:eastAsia="Arial" w:hAnsi="Arial"/>
                <w:sz w:val="15"/>
                <w:szCs w:val="15"/>
                <w:b w:val="1"/>
                <w:bCs w:val="1"/>
                <w:color w:val="auto"/>
              </w:rPr>
              <w:t>End Date</w:t>
            </w:r>
          </w:p>
        </w:tc>
        <w:tc>
          <w:tcPr>
            <w:tcW w:w="1500" w:type="dxa"/>
            <w:vAlign w:val="bottom"/>
            <w:tcBorders>
              <w:top w:val="single" w:sz="8" w:color="auto"/>
              <w:right w:val="single" w:sz="8" w:color="auto"/>
            </w:tcBorders>
          </w:tcPr>
          <w:p>
            <w:pPr>
              <w:jc w:val="right"/>
              <w:spacing w:after="0" w:line="168" w:lineRule="exact"/>
              <w:rPr>
                <w:sz w:val="20"/>
                <w:szCs w:val="20"/>
                <w:color w:val="auto"/>
              </w:rPr>
            </w:pPr>
            <w:r>
              <w:rPr>
                <w:rFonts w:ascii="Arial" w:cs="Arial" w:eastAsia="Arial" w:hAnsi="Arial"/>
                <w:sz w:val="15"/>
                <w:szCs w:val="15"/>
                <w:b w:val="1"/>
                <w:bCs w:val="1"/>
                <w:color w:val="auto"/>
                <w:w w:val="92"/>
              </w:rPr>
              <w:t>Aggregate Number of</w:t>
            </w:r>
          </w:p>
        </w:tc>
        <w:tc>
          <w:tcPr>
            <w:tcW w:w="14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5"/>
                <w:szCs w:val="15"/>
                <w:b w:val="1"/>
                <w:bCs w:val="1"/>
                <w:color w:val="auto"/>
              </w:rPr>
              <w:t>Plan Description</w:t>
            </w: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212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2040" w:type="dxa"/>
            <w:vAlign w:val="bottom"/>
            <w:tcBorders>
              <w:bottom w:val="single" w:sz="8" w:color="auto"/>
              <w:right w:val="single" w:sz="8" w:color="auto"/>
            </w:tcBorders>
            <w:vMerge w:val="continue"/>
          </w:tcPr>
          <w:p>
            <w:pPr>
              <w:spacing w:after="0"/>
              <w:rPr>
                <w:sz w:val="17"/>
                <w:szCs w:val="17"/>
                <w:color w:val="auto"/>
              </w:rPr>
            </w:pPr>
          </w:p>
        </w:tc>
        <w:tc>
          <w:tcPr>
            <w:tcW w:w="150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2"/>
              </w:rPr>
              <w:t>Securities to be Sold</w:t>
            </w: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62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5"/>
                <w:szCs w:val="15"/>
                <w:color w:val="auto"/>
                <w:w w:val="95"/>
              </w:rPr>
              <w:t>Virginia Sanzone / CVP,</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Adopt</w:t>
            </w:r>
          </w:p>
        </w:tc>
        <w:tc>
          <w:tcPr>
            <w:tcW w:w="21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Rule 10b5-1 trading plan</w:t>
            </w: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August 14, 2023</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August 14, 2024</w:t>
            </w:r>
          </w:p>
        </w:tc>
        <w:tc>
          <w:tcPr>
            <w:tcW w:w="1500" w:type="dxa"/>
            <w:vAlign w:val="bottom"/>
            <w:tcBorders>
              <w:right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2,050</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Sale of shares</w:t>
            </w: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General Counsel</w:t>
            </w: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212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2040" w:type="dxa"/>
            <w:vAlign w:val="bottom"/>
            <w:tcBorders>
              <w:bottom w:val="single" w:sz="8" w:color="auto"/>
              <w:right w:val="single" w:sz="8" w:color="auto"/>
            </w:tcBorders>
            <w:vMerge w:val="continue"/>
          </w:tcPr>
          <w:p>
            <w:pPr>
              <w:spacing w:after="0"/>
              <w:rPr>
                <w:sz w:val="17"/>
                <w:szCs w:val="17"/>
                <w:color w:val="auto"/>
              </w:rPr>
            </w:pPr>
          </w:p>
        </w:tc>
        <w:tc>
          <w:tcPr>
            <w:tcW w:w="150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62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5"/>
                <w:szCs w:val="15"/>
                <w:color w:val="auto"/>
              </w:rPr>
              <w:t>Vivek Jain, Chief</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Terminated</w:t>
            </w:r>
          </w:p>
        </w:tc>
        <w:tc>
          <w:tcPr>
            <w:tcW w:w="21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Rule 10b5-1 trading plan</w:t>
            </w: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March 15, 2023</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February 9, 2024</w:t>
            </w:r>
          </w:p>
        </w:tc>
        <w:tc>
          <w:tcPr>
            <w:tcW w:w="1500" w:type="dxa"/>
            <w:vAlign w:val="bottom"/>
            <w:tcBorders>
              <w:right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206,366</w:t>
            </w:r>
          </w:p>
        </w:tc>
        <w:tc>
          <w:tcPr>
            <w:tcW w:w="1420" w:type="dxa"/>
            <w:vAlign w:val="bottom"/>
            <w:tcBorders>
              <w:right w:val="single" w:sz="8" w:color="auto"/>
            </w:tcBorders>
          </w:tcPr>
          <w:p>
            <w:pPr>
              <w:spacing w:after="0" w:line="156" w:lineRule="exact"/>
              <w:rPr>
                <w:sz w:val="20"/>
                <w:szCs w:val="20"/>
                <w:color w:val="auto"/>
              </w:rPr>
            </w:pPr>
            <w:r>
              <w:rPr>
                <w:rFonts w:ascii="Arial" w:cs="Arial" w:eastAsia="Arial" w:hAnsi="Arial"/>
                <w:sz w:val="15"/>
                <w:szCs w:val="15"/>
                <w:color w:val="auto"/>
              </w:rPr>
              <w:t>Exercise and sale of</w:t>
            </w: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Executive Officer</w:t>
            </w: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212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2040" w:type="dxa"/>
            <w:vAlign w:val="bottom"/>
            <w:tcBorders>
              <w:bottom w:val="single" w:sz="8" w:color="auto"/>
              <w:right w:val="single" w:sz="8" w:color="auto"/>
            </w:tcBorders>
            <w:vMerge w:val="continue"/>
          </w:tcPr>
          <w:p>
            <w:pPr>
              <w:spacing w:after="0"/>
              <w:rPr>
                <w:sz w:val="17"/>
                <w:szCs w:val="17"/>
                <w:color w:val="auto"/>
              </w:rPr>
            </w:pPr>
          </w:p>
        </w:tc>
        <w:tc>
          <w:tcPr>
            <w:tcW w:w="1500" w:type="dxa"/>
            <w:vAlign w:val="bottom"/>
            <w:tcBorders>
              <w:bottom w:val="single" w:sz="8" w:color="auto"/>
              <w:right w:val="single" w:sz="8" w:color="auto"/>
            </w:tcBorders>
            <w:vMerge w:val="continue"/>
          </w:tcPr>
          <w:p>
            <w:pPr>
              <w:spacing w:after="0"/>
              <w:rPr>
                <w:sz w:val="17"/>
                <w:szCs w:val="17"/>
                <w:color w:val="auto"/>
              </w:rPr>
            </w:pP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options</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Other than as disclosed above, no other officer (as defined in Rule 16a-1(f) under the Exchange Act) or director of the Company adopted, modified, or terminated a "Rule 10b5-1 trading arrangement" or “non-Rule 10b5-1 trading arrangement,” each as defined in Item 408(a) of Regulation S-K.</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6. Exhibits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Exhibit Index</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560" w:type="dxa"/>
            <w:vAlign w:val="bottom"/>
            <w:gridSpan w:val="3"/>
          </w:tcPr>
          <w:p>
            <w:pPr>
              <w:spacing w:after="0"/>
              <w:rPr>
                <w:sz w:val="20"/>
                <w:szCs w:val="20"/>
                <w:color w:val="auto"/>
              </w:rPr>
            </w:pPr>
            <w:r>
              <w:rPr>
                <w:rFonts w:ascii="Arial" w:cs="Arial" w:eastAsia="Arial" w:hAnsi="Arial"/>
                <w:sz w:val="17"/>
                <w:szCs w:val="17"/>
                <w:color w:val="auto"/>
              </w:rPr>
              <w:t xml:space="preserve">Exhibit </w:t>
            </w:r>
            <w:r>
              <w:rPr>
                <w:rFonts w:ascii="Arial" w:cs="Arial" w:eastAsia="Arial" w:hAnsi="Arial"/>
                <w:sz w:val="17"/>
                <w:szCs w:val="17"/>
                <w:color w:val="0000FF"/>
              </w:rPr>
              <w:t>31.1</w:t>
            </w:r>
          </w:p>
        </w:tc>
        <w:tc>
          <w:tcPr>
            <w:tcW w:w="9240" w:type="dxa"/>
            <w:vAlign w:val="bottom"/>
          </w:tcPr>
          <w:p>
            <w:pPr>
              <w:ind w:left="380"/>
              <w:spacing w:after="0"/>
              <w:rPr>
                <w:sz w:val="20"/>
                <w:szCs w:val="20"/>
                <w:color w:val="auto"/>
              </w:rPr>
            </w:pPr>
            <w:r>
              <w:rPr>
                <w:rFonts w:ascii="Arial" w:cs="Arial" w:eastAsia="Arial" w:hAnsi="Arial"/>
                <w:sz w:val="17"/>
                <w:szCs w:val="17"/>
                <w:color w:val="auto"/>
              </w:rPr>
              <w:t>Certification of Chief Executive Officer pursuant to Section 302 of the Sarbanes-Oxley Act of 2002</w:t>
            </w: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60" w:type="dxa"/>
            <w:vAlign w:val="bottom"/>
            <w:gridSpan w:val="3"/>
          </w:tcPr>
          <w:p>
            <w:pPr>
              <w:spacing w:after="0"/>
              <w:rPr>
                <w:sz w:val="20"/>
                <w:szCs w:val="20"/>
                <w:color w:val="auto"/>
              </w:rPr>
            </w:pPr>
            <w:r>
              <w:rPr>
                <w:rFonts w:ascii="Arial" w:cs="Arial" w:eastAsia="Arial" w:hAnsi="Arial"/>
                <w:sz w:val="17"/>
                <w:szCs w:val="17"/>
                <w:color w:val="auto"/>
              </w:rPr>
              <w:t xml:space="preserve">Exhibit </w:t>
            </w:r>
            <w:r>
              <w:rPr>
                <w:rFonts w:ascii="Arial" w:cs="Arial" w:eastAsia="Arial" w:hAnsi="Arial"/>
                <w:sz w:val="17"/>
                <w:szCs w:val="17"/>
                <w:color w:val="0000FF"/>
              </w:rPr>
              <w:t>31.2</w:t>
            </w:r>
          </w:p>
        </w:tc>
        <w:tc>
          <w:tcPr>
            <w:tcW w:w="9240" w:type="dxa"/>
            <w:vAlign w:val="bottom"/>
          </w:tcPr>
          <w:p>
            <w:pPr>
              <w:ind w:left="380"/>
              <w:spacing w:after="0"/>
              <w:rPr>
                <w:sz w:val="20"/>
                <w:szCs w:val="20"/>
                <w:color w:val="auto"/>
              </w:rPr>
            </w:pPr>
            <w:r>
              <w:rPr>
                <w:rFonts w:ascii="Arial" w:cs="Arial" w:eastAsia="Arial" w:hAnsi="Arial"/>
                <w:sz w:val="17"/>
                <w:szCs w:val="17"/>
                <w:color w:val="auto"/>
              </w:rPr>
              <w:t>Certification of Chief Financial Officer pursuant to Section 302 of the Sarbanes-Oxley Act of 2002</w:t>
            </w: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60" w:type="dxa"/>
            <w:vAlign w:val="bottom"/>
            <w:gridSpan w:val="3"/>
          </w:tcPr>
          <w:p>
            <w:pPr>
              <w:spacing w:after="0"/>
              <w:rPr>
                <w:sz w:val="20"/>
                <w:szCs w:val="20"/>
                <w:color w:val="auto"/>
              </w:rPr>
            </w:pPr>
            <w:r>
              <w:rPr>
                <w:rFonts w:ascii="Arial" w:cs="Arial" w:eastAsia="Arial" w:hAnsi="Arial"/>
                <w:sz w:val="17"/>
                <w:szCs w:val="17"/>
                <w:color w:val="auto"/>
              </w:rPr>
              <w:t xml:space="preserve">Exhibit </w:t>
            </w:r>
            <w:r>
              <w:rPr>
                <w:rFonts w:ascii="Arial" w:cs="Arial" w:eastAsia="Arial" w:hAnsi="Arial"/>
                <w:sz w:val="17"/>
                <w:szCs w:val="17"/>
                <w:color w:val="0000FF"/>
              </w:rPr>
              <w:t>32.1</w:t>
            </w:r>
          </w:p>
        </w:tc>
        <w:tc>
          <w:tcPr>
            <w:tcW w:w="9240" w:type="dxa"/>
            <w:vAlign w:val="bottom"/>
          </w:tcPr>
          <w:p>
            <w:pPr>
              <w:ind w:left="380"/>
              <w:spacing w:after="0"/>
              <w:rPr>
                <w:sz w:val="20"/>
                <w:szCs w:val="20"/>
                <w:color w:val="auto"/>
              </w:rPr>
            </w:pPr>
            <w:r>
              <w:rPr>
                <w:rFonts w:ascii="Arial" w:cs="Arial" w:eastAsia="Arial" w:hAnsi="Arial"/>
                <w:sz w:val="17"/>
                <w:szCs w:val="17"/>
                <w:color w:val="auto"/>
                <w:w w:val="93"/>
              </w:rPr>
              <w:t>Certifications of Chief Executive Officer and Chief Financial Officer pursuant to Section 906 of the Sarbanes-Oxley Act of 2002</w:t>
            </w: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101.INS</w:t>
            </w:r>
          </w:p>
        </w:tc>
        <w:tc>
          <w:tcPr>
            <w:tcW w:w="9240" w:type="dxa"/>
            <w:vAlign w:val="bottom"/>
          </w:tcPr>
          <w:p>
            <w:pPr>
              <w:ind w:left="380"/>
              <w:spacing w:after="0"/>
              <w:rPr>
                <w:sz w:val="20"/>
                <w:szCs w:val="20"/>
                <w:color w:val="auto"/>
              </w:rPr>
            </w:pPr>
            <w:r>
              <w:rPr>
                <w:rFonts w:ascii="Arial" w:cs="Arial" w:eastAsia="Arial" w:hAnsi="Arial"/>
                <w:sz w:val="17"/>
                <w:szCs w:val="17"/>
                <w:color w:val="auto"/>
                <w:w w:val="96"/>
              </w:rPr>
              <w:t>XBRL Instance Document - this instance document does not appear in the Interactive Data File because its XBRL tags are</w:t>
            </w:r>
          </w:p>
        </w:tc>
      </w:tr>
      <w:tr>
        <w:trPr>
          <w:trHeight w:val="217"/>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40" w:type="dxa"/>
            <w:vAlign w:val="bottom"/>
          </w:tcPr>
          <w:p>
            <w:pPr>
              <w:ind w:left="380"/>
              <w:spacing w:after="0"/>
              <w:rPr>
                <w:sz w:val="20"/>
                <w:szCs w:val="20"/>
                <w:color w:val="auto"/>
              </w:rPr>
            </w:pPr>
            <w:r>
              <w:rPr>
                <w:rFonts w:ascii="Arial" w:cs="Arial" w:eastAsia="Arial" w:hAnsi="Arial"/>
                <w:sz w:val="17"/>
                <w:szCs w:val="17"/>
                <w:color w:val="auto"/>
              </w:rPr>
              <w:t>embedded within the Inline XBRL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101.SCH</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Schema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101.CAL</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101.DEF</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Definition Linkbase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101.LAB</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Label Linkbase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101.PRE</w:t>
            </w:r>
          </w:p>
        </w:tc>
        <w:tc>
          <w:tcPr>
            <w:tcW w:w="9240" w:type="dxa"/>
            <w:vAlign w:val="bottom"/>
          </w:tcPr>
          <w:p>
            <w:pPr>
              <w:ind w:left="38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71"/>
        </w:trPr>
        <w:tc>
          <w:tcPr>
            <w:tcW w:w="1560" w:type="dxa"/>
            <w:vAlign w:val="bottom"/>
            <w:gridSpan w:val="3"/>
          </w:tcPr>
          <w:p>
            <w:pPr>
              <w:spacing w:after="0"/>
              <w:rPr>
                <w:sz w:val="20"/>
                <w:szCs w:val="20"/>
                <w:color w:val="auto"/>
              </w:rPr>
            </w:pPr>
            <w:r>
              <w:rPr>
                <w:rFonts w:ascii="Arial" w:cs="Arial" w:eastAsia="Arial" w:hAnsi="Arial"/>
                <w:sz w:val="17"/>
                <w:szCs w:val="17"/>
                <w:color w:val="auto"/>
              </w:rPr>
              <w:t>Exhibit 104</w:t>
            </w:r>
          </w:p>
        </w:tc>
        <w:tc>
          <w:tcPr>
            <w:tcW w:w="9240" w:type="dxa"/>
            <w:vAlign w:val="bottom"/>
          </w:tcPr>
          <w:p>
            <w:pPr>
              <w:ind w:left="38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759"/>
        <w:spacing w:after="0"/>
        <w:rPr>
          <w:sz w:val="20"/>
          <w:szCs w:val="20"/>
          <w:color w:val="auto"/>
        </w:rPr>
      </w:pPr>
      <w:r>
        <w:rPr>
          <w:rFonts w:ascii="Arial" w:cs="Arial" w:eastAsia="Arial" w:hAnsi="Arial"/>
          <w:sz w:val="17"/>
          <w:szCs w:val="17"/>
          <w:b w:val="1"/>
          <w:bCs w:val="1"/>
          <w:color w:val="auto"/>
        </w:rPr>
        <w:t>Signature</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ICU Medical, Inc.</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ind w:left="20"/>
              <w:spacing w:after="0"/>
              <w:rPr>
                <w:sz w:val="20"/>
                <w:szCs w:val="20"/>
                <w:color w:val="auto"/>
              </w:rPr>
            </w:pPr>
            <w:r>
              <w:rPr>
                <w:rFonts w:ascii="Arial" w:cs="Arial" w:eastAsia="Arial" w:hAnsi="Arial"/>
                <w:sz w:val="17"/>
                <w:szCs w:val="17"/>
                <w:color w:val="auto"/>
              </w:rPr>
              <w:t>(Registrant)</w:t>
            </w: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3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Brian M. Bonnell</w:t>
            </w:r>
          </w:p>
        </w:tc>
        <w:tc>
          <w:tcPr>
            <w:tcW w:w="1000" w:type="dxa"/>
            <w:vAlign w:val="bottom"/>
            <w:tcBorders>
              <w:bottom w:val="single" w:sz="8" w:color="auto"/>
            </w:tcBorders>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Date: November 6, 2023</w:t>
            </w:r>
          </w:p>
        </w:tc>
      </w:tr>
      <w:tr>
        <w:trPr>
          <w:trHeight w:val="211"/>
        </w:trPr>
        <w:tc>
          <w:tcPr>
            <w:tcW w:w="4580" w:type="dxa"/>
            <w:vAlign w:val="bottom"/>
          </w:tcPr>
          <w:p>
            <w:pPr>
              <w:ind w:left="20"/>
              <w:spacing w:after="0"/>
              <w:rPr>
                <w:sz w:val="20"/>
                <w:szCs w:val="20"/>
                <w:color w:val="auto"/>
              </w:rPr>
            </w:pPr>
            <w:r>
              <w:rPr>
                <w:rFonts w:ascii="Arial" w:cs="Arial" w:eastAsia="Arial" w:hAnsi="Arial"/>
                <w:sz w:val="17"/>
                <w:szCs w:val="17"/>
                <w:color w:val="auto"/>
              </w:rPr>
              <w:t>Brian M. Bonnell</w:t>
            </w: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(Principal Financial Officer and Authorized Officer)</w:t>
            </w: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812"/>
        </w:trPr>
        <w:tc>
          <w:tcPr>
            <w:tcW w:w="4580" w:type="dxa"/>
            <w:vAlign w:val="bottom"/>
          </w:tcPr>
          <w:p>
            <w:pPr>
              <w:spacing w:after="0"/>
              <w:rPr>
                <w:sz w:val="24"/>
                <w:szCs w:val="24"/>
                <w:color w:val="auto"/>
              </w:rPr>
            </w:pPr>
          </w:p>
        </w:tc>
        <w:tc>
          <w:tcPr>
            <w:tcW w:w="2960" w:type="dxa"/>
            <w:vAlign w:val="bottom"/>
            <w:gridSpan w:val="2"/>
          </w:tcPr>
          <w:p>
            <w:pPr>
              <w:jc w:val="right"/>
              <w:ind w:right="1754"/>
              <w:spacing w:after="0"/>
              <w:rPr>
                <w:sz w:val="20"/>
                <w:szCs w:val="20"/>
                <w:color w:val="auto"/>
              </w:rPr>
            </w:pPr>
            <w:r>
              <w:rPr>
                <w:rFonts w:ascii="Arial" w:cs="Arial" w:eastAsia="Arial" w:hAnsi="Arial"/>
                <w:sz w:val="17"/>
                <w:szCs w:val="17"/>
                <w:color w:val="auto"/>
              </w:rPr>
              <w:t>58</w:t>
            </w:r>
          </w:p>
        </w:tc>
      </w:tr>
    </w:tbl>
    <w:p>
      <w:pPr>
        <w:sectPr>
          <w:pgSz w:w="11900" w:h="16838" w:orient="portrait"/>
          <w:cols w:equalWidth="0" w:num="1">
            <w:col w:w="10500"/>
          </w:cols>
          <w:pgMar w:left="320" w:top="127" w:right="107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EXECUTIVE OFFICER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Vivek Jain, certify that:</w:t>
      </w:r>
    </w:p>
    <w:p>
      <w:pPr>
        <w:spacing w:after="0" w:line="243" w:lineRule="exact"/>
        <w:rPr>
          <w:sz w:val="20"/>
          <w:szCs w:val="20"/>
          <w:color w:val="auto"/>
        </w:rPr>
      </w:pPr>
    </w:p>
    <w:p>
      <w:pPr>
        <w:ind w:left="1240" w:hanging="618"/>
        <w:spacing w:after="0"/>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2" w:lineRule="exact"/>
        <w:rPr>
          <w:rFonts w:ascii="Arial" w:cs="Arial" w:eastAsia="Arial" w:hAnsi="Arial"/>
          <w:sz w:val="17"/>
          <w:szCs w:val="17"/>
          <w:color w:val="auto"/>
        </w:rPr>
      </w:pPr>
    </w:p>
    <w:p>
      <w:pPr>
        <w:jc w:val="both"/>
        <w:ind w:left="1240" w:hanging="618"/>
        <w:spacing w:after="0" w:line="266"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1240" w:right="220" w:hanging="618"/>
        <w:spacing w:after="0" w:line="312" w:lineRule="auto"/>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1240" w:hanging="618"/>
        <w:spacing w:after="0" w:line="266"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ind w:left="1240" w:right="260" w:hanging="618"/>
        <w:spacing w:after="0" w:line="266" w:lineRule="auto"/>
        <w:tabs>
          <w:tab w:leader="none" w:pos="1231"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28"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1" w:val="left"/>
        </w:tabs>
        <w:numPr>
          <w:ilvl w:val="0"/>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28"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left="1240" w:right="140" w:hanging="618"/>
        <w:spacing w:after="0" w:line="312" w:lineRule="auto"/>
        <w:tabs>
          <w:tab w:leader="none" w:pos="1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240" w:right="160" w:hanging="618"/>
        <w:spacing w:after="0" w:line="279" w:lineRule="auto"/>
        <w:tabs>
          <w:tab w:leader="none" w:pos="1231"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6" w:lineRule="auto"/>
        <w:tabs>
          <w:tab w:leader="none" w:pos="12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40"/>
        <w:spacing w:after="0"/>
        <w:tabs>
          <w:tab w:leader="none" w:pos="6340" w:val="left"/>
        </w:tabs>
        <w:rPr>
          <w:sz w:val="20"/>
          <w:szCs w:val="20"/>
          <w:color w:val="auto"/>
        </w:rPr>
      </w:pPr>
      <w:r>
        <w:rPr>
          <w:rFonts w:ascii="Arial" w:cs="Arial" w:eastAsia="Arial" w:hAnsi="Arial"/>
          <w:sz w:val="17"/>
          <w:szCs w:val="17"/>
          <w:color w:val="auto"/>
        </w:rPr>
        <w:t>Date: November 6, 2023</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14605</wp:posOffset>
            </wp:positionV>
            <wp:extent cx="30943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113030</wp:posOffset>
            </wp:positionV>
            <wp:extent cx="712216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FINANCIAL OFFICER 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Brian M. Bonnell, certify that:</w:t>
      </w:r>
    </w:p>
    <w:p>
      <w:pPr>
        <w:spacing w:after="0" w:line="217" w:lineRule="exact"/>
        <w:rPr>
          <w:sz w:val="20"/>
          <w:szCs w:val="20"/>
          <w:color w:val="auto"/>
        </w:rPr>
      </w:pPr>
    </w:p>
    <w:p>
      <w:pPr>
        <w:ind w:left="1100" w:hanging="555"/>
        <w:spacing w:after="0"/>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2" w:lineRule="exact"/>
        <w:rPr>
          <w:rFonts w:ascii="Arial" w:cs="Arial" w:eastAsia="Arial" w:hAnsi="Arial"/>
          <w:sz w:val="17"/>
          <w:szCs w:val="17"/>
          <w:color w:val="auto"/>
        </w:rPr>
      </w:pPr>
    </w:p>
    <w:p>
      <w:pPr>
        <w:jc w:val="both"/>
        <w:ind w:left="1080" w:right="160" w:hanging="535"/>
        <w:spacing w:after="0" w:line="266"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1080" w:right="80" w:hanging="535"/>
        <w:spacing w:after="0" w:line="312" w:lineRule="auto"/>
        <w:tabs>
          <w:tab w:leader="none" w:pos="1123"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1080" w:right="160" w:hanging="535"/>
        <w:spacing w:after="0" w:line="266"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ind w:left="1080" w:right="420" w:hanging="535"/>
        <w:spacing w:after="0" w:line="266" w:lineRule="auto"/>
        <w:tabs>
          <w:tab w:leader="none" w:pos="1072"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080" w:right="120" w:hanging="535"/>
        <w:spacing w:after="0" w:line="266" w:lineRule="auto"/>
        <w:tabs>
          <w:tab w:leader="none" w:pos="10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080" w:right="860" w:hanging="535"/>
        <w:spacing w:after="0" w:line="349" w:lineRule="auto"/>
        <w:tabs>
          <w:tab w:leader="none" w:pos="1072" w:val="left"/>
        </w:tabs>
        <w:numPr>
          <w:ilvl w:val="0"/>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080" w:right="120" w:hanging="535"/>
        <w:spacing w:after="0" w:line="266" w:lineRule="auto"/>
        <w:tabs>
          <w:tab w:leader="none" w:pos="10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ind w:left="1080" w:hanging="535"/>
        <w:spacing w:after="0" w:line="312" w:lineRule="auto"/>
        <w:tabs>
          <w:tab w:leader="none" w:pos="11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080" w:right="320" w:hanging="535"/>
        <w:spacing w:after="0" w:line="279" w:lineRule="auto"/>
        <w:tabs>
          <w:tab w:leader="none" w:pos="1072"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080" w:right="280" w:hanging="535"/>
        <w:spacing w:after="0" w:line="279" w:lineRule="auto"/>
        <w:tabs>
          <w:tab w:leader="none" w:pos="1068"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880"/>
        <w:spacing w:after="0"/>
        <w:tabs>
          <w:tab w:leader="none" w:pos="5920" w:val="left"/>
        </w:tabs>
        <w:rPr>
          <w:sz w:val="20"/>
          <w:szCs w:val="20"/>
          <w:color w:val="auto"/>
        </w:rPr>
      </w:pPr>
      <w:r>
        <w:rPr>
          <w:rFonts w:ascii="Arial" w:cs="Arial" w:eastAsia="Arial" w:hAnsi="Arial"/>
          <w:sz w:val="17"/>
          <w:szCs w:val="17"/>
          <w:color w:val="auto"/>
        </w:rPr>
        <w:t>Date: November 6, 2023</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441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41065" cy="8255"/>
                    </a:xfrm>
                    <a:prstGeom prst="rect">
                      <a:avLst/>
                    </a:prstGeom>
                    <a:noFill/>
                  </pic:spPr>
                </pic:pic>
              </a:graphicData>
            </a:graphic>
          </wp:anchor>
        </w:drawing>
      </w:r>
    </w:p>
    <w:p>
      <w:pPr>
        <w:spacing w:after="0" w:line="1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104775</wp:posOffset>
            </wp:positionV>
            <wp:extent cx="680593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September 30, 2023 as filed with the Securities and Exchange Commission on the date hereof (the “Report”), I, Vivek Jain, Chief Executive Officer of the Company, certify, pursuant to 18 U.S.C. § 1350, as adopted pursuant to § 906 of the Sarbanes-Oxley Act of 2002, that:</w:t>
      </w:r>
    </w:p>
    <w:p>
      <w:pPr>
        <w:spacing w:after="0" w:line="175" w:lineRule="exact"/>
        <w:rPr>
          <w:sz w:val="20"/>
          <w:szCs w:val="20"/>
          <w:color w:val="auto"/>
        </w:rPr>
      </w:pPr>
    </w:p>
    <w:p>
      <w:pPr>
        <w:ind w:left="300" w:hanging="297"/>
        <w:spacing w:after="0"/>
        <w:tabs>
          <w:tab w:leader="none" w:pos="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218"/>
        </w:trPr>
        <w:tc>
          <w:tcPr>
            <w:tcW w:w="5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November 6, 2023</w:t>
            </w:r>
          </w:p>
        </w:tc>
        <w:tc>
          <w:tcPr>
            <w:tcW w:w="120" w:type="dxa"/>
            <w:vAlign w:val="bottom"/>
          </w:tcPr>
          <w:p>
            <w:pPr>
              <w:spacing w:after="0"/>
              <w:rPr>
                <w:sz w:val="18"/>
                <w:szCs w:val="18"/>
                <w:color w:val="auto"/>
              </w:rPr>
            </w:pP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Vivek Jain</w:t>
            </w:r>
          </w:p>
        </w:tc>
      </w:tr>
      <w:tr>
        <w:trPr>
          <w:trHeight w:val="211"/>
        </w:trPr>
        <w:tc>
          <w:tcPr>
            <w:tcW w:w="5440" w:type="dxa"/>
            <w:vAlign w:val="bottom"/>
            <w:gridSpan w:val="2"/>
          </w:tcPr>
          <w:p>
            <w:pPr>
              <w:spacing w:after="0"/>
              <w:rPr>
                <w:sz w:val="20"/>
                <w:szCs w:val="20"/>
                <w:color w:val="auto"/>
              </w:rPr>
            </w:pPr>
            <w:r>
              <w:rPr>
                <w:rFonts w:ascii="Arial" w:cs="Arial" w:eastAsia="Arial" w:hAnsi="Arial"/>
                <w:sz w:val="17"/>
                <w:szCs w:val="17"/>
                <w:color w:val="auto"/>
              </w:rPr>
              <w:t>Date</w:t>
            </w:r>
          </w:p>
        </w:tc>
        <w:tc>
          <w:tcPr>
            <w:tcW w:w="5180" w:type="dxa"/>
            <w:vAlign w:val="bottom"/>
          </w:tcPr>
          <w:p>
            <w:pPr>
              <w:ind w:left="20"/>
              <w:spacing w:after="0"/>
              <w:rPr>
                <w:sz w:val="20"/>
                <w:szCs w:val="20"/>
                <w:color w:val="auto"/>
              </w:rPr>
            </w:pPr>
            <w:r>
              <w:rPr>
                <w:rFonts w:ascii="Arial" w:cs="Arial" w:eastAsia="Arial" w:hAnsi="Arial"/>
                <w:sz w:val="17"/>
                <w:szCs w:val="17"/>
                <w:color w:val="auto"/>
              </w:rPr>
              <w:t>Vivek Jain</w:t>
            </w:r>
          </w:p>
        </w:tc>
      </w:tr>
      <w:tr>
        <w:trPr>
          <w:trHeight w:val="219"/>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19"/>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September 30, 2023 as filed with the Securities and Exchange Commission on the date hereof (the “Report”), I, Brian M. Bonnell, Chief Financial Officer of the Company, certify, pursuant to 18 U.S.C. § 1350, as adopted pursuant to § 906 of the Sarbanes-Oxley Act of 2002, that:</w:t>
      </w:r>
    </w:p>
    <w:p>
      <w:pPr>
        <w:spacing w:after="0" w:line="175" w:lineRule="exact"/>
        <w:rPr>
          <w:sz w:val="20"/>
          <w:szCs w:val="20"/>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November 6, 2023</w:t>
            </w:r>
          </w:p>
        </w:tc>
        <w:tc>
          <w:tcPr>
            <w:tcW w:w="140" w:type="dxa"/>
            <w:vAlign w:val="bottom"/>
          </w:tcPr>
          <w:p>
            <w:pPr>
              <w:spacing w:after="0"/>
              <w:rPr>
                <w:sz w:val="18"/>
                <w:szCs w:val="18"/>
                <w:color w:val="auto"/>
              </w:rPr>
            </w:pP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Brian M. Bonnell</w:t>
            </w:r>
          </w:p>
        </w:tc>
      </w:tr>
      <w:tr>
        <w:trPr>
          <w:trHeight w:val="211"/>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Date</w:t>
            </w:r>
          </w:p>
        </w:tc>
        <w:tc>
          <w:tcPr>
            <w:tcW w:w="5480" w:type="dxa"/>
            <w:vAlign w:val="bottom"/>
          </w:tcPr>
          <w:p>
            <w:pPr>
              <w:ind w:left="20"/>
              <w:spacing w:after="0"/>
              <w:rPr>
                <w:sz w:val="20"/>
                <w:szCs w:val="20"/>
                <w:color w:val="auto"/>
              </w:rPr>
            </w:pPr>
            <w:r>
              <w:rPr>
                <w:rFonts w:ascii="Arial" w:cs="Arial" w:eastAsia="Arial" w:hAnsi="Arial"/>
                <w:sz w:val="17"/>
                <w:szCs w:val="17"/>
                <w:color w:val="auto"/>
              </w:rPr>
              <w:t>Brian M. Bonnell</w:t>
            </w:r>
          </w:p>
        </w:tc>
      </w:tr>
      <w:tr>
        <w:trPr>
          <w:trHeight w:val="21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1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r>
        <w:trPr>
          <w:trHeight w:val="162"/>
        </w:trPr>
        <w:tc>
          <w:tcPr>
            <w:tcW w:w="20" w:type="dxa"/>
            <w:vAlign w:val="bottom"/>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2"/>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3"/>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5"/>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2023-11-06T16:18:26Z</dcterms:created>
  <dcterms:modified xsi:type="dcterms:W3CDTF">2023-11-06T16:18:26Z</dcterms:modified>
</cp:coreProperties>
</file>