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76"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9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2022</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9"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845" w:right="339" w:bottom="1440" w:gutter="0" w:footer="0" w:header="0"/>
        </w:sectPr>
      </w:pPr>
    </w:p>
    <w:p>
      <w:pPr>
        <w:spacing w:after="0" w:line="28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99" w:lineRule="exact"/>
        <w:rPr>
          <w:sz w:val="24"/>
          <w:szCs w:val="24"/>
          <w:color w:val="auto"/>
        </w:rPr>
      </w:pPr>
    </w:p>
    <w:p>
      <w:pPr>
        <w:sectPr>
          <w:pgSz w:w="11900" w:h="16838" w:orient="portrait"/>
          <w:cols w:equalWidth="0" w:num="2">
            <w:col w:w="6320" w:space="540"/>
            <w:col w:w="4380"/>
          </w:cols>
          <w:pgMar w:left="320" w:top="8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No.: 001-34634</w:t>
      </w:r>
    </w:p>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ICU MEDICAL,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ectPr>
          <w:pgSz w:w="11900" w:h="16838" w:orient="portrait"/>
          <w:cols w:equalWidth="0" w:num="1">
            <w:col w:w="11240"/>
          </w:cols>
          <w:pgMar w:left="320" w:top="845" w:right="339"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33-0022692</w:t>
      </w:r>
    </w:p>
    <w:p>
      <w:pPr>
        <w:spacing w:after="0" w:line="38" w:lineRule="exact"/>
        <w:rPr>
          <w:sz w:val="24"/>
          <w:szCs w:val="24"/>
          <w:color w:val="auto"/>
        </w:rPr>
      </w:pPr>
    </w:p>
    <w:p>
      <w:pPr>
        <w:sectPr>
          <w:pgSz w:w="11900" w:h="16838" w:orient="portrait"/>
          <w:cols w:equalWidth="0" w:num="2">
            <w:col w:w="7360" w:space="720"/>
            <w:col w:w="3160"/>
          </w:cols>
          <w:pgMar w:left="320" w:top="845"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3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5"/>
          <w:szCs w:val="15"/>
          <w:color w:val="auto"/>
        </w:rPr>
        <w:t>(I.R.S. Employer</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200" w:lineRule="exact"/>
        <w:rPr>
          <w:sz w:val="24"/>
          <w:szCs w:val="24"/>
          <w:color w:val="auto"/>
        </w:rPr>
      </w:pPr>
    </w:p>
    <w:p>
      <w:pPr>
        <w:sectPr>
          <w:pgSz w:w="11900" w:h="16838" w:orient="portrait"/>
          <w:cols w:equalWidth="0" w:num="2">
            <w:col w:w="7160" w:space="720"/>
            <w:col w:w="3360"/>
          </w:cols>
          <w:pgMar w:left="320" w:top="845" w:right="339" w:bottom="1440" w:gutter="0" w:footer="0" w:header="0"/>
          <w:type w:val="continuous"/>
        </w:sectPr>
      </w:pPr>
    </w:p>
    <w:p>
      <w:pPr>
        <w:spacing w:after="0" w:line="4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5"/>
          <w:szCs w:val="15"/>
          <w:b w:val="1"/>
          <w:bCs w:val="1"/>
          <w:color w:val="auto"/>
        </w:rPr>
        <w:t>951 Calle Amanecer ,</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Clemente</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California</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92673</w:t>
      </w:r>
    </w:p>
    <w:p>
      <w:pPr>
        <w:spacing w:after="0" w:line="38" w:lineRule="exact"/>
        <w:rPr>
          <w:sz w:val="24"/>
          <w:szCs w:val="24"/>
          <w:color w:val="auto"/>
        </w:rPr>
      </w:pPr>
    </w:p>
    <w:p>
      <w:pPr>
        <w:sectPr>
          <w:pgSz w:w="11900" w:h="16838" w:orient="portrait"/>
          <w:cols w:equalWidth="0" w:num="4">
            <w:col w:w="2140" w:space="200"/>
            <w:col w:w="920" w:space="200"/>
            <w:col w:w="4100" w:space="720"/>
            <w:col w:w="2960"/>
          </w:cols>
          <w:pgMar w:left="320" w:top="845"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94" w:lineRule="exact"/>
        <w:rPr>
          <w:sz w:val="24"/>
          <w:szCs w:val="24"/>
          <w:color w:val="auto"/>
        </w:rPr>
      </w:pPr>
    </w:p>
    <w:p>
      <w:pPr>
        <w:sectPr>
          <w:pgSz w:w="11900" w:h="16838" w:orient="portrait"/>
          <w:cols w:equalWidth="0" w:num="2">
            <w:col w:w="7400" w:space="720"/>
            <w:col w:w="3120"/>
          </w:cols>
          <w:pgMar w:left="320" w:top="845" w:right="3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(949) 366-2183</w:t>
      </w:r>
    </w:p>
    <w:p>
      <w:pPr>
        <w:sectPr>
          <w:pgSz w:w="11900" w:h="16838" w:orient="portrait"/>
          <w:cols w:equalWidth="0" w:num="1">
            <w:col w:w="11240"/>
          </w:cols>
          <w:pgMar w:left="320" w:top="845"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95" w:lineRule="exact"/>
        <w:rPr>
          <w:sz w:val="24"/>
          <w:szCs w:val="24"/>
          <w:color w:val="auto"/>
        </w:rPr>
      </w:pPr>
    </w:p>
    <w:p>
      <w:pPr>
        <w:ind w:right="2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58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340" w:firstLine="309"/>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840" w:type="dxa"/>
        <w:tblCellMar>
          <w:top w:w="0" w:type="dxa"/>
          <w:left w:w="0" w:type="dxa"/>
          <w:bottom w:w="0" w:type="dxa"/>
          <w:right w:w="0" w:type="dxa"/>
        </w:tblCellMar>
      </w:tblPr>
      <w:tr>
        <w:trPr>
          <w:trHeight w:val="269"/>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620"/>
              <w:spacing w:after="0"/>
              <w:rPr>
                <w:sz w:val="20"/>
                <w:szCs w:val="20"/>
                <w:color w:val="auto"/>
              </w:rPr>
            </w:pPr>
            <w:r>
              <w:rPr>
                <w:rFonts w:ascii="Wingdings" w:cs="Wingdings" w:eastAsia="Wingdings" w:hAnsi="Wingdings"/>
                <w:sz w:val="15"/>
                <w:szCs w:val="15"/>
                <w:b w:val="1"/>
                <w:bCs w:val="1"/>
                <w:color w:val="auto"/>
              </w:rPr>
              <w:t>x</w:t>
            </w: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380" w:type="dxa"/>
            <w:vAlign w:val="bottom"/>
          </w:tcPr>
          <w:p>
            <w:pPr>
              <w:jc w:val="center"/>
              <w:ind w:left="1123"/>
              <w:spacing w:after="0"/>
              <w:rPr>
                <w:sz w:val="20"/>
                <w:szCs w:val="20"/>
                <w:color w:val="auto"/>
              </w:rPr>
            </w:pPr>
            <w:r>
              <w:rPr>
                <w:rFonts w:ascii="Times New Roman" w:cs="Times New Roman" w:eastAsia="Times New Roman" w:hAnsi="Times New Roman"/>
                <w:sz w:val="15"/>
                <w:szCs w:val="15"/>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right="140" w:firstLine="348"/>
        <w:spacing w:after="0" w:line="307"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32"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276" w:lineRule="exact"/>
        <w:rPr>
          <w:sz w:val="24"/>
          <w:szCs w:val="24"/>
          <w:color w:val="auto"/>
        </w:rPr>
      </w:pPr>
    </w:p>
    <w:tbl>
      <w:tblPr>
        <w:tblLayout w:type="fixed"/>
        <w:tblInd w:w="320" w:type="dxa"/>
        <w:tblCellMar>
          <w:top w:w="0" w:type="dxa"/>
          <w:left w:w="0" w:type="dxa"/>
          <w:bottom w:w="0" w:type="dxa"/>
          <w:right w:w="0" w:type="dxa"/>
        </w:tblCellMar>
      </w:tblPr>
      <w:tr>
        <w:trPr>
          <w:trHeight w:val="200"/>
        </w:trPr>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2"/>
        </w:trPr>
        <w:tc>
          <w:tcPr>
            <w:tcW w:w="20" w:type="dxa"/>
            <w:vAlign w:val="bottom"/>
          </w:tcPr>
          <w:p>
            <w:pPr>
              <w:spacing w:after="0"/>
              <w:rPr>
                <w:sz w:val="24"/>
                <w:szCs w:val="24"/>
                <w:color w:val="auto"/>
              </w:rPr>
            </w:pPr>
          </w:p>
        </w:tc>
        <w:tc>
          <w:tcPr>
            <w:tcW w:w="42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4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438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245"/>
        </w:trPr>
        <w:tc>
          <w:tcPr>
            <w:tcW w:w="20" w:type="dxa"/>
            <w:vAlign w:val="bottom"/>
          </w:tcPr>
          <w:p>
            <w:pPr>
              <w:spacing w:after="0"/>
              <w:rPr>
                <w:sz w:val="21"/>
                <w:szCs w:val="21"/>
                <w:color w:val="auto"/>
              </w:rPr>
            </w:pPr>
          </w:p>
        </w:tc>
        <w:tc>
          <w:tcPr>
            <w:tcW w:w="4280" w:type="dxa"/>
            <w:vAlign w:val="bottom"/>
          </w:tcPr>
          <w:p>
            <w:pPr>
              <w:jc w:val="center"/>
              <w:ind w:left="383"/>
              <w:spacing w:after="0"/>
              <w:rPr>
                <w:sz w:val="20"/>
                <w:szCs w:val="20"/>
                <w:color w:val="auto"/>
              </w:rPr>
            </w:pPr>
            <w:r>
              <w:rPr>
                <w:rFonts w:ascii="Times New Roman" w:cs="Times New Roman" w:eastAsia="Times New Roman" w:hAnsi="Times New Roman"/>
                <w:sz w:val="15"/>
                <w:szCs w:val="15"/>
                <w:color w:val="auto"/>
              </w:rPr>
              <w:t>Common stock, par value $0.10 per share</w:t>
            </w:r>
          </w:p>
        </w:tc>
        <w:tc>
          <w:tcPr>
            <w:tcW w:w="224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ICUI</w:t>
            </w: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(Global Select Market)</w:t>
            </w:r>
          </w:p>
        </w:tc>
      </w:tr>
    </w:tbl>
    <w:p>
      <w:pPr>
        <w:spacing w:after="0" w:line="31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issuer’s classes of common stock, as of the latest practicable date:</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at October 31, 2022</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Times New Roman" w:cs="Times New Roman" w:eastAsia="Times New Roman" w:hAnsi="Times New Roman"/>
                <w:sz w:val="15"/>
                <w:szCs w:val="15"/>
                <w:color w:val="auto"/>
              </w:rPr>
              <w:t>Common</w:t>
            </w:r>
          </w:p>
        </w:tc>
        <w:tc>
          <w:tcPr>
            <w:tcW w:w="4760" w:type="dxa"/>
            <w:vAlign w:val="bottom"/>
          </w:tcPr>
          <w:p>
            <w:pPr>
              <w:jc w:val="right"/>
              <w:ind w:right="1963"/>
              <w:spacing w:after="0"/>
              <w:rPr>
                <w:sz w:val="20"/>
                <w:szCs w:val="20"/>
                <w:color w:val="auto"/>
              </w:rPr>
            </w:pPr>
            <w:r>
              <w:rPr>
                <w:rFonts w:ascii="Times New Roman" w:cs="Times New Roman" w:eastAsia="Times New Roman" w:hAnsi="Times New Roman"/>
                <w:sz w:val="15"/>
                <w:szCs w:val="15"/>
                <w:color w:val="auto"/>
              </w:rPr>
              <w:t>23,981,588</w:t>
            </w:r>
          </w:p>
        </w:tc>
        <w:tc>
          <w:tcPr>
            <w:tcW w:w="160" w:type="dxa"/>
            <w:vAlign w:val="bottom"/>
          </w:tcPr>
          <w:p>
            <w:pPr>
              <w:spacing w:after="0"/>
              <w:rPr>
                <w:sz w:val="17"/>
                <w:szCs w:val="17"/>
                <w:color w:val="auto"/>
              </w:rPr>
            </w:pPr>
          </w:p>
        </w:tc>
      </w:tr>
      <w:tr>
        <w:trPr>
          <w:trHeight w:val="875"/>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4"/>
              </w:rPr>
              <w:t>PART I.</w:t>
            </w:r>
          </w:p>
        </w:tc>
        <w:tc>
          <w:tcPr>
            <w:tcW w:w="1220" w:type="dxa"/>
            <w:vAlign w:val="bottom"/>
            <w:gridSpan w:val="2"/>
            <w:vMerge w:val="restart"/>
          </w:tcPr>
          <w:p>
            <w:pPr>
              <w:spacing w:after="0" w:line="20" w:lineRule="exact"/>
              <w:rPr>
                <w:sz w:val="1"/>
                <w:szCs w:val="1"/>
                <w:color w:val="auto"/>
              </w:rPr>
            </w:pPr>
          </w:p>
        </w:tc>
        <w:tc>
          <w:tcPr>
            <w:tcW w:w="162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9"/>
              </w:rPr>
              <w:t>Financial Information</w:t>
            </w:r>
          </w:p>
        </w:tc>
        <w:tc>
          <w:tcPr>
            <w:tcW w:w="6380" w:type="dxa"/>
            <w:vAlign w:val="bottom"/>
            <w:gridSpan w:val="11"/>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20" w:type="dxa"/>
            <w:vAlign w:val="bottom"/>
            <w:tcBorders>
              <w:bottom w:val="single" w:sz="8" w:color="0000FF"/>
            </w:tcBorders>
            <w:gridSpan w:val="9"/>
            <w:vMerge w:val="continue"/>
          </w:tcPr>
          <w:p>
            <w:pPr>
              <w:spacing w:after="0"/>
              <w:rPr>
                <w:sz w:val="15"/>
                <w:szCs w:val="15"/>
                <w:color w:val="auto"/>
              </w:rPr>
            </w:pPr>
          </w:p>
        </w:tc>
        <w:tc>
          <w:tcPr>
            <w:tcW w:w="6380" w:type="dxa"/>
            <w:vAlign w:val="bottom"/>
            <w:gridSpan w:val="11"/>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1.</w:t>
            </w:r>
          </w:p>
        </w:tc>
        <w:tc>
          <w:tcPr>
            <w:tcW w:w="80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Balance Sheets at September 30, 2022 and December 31, 2021</w:t>
            </w: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Nine Months Ended September 30,</w:t>
            </w:r>
          </w:p>
        </w:tc>
        <w:tc>
          <w:tcPr>
            <w:tcW w:w="126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4</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5"/>
          </w:tcPr>
          <w:p>
            <w:pPr>
              <w:spacing w:after="0" w:line="135" w:lineRule="exact"/>
              <w:rPr>
                <w:sz w:val="20"/>
                <w:szCs w:val="20"/>
                <w:color w:val="auto"/>
              </w:rPr>
            </w:pPr>
            <w:r>
              <w:rPr>
                <w:rFonts w:ascii="Times New Roman" w:cs="Times New Roman" w:eastAsia="Times New Roman" w:hAnsi="Times New Roman"/>
                <w:sz w:val="15"/>
                <w:szCs w:val="15"/>
                <w:color w:val="0000FF"/>
              </w:rPr>
              <w:t>2022 and 2021</w:t>
            </w:r>
          </w:p>
        </w:tc>
        <w:tc>
          <w:tcPr>
            <w:tcW w:w="6160" w:type="dxa"/>
            <w:vAlign w:val="bottom"/>
            <w:tcBorders>
              <w:top w:val="single" w:sz="8" w:color="0000FF"/>
            </w:tcBorders>
            <w:gridSpan w:val="12"/>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Income for the Three and Nine Months Ended</w:t>
            </w:r>
          </w:p>
        </w:tc>
        <w:tc>
          <w:tcPr>
            <w:tcW w:w="126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5</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10"/>
          </w:tcPr>
          <w:p>
            <w:pPr>
              <w:spacing w:after="0" w:line="135" w:lineRule="exact"/>
              <w:rPr>
                <w:sz w:val="20"/>
                <w:szCs w:val="20"/>
                <w:color w:val="auto"/>
              </w:rPr>
            </w:pPr>
            <w:r>
              <w:rPr>
                <w:rFonts w:ascii="Times New Roman" w:cs="Times New Roman" w:eastAsia="Times New Roman" w:hAnsi="Times New Roman"/>
                <w:sz w:val="15"/>
                <w:szCs w:val="15"/>
                <w:color w:val="0000FF"/>
              </w:rPr>
              <w:t>September 30, 2022 and 2021</w:t>
            </w:r>
          </w:p>
        </w:tc>
        <w:tc>
          <w:tcPr>
            <w:tcW w:w="5440" w:type="dxa"/>
            <w:vAlign w:val="bottom"/>
            <w:tcBorders>
              <w:top w:val="single" w:sz="8" w:color="0000FF"/>
            </w:tcBorders>
            <w:gridSpan w:val="8"/>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Nine Months Ended</w:t>
            </w:r>
          </w:p>
        </w:tc>
        <w:tc>
          <w:tcPr>
            <w:tcW w:w="1260" w:type="dxa"/>
            <w:vAlign w:val="bottom"/>
            <w:gridSpan w:val="2"/>
            <w:vMerge w:val="restart"/>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6</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10"/>
          </w:tcPr>
          <w:p>
            <w:pPr>
              <w:spacing w:after="0" w:line="135" w:lineRule="exact"/>
              <w:rPr>
                <w:sz w:val="20"/>
                <w:szCs w:val="20"/>
                <w:color w:val="auto"/>
              </w:rPr>
            </w:pPr>
            <w:r>
              <w:rPr>
                <w:rFonts w:ascii="Times New Roman" w:cs="Times New Roman" w:eastAsia="Times New Roman" w:hAnsi="Times New Roman"/>
                <w:sz w:val="15"/>
                <w:szCs w:val="15"/>
                <w:color w:val="0000FF"/>
              </w:rPr>
              <w:t>September 30, 2022 and 2021</w:t>
            </w:r>
          </w:p>
        </w:tc>
        <w:tc>
          <w:tcPr>
            <w:tcW w:w="4760" w:type="dxa"/>
            <w:vAlign w:val="bottom"/>
            <w:tcBorders>
              <w:top w:val="single" w:sz="8" w:color="0000FF"/>
            </w:tcBorders>
            <w:gridSpan w:val="6"/>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Nine Months Ended September 30, 2022 and</w:t>
            </w:r>
          </w:p>
        </w:tc>
        <w:tc>
          <w:tcPr>
            <w:tcW w:w="1260" w:type="dxa"/>
            <w:vAlign w:val="bottom"/>
            <w:gridSpan w:val="2"/>
            <w:vMerge w:val="restart"/>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8</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2021</w:t>
            </w:r>
          </w:p>
        </w:tc>
        <w:tc>
          <w:tcPr>
            <w:tcW w:w="120" w:type="dxa"/>
            <w:vAlign w:val="bottom"/>
            <w:tcBorders>
              <w:top w:val="single" w:sz="8" w:color="0000FF"/>
              <w:bottom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4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840" w:type="dxa"/>
            <w:vAlign w:val="bottom"/>
            <w:gridSpan w:val="5"/>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80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6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6320" w:type="dxa"/>
            <w:vAlign w:val="bottom"/>
            <w:gridSpan w:val="10"/>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160" w:type="dxa"/>
            <w:vAlign w:val="bottom"/>
          </w:tcPr>
          <w:p>
            <w:pPr>
              <w:spacing w:after="0"/>
              <w:rPr>
                <w:sz w:val="17"/>
                <w:szCs w:val="17"/>
                <w:color w:val="auto"/>
              </w:rPr>
            </w:pPr>
          </w:p>
        </w:tc>
        <w:tc>
          <w:tcPr>
            <w:tcW w:w="13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640" w:type="dxa"/>
            <w:vAlign w:val="bottom"/>
            <w:gridSpan w:val="12"/>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Item1A.</w:t>
            </w:r>
          </w:p>
        </w:tc>
        <w:tc>
          <w:tcPr>
            <w:tcW w:w="8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tcBorders>
            <w:gridSpan w:val="2"/>
          </w:tcPr>
          <w:p>
            <w:pPr>
              <w:spacing w:after="0"/>
              <w:rPr>
                <w:sz w:val="24"/>
                <w:szCs w:val="24"/>
                <w:color w:val="auto"/>
              </w:rPr>
            </w:pPr>
          </w:p>
        </w:tc>
        <w:tc>
          <w:tcPr>
            <w:tcW w:w="6740" w:type="dxa"/>
            <w:vAlign w:val="bottom"/>
            <w:gridSpan w:val="13"/>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0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6.</w:t>
            </w:r>
          </w:p>
        </w:tc>
        <w:tc>
          <w:tcPr>
            <w:tcW w:w="41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Exhibits</w:t>
            </w:r>
          </w:p>
        </w:tc>
        <w:tc>
          <w:tcPr>
            <w:tcW w:w="3860" w:type="dxa"/>
            <w:vAlign w:val="bottom"/>
            <w:gridSpan w:val="6"/>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360" w:type="dxa"/>
            <w:vAlign w:val="bottom"/>
            <w:gridSpan w:val="1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Signature</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1"/>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Borders>
              <w:top w:val="single" w:sz="8" w:color="0000FF"/>
            </w:tcBorders>
            <w:gridSpan w:val="4"/>
          </w:tcPr>
          <w:p>
            <w:pPr>
              <w:spacing w:after="0"/>
              <w:rPr>
                <w:sz w:val="24"/>
                <w:szCs w:val="24"/>
                <w:color w:val="auto"/>
              </w:rPr>
            </w:pPr>
          </w:p>
        </w:tc>
        <w:tc>
          <w:tcPr>
            <w:tcW w:w="3260" w:type="dxa"/>
            <w:vAlign w:val="bottom"/>
            <w:gridSpan w:val="9"/>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Item1.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(In thousands, except par value data and treasury shares)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3"/>
                <w:szCs w:val="13"/>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552,827</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Short-term investment securities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14,420</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CASH, CASH EQUIVALENTS AND SHORT-TERM INVESTMENT SECURITIES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567,247</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$8,006 at September 30, 2022 and $7,038 at December 31, 2021</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290,235</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1,199,364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1,029,809</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656,383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468,365</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39,847</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INVESTMENT SECURITIES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1,369,717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43,439</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188,311</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42,604</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110,604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63,743</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4,450,477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1,880,738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81,128</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118,195</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489,034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200,777</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41,830</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18,021</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19)</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preferred stock, $1.00 par value; Authorized — 500 shares; Issued and outstanding — none</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82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w w:val="99"/>
              </w:rPr>
              <w:t>Common stock, $0.10 par value; Authorized — 80,000 shares; Issued — 23,980 shares at September 30, 2022 and 21,280 shares at December 31,</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 and outstanding — 23,979 shares at September 30, 2022 and 21,280 shares at December 31, 2021</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1,323,178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721,412</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at cost (712 and 119 shares, respectively)</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853,037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911,787</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(165,682)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(19,269)</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2,012,805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1,616,031</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4,450,477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1,880,738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December 31, 2021 balances were derived from audited consolidated financial statements.</w:t>
      </w:r>
    </w:p>
    <w:p>
      <w:pPr>
        <w:spacing w:after="0" w:line="1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36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7580" w:type="dxa"/>
            <w:vAlign w:val="bottom"/>
            <w:gridSpan w:val="9"/>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14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89"/>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24"/>
                <w:szCs w:val="24"/>
                <w:color w:val="auto"/>
              </w:rPr>
            </w:pPr>
          </w:p>
        </w:tc>
        <w:tc>
          <w:tcPr>
            <w:tcW w:w="2440" w:type="dxa"/>
            <w:vAlign w:val="bottom"/>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1,701,983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975,783</w:t>
            </w:r>
          </w:p>
        </w:tc>
      </w:tr>
      <w:tr>
        <w:trPr>
          <w:trHeight w:val="219"/>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411,461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1,179,167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611,783</w:t>
            </w:r>
          </w:p>
        </w:tc>
      </w:tr>
      <w:tr>
        <w:trPr>
          <w:trHeight w:val="212"/>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w:t>
            </w:r>
          </w:p>
        </w:tc>
        <w:tc>
          <w:tcPr>
            <w:tcW w:w="1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186,396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127,791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522,816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364,000</w:t>
            </w:r>
          </w:p>
        </w:tc>
      </w:tr>
      <w:tr>
        <w:trPr>
          <w:trHeight w:val="19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465,412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221,127</w:t>
            </w:r>
          </w:p>
        </w:tc>
      </w:tr>
      <w:tr>
        <w:trPr>
          <w:trHeight w:val="219"/>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34,332</w:t>
            </w: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8,994</w:t>
            </w:r>
          </w:p>
        </w:tc>
      </w:tr>
      <w:tr>
        <w:trPr>
          <w:trHeight w:val="219"/>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 settlement</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2"/>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186,863</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89,411</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565,492</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264,580</w:t>
            </w: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99,420</w:t>
            </w:r>
          </w:p>
        </w:tc>
      </w:tr>
      <w:tr>
        <w:trPr>
          <w:trHeight w:val="21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w:t>
            </w:r>
          </w:p>
        </w:tc>
      </w:tr>
      <w:tr>
        <w:trPr>
          <w:trHeight w:val="21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99,849</w:t>
            </w:r>
          </w:p>
        </w:tc>
      </w:tr>
      <w:tr>
        <w:trPr>
          <w:trHeight w:val="21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1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(16,639)</w:t>
            </w:r>
          </w:p>
        </w:tc>
      </w:tr>
      <w:tr>
        <w:trPr>
          <w:trHeight w:val="21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66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31,081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(58,750)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83,210</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5"/>
        </w:trPr>
        <w:tc>
          <w:tcPr>
            <w:tcW w:w="380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NET (LOSS) INCOME PER SHARE</w:t>
            </w:r>
          </w:p>
        </w:tc>
        <w:tc>
          <w:tcPr>
            <w:tcW w:w="1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9"/>
        </w:trPr>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19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19"/>
        </w:trPr>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19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21,189</w:t>
            </w:r>
          </w:p>
        </w:tc>
      </w:tr>
      <w:tr>
        <w:trPr>
          <w:trHeight w:val="223"/>
        </w:trPr>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21,735</w:t>
            </w: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6220" w:type="dxa"/>
            <w:vAlign w:val="bottom"/>
            <w:gridSpan w:val="5"/>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8660" w:type="dxa"/>
            <w:vAlign w:val="bottom"/>
            <w:gridSpan w:val="10"/>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 (Unaudited)</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5720" w:type="dxa"/>
            <w:vAlign w:val="bottom"/>
            <w:gridSpan w:val="4"/>
          </w:tcPr>
          <w:p>
            <w:pPr>
              <w:jc w:val="center"/>
              <w:ind w:left="3014"/>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89"/>
        </w:trPr>
        <w:tc>
          <w:tcPr>
            <w:tcW w:w="1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24"/>
                <w:szCs w:val="24"/>
                <w:color w:val="auto"/>
              </w:rPr>
            </w:pPr>
          </w:p>
        </w:tc>
        <w:tc>
          <w:tcPr>
            <w:tcW w:w="2520" w:type="dxa"/>
            <w:vAlign w:val="bottom"/>
            <w:gridSpan w:val="4"/>
          </w:tcPr>
          <w:p>
            <w:pPr>
              <w:jc w:val="right"/>
              <w:ind w:right="641"/>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1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212"/>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83,210</w:t>
            </w:r>
          </w:p>
        </w:tc>
      </w:tr>
      <w:tr>
        <w:trPr>
          <w:trHeight w:val="21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68"/>
        </w:trPr>
        <w:tc>
          <w:tcPr>
            <w:tcW w:w="546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Cash flow hedge adjustments, net of tax of $(3,676) and $259 for the three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546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months ended September 30, 2022 and 2021, respectively, and $(15,357) and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2"/>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$668 for the nine months ended September 30, 2022 and 2021, respectively.</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(2,116)</w:t>
            </w:r>
          </w:p>
        </w:tc>
      </w:tr>
      <w:tr>
        <w:trPr>
          <w:trHeight w:val="219"/>
        </w:trPr>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 net of tax of $0 for all periods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(195,300)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(11,516)</w:t>
            </w:r>
          </w:p>
        </w:tc>
      </w:tr>
      <w:tr>
        <w:trPr>
          <w:trHeight w:val="219"/>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adjustments, net of tax of $0 for all periods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12"/>
        </w:trPr>
        <w:tc>
          <w:tcPr>
            <w:tcW w:w="5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(73,407)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(146,413)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(13,596)</w:t>
            </w:r>
          </w:p>
        </w:tc>
      </w:tr>
      <w:tr>
        <w:trPr>
          <w:trHeight w:val="237"/>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(205,163)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69,614</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60" w:type="dxa"/>
            <w:vAlign w:val="bottom"/>
          </w:tcPr>
          <w:p>
            <w:pPr>
              <w:spacing w:after="0"/>
              <w:rPr>
                <w:sz w:val="9"/>
                <w:szCs w:val="9"/>
                <w:color w:val="auto"/>
              </w:rPr>
            </w:pPr>
          </w:p>
        </w:tc>
        <w:tc>
          <w:tcPr>
            <w:tcW w:w="86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6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21,280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721,412</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911,787</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(19,269)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1,616,031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575,725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575,975</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18,641</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(38,068)</w:t>
            </w:r>
          </w:p>
        </w:tc>
        <w:tc>
          <w:tcPr>
            <w:tcW w:w="0" w:type="dxa"/>
            <w:vAlign w:val="bottom"/>
          </w:tcPr>
          <w:p>
            <w:pPr>
              <w:spacing w:after="0"/>
              <w:rPr>
                <w:sz w:val="1"/>
                <w:szCs w:val="1"/>
                <w:color w:val="auto"/>
              </w:rPr>
            </w:pPr>
          </w:p>
        </w:tc>
      </w:tr>
      <w:tr>
        <w:trPr>
          <w:trHeight w:val="181"/>
        </w:trPr>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23,897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2,390</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1,306,264</w:t>
            </w: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873,719</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2,178,902</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(91,647)</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(7,474)</w:t>
            </w:r>
          </w:p>
        </w:tc>
        <w:tc>
          <w:tcPr>
            <w:tcW w:w="0" w:type="dxa"/>
            <w:vAlign w:val="bottom"/>
          </w:tcPr>
          <w:p>
            <w:pPr>
              <w:spacing w:after="0"/>
              <w:rPr>
                <w:sz w:val="1"/>
                <w:szCs w:val="1"/>
                <w:color w:val="auto"/>
              </w:rPr>
            </w:pPr>
          </w:p>
        </w:tc>
      </w:tr>
      <w:tr>
        <w:trPr>
          <w:trHeight w:val="193"/>
        </w:trPr>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23,899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1,309,598</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866,245</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(92,275)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2,085,866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(73,407)</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0" w:type="dxa"/>
            <w:vAlign w:val="bottom"/>
          </w:tcPr>
          <w:p>
            <w:pPr>
              <w:spacing w:after="0"/>
              <w:rPr>
                <w:sz w:val="1"/>
                <w:szCs w:val="1"/>
                <w:color w:val="auto"/>
              </w:rPr>
            </w:pPr>
          </w:p>
        </w:tc>
      </w:tr>
      <w:tr>
        <w:trPr>
          <w:trHeight w:val="193"/>
        </w:trPr>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1,323,178</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853,037</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(165,682)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2,012,805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(Unaudited)(continued)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9"/>
                <w:szCs w:val="9"/>
                <w:color w:val="auto"/>
              </w:rPr>
            </w:pPr>
          </w:p>
        </w:tc>
        <w:tc>
          <w:tcPr>
            <w:tcW w:w="84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9"/>
                <w:szCs w:val="9"/>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21,058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693,068</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808,652</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1,502,265</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23,731</w:t>
            </w:r>
          </w:p>
        </w:tc>
        <w:tc>
          <w:tcPr>
            <w:tcW w:w="0" w:type="dxa"/>
            <w:vAlign w:val="bottom"/>
          </w:tcPr>
          <w:p>
            <w:pPr>
              <w:spacing w:after="0"/>
              <w:rPr>
                <w:sz w:val="1"/>
                <w:szCs w:val="1"/>
                <w:color w:val="auto"/>
              </w:rPr>
            </w:pPr>
          </w:p>
        </w:tc>
      </w:tr>
      <w:tr>
        <w:trPr>
          <w:trHeight w:val="193"/>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21,219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701,586</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832,383</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(9,913)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1,520,768</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28,398</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705,582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860,781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1,557,265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40" w:type="dxa"/>
            <w:vAlign w:val="bottom"/>
            <w:tcBorders>
              <w:top w:val="single" w:sz="8" w:color="CCEEFF"/>
            </w:tcBorders>
            <w:vMerge w:val="continue"/>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(963)</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2,511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1,550</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6,533</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31,081</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711,152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891,862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1,589,972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(In thousands)</w:t>
      </w:r>
    </w:p>
    <w:p>
      <w:pPr>
        <w:spacing w:after="0" w:line="355"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9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(58,750)</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83,210</w:t>
            </w: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66,564</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inventory step-up</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7,165</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warranty and returns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compensation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19,236</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disposal of property, plant and equipment and other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Bond premium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Product-related charges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Usage of spare parts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 net of amounts acquired: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(13,593)</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(10,374)</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(8,317)</w:t>
            </w:r>
          </w:p>
        </w:tc>
      </w:tr>
      <w:tr>
        <w:trPr>
          <w:trHeight w:val="186"/>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(63,047)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w:t>
            </w: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184,917</w:t>
            </w:r>
          </w:p>
        </w:tc>
      </w:tr>
      <w:tr>
        <w:trPr>
          <w:trHeight w:val="16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(46,464)</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(1,844,164)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(10,216)</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 in non-marketable equity investments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(10,034)</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and maturities of investment securities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(1,885,470)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(57,746)</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long-term debt, net of lender debt issuance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1,672,631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 repayments of long-term debt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third-party debt issuance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1,647,417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w:t>
            </w: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r>
      <w:tr>
        <w:trPr>
          <w:trHeight w:val="17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123,388</w:t>
            </w:r>
          </w:p>
        </w:tc>
      </w:tr>
      <w:tr>
        <w:trPr>
          <w:trHeight w:val="19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552,827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396,097</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243,879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519,485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 -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thousands)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66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198"/>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3"/>
        </w:trPr>
        <w:tc>
          <w:tcPr>
            <w:tcW w:w="8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payable for property, plant and equipment</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2,897</w:t>
            </w:r>
          </w:p>
        </w:tc>
      </w:tr>
      <w:tr>
        <w:trPr>
          <w:trHeight w:val="209"/>
        </w:trPr>
        <w:tc>
          <w:tcPr>
            <w:tcW w:w="8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Non-compete agreement with associated contingent earn-out liability</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3,100</w:t>
            </w:r>
          </w:p>
        </w:tc>
      </w:tr>
      <w:tr>
        <w:trPr>
          <w:trHeight w:val="245"/>
        </w:trPr>
        <w:tc>
          <w:tcPr>
            <w:tcW w:w="8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Detail of assets acquired and liabilities assumed in acquisitions*: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Fair value of assets acquired</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1,658,937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(1,844,164)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consideration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(575,975)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Goodwill, acquired during period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1,442,849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227"/>
        </w:trPr>
        <w:tc>
          <w:tcPr>
            <w:tcW w:w="83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Liabilities assumed/Adjustments to liabilities assumed</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(626,489)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40640</wp:posOffset>
            </wp:positionV>
            <wp:extent cx="7073265" cy="229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3265" cy="229235"/>
                    </a:xfrm>
                    <a:prstGeom prst="rect">
                      <a:avLst/>
                    </a:prstGeom>
                    <a:noFill/>
                  </pic:spPr>
                </pic:pic>
              </a:graphicData>
            </a:graphic>
          </wp:anchor>
        </w:drawing>
      </w:r>
    </w:p>
    <w:p>
      <w:pPr>
        <w:spacing w:after="0" w:line="45" w:lineRule="exact"/>
        <w:rPr>
          <w:sz w:val="20"/>
          <w:szCs w:val="20"/>
          <w:color w:val="auto"/>
        </w:rPr>
      </w:pPr>
    </w:p>
    <w:p>
      <w:pPr>
        <w:ind w:left="80" w:right="2920"/>
        <w:spacing w:after="0" w:line="253" w:lineRule="auto"/>
        <w:rPr>
          <w:sz w:val="20"/>
          <w:szCs w:val="20"/>
          <w:color w:val="auto"/>
        </w:rPr>
      </w:pPr>
      <w:r>
        <w:rPr>
          <w:rFonts w:ascii="Times New Roman" w:cs="Times New Roman" w:eastAsia="Times New Roman" w:hAnsi="Times New Roman"/>
          <w:sz w:val="15"/>
          <w:szCs w:val="15"/>
          <w:color w:val="auto"/>
        </w:rPr>
        <w:t>*Includes amounts related to the acquisition of Smiths Medical 2020 Limited and measurement period adjustments related to a 2021 acquisition of a small foreign infusion systems supplier.</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w:t>
      </w:r>
    </w:p>
    <w:p>
      <w:pPr>
        <w:spacing w:after="0" w:line="221"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2021. Certain reclassifications have been made to the prior year footnote information for revenue disaggregated by geography in Note 5: Revenues to conform to classifications used in the current year. These reclassifications had no impact on net loss, shareholder's equity or cash flows as previously reported.</w:t>
      </w:r>
    </w:p>
    <w:p>
      <w:pPr>
        <w:spacing w:after="0" w:line="176"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are engaged in the development, manufacturing and sale of innovative medical products used in infusion therapy and critical care applications. We sell the majority of our products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97"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On January 6, 2022, we acquired Smiths Medical 2020 Limited ("Smiths Medical"), see Note 3: Acquisitions. Our condensed consolidated statement of operations includes the results of operations for Smiths Medical from January 7, 2022 through September 30, 2022. During the third quarter ended September 30, 2022, Smiths Medical changed their reporting period to align with ICU's calendar quarter from their historic 4-4-5 reporting period, this change did not have a material impact on our consolidated financial statements for the three and nine months ended September 30, 2022. Our condensed consolidated statement of operations includes the results of operations for Smiths Medical from June 26, 2022 through September 30, 2022 and January 7, 2022 through September 30, 2022 for the three and nine months ended September 30, 2022, respectively.</w:t>
      </w:r>
    </w:p>
    <w:p>
      <w:pPr>
        <w:spacing w:after="0" w:line="19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2:</w:t>
        <w:tab/>
        <w:t>New Accounting Pronouncements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47" w:lineRule="exact"/>
        <w:rPr>
          <w:sz w:val="20"/>
          <w:szCs w:val="20"/>
          <w:color w:val="auto"/>
        </w:rPr>
      </w:pPr>
    </w:p>
    <w:p>
      <w:pPr>
        <w:ind w:firstLine="172"/>
        <w:spacing w:after="0" w:line="255" w:lineRule="auto"/>
        <w:rPr>
          <w:sz w:val="20"/>
          <w:szCs w:val="20"/>
          <w:color w:val="auto"/>
        </w:rPr>
      </w:pPr>
      <w:r>
        <w:rPr>
          <w:rFonts w:ascii="Times New Roman" w:cs="Times New Roman" w:eastAsia="Times New Roman" w:hAnsi="Times New Roman"/>
          <w:sz w:val="17"/>
          <w:szCs w:val="17"/>
          <w:color w:val="auto"/>
        </w:rPr>
        <w:t>In March 2020, the Financial Accounting Standards Board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In November 2021, we entered into two forward-starting swaps whereby the variable leg of the swap referenced LIBOR. These swaps were amended in early 2022 to transition to an alternative reference rate (see Note 8: Derivatives and Hedging Activities). The amendments in this ASU allow for certain expedients that will allow us to assume that our hedged interest payments are probable of occurring regardless of any expected modification in their terms related to reference rate reform and will allow us to continue hedge accounting for a cash flow hedge for which the hedged interest rate risk changes if the hedge is highly effective under ASC 815, Derivatives and Hedging, or the optional expedient under this ASU is elected. The impact of this ASU on our contracts has not been and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3:</w:t>
        <w:tab/>
        <w:t>Acquisitions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Acquisition</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On January 6, 2022, we acquired 100.0% of the equity interests in Smiths Medical, the holding company of Smiths Group plc's global medical device business, from Smiths Group International Holdings Limited (“Smiths”). The acquisition of Smiths Medical aligns with our strategic growth plans, enabling us to broaden our product offerings to include syringe and ambulatory infusion devices, vascular access, and vital care products and to strengthen and expand our global market reach.</w:t>
      </w:r>
    </w:p>
    <w:p>
      <w:pPr>
        <w:spacing w:after="0" w:line="197"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Total cash consideration for the acquisition was $1.9 billion, which was financed with existing cash balances and proceeds from the credit agreement entered into on January 6, 2022 (see Note 17: Long-Term Debt). We also issued share consideration to Smiths of 2.5 million shares of our common stock. The fair value of the common shares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Preliminary Purchase Price Allocation</w:t>
      </w:r>
    </w:p>
    <w:p>
      <w:pPr>
        <w:spacing w:after="0" w:line="247"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estimated purchase price and the preliminary allocation of the purchase price related to the assets acquired and liabilities assumed (in thousands):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1" w:name="page12"/>
    <w:bookmarkEnd w:id="11"/>
    <w:p>
      <w:pPr>
        <w:jc w:val="center"/>
        <w:ind w:left="234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Estimated cash consideration for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Preliminary fair value of contingent consideration payable to Smiths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Issuance of ICU Medical, Inc.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Number of shares issued to Smiths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Price per share (ICU's opening market price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4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Fair value of ICU shares issued to Smiths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estimated consideration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Preliminary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14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Inventories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Intangible assets</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Other assets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Accrued liabilities</w:t>
      </w:r>
      <w:r>
        <w:rPr>
          <w:rFonts w:ascii="Times New Roman" w:cs="Times New Roman" w:eastAsia="Times New Roman" w:hAnsi="Times New Roman"/>
          <w:sz w:val="22"/>
          <w:szCs w:val="22"/>
          <w:color w:val="auto"/>
          <w:vertAlign w:val="superscript"/>
        </w:rPr>
        <w:t>(2)</w:t>
      </w:r>
    </w:p>
    <w:p>
      <w:pPr>
        <w:ind w:left="20"/>
        <w:spacing w:after="0"/>
        <w:rPr>
          <w:sz w:val="20"/>
          <w:szCs w:val="20"/>
          <w:color w:val="auto"/>
        </w:rPr>
      </w:pPr>
      <w:r>
        <w:rPr>
          <w:rFonts w:ascii="Times New Roman" w:cs="Times New Roman" w:eastAsia="Times New Roman" w:hAnsi="Times New Roman"/>
          <w:sz w:val="17"/>
          <w:szCs w:val="17"/>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10" w:hanging="1010"/>
        <w:spacing w:after="0"/>
        <w:tabs>
          <w:tab w:leader="none" w:pos="101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1,922,955</w:t>
      </w:r>
    </w:p>
    <w:p>
      <w:pPr>
        <w:spacing w:after="0" w:line="27" w:lineRule="exact"/>
        <w:rPr>
          <w:rFonts w:ascii="Times New Roman" w:cs="Times New Roman" w:eastAsia="Times New Roman" w:hAnsi="Times New Roman"/>
          <w:sz w:val="17"/>
          <w:szCs w:val="17"/>
          <w:color w:val="auto"/>
        </w:rPr>
      </w:pPr>
    </w:p>
    <w:p>
      <w:pPr>
        <w:ind w:left="12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53,520</w:t>
      </w:r>
    </w:p>
    <w:p>
      <w:pPr>
        <w:spacing w:after="0" w:line="200" w:lineRule="exact"/>
        <w:rPr>
          <w:sz w:val="20"/>
          <w:szCs w:val="20"/>
          <w:color w:val="auto"/>
        </w:rPr>
      </w:pPr>
    </w:p>
    <w:p>
      <w:pPr>
        <w:spacing w:after="0" w:line="297" w:lineRule="exact"/>
        <w:rPr>
          <w:sz w:val="20"/>
          <w:szCs w:val="20"/>
          <w:color w:val="auto"/>
        </w:rPr>
      </w:pPr>
    </w:p>
    <w:p>
      <w:pPr>
        <w:ind w:left="1310"/>
        <w:spacing w:after="0"/>
        <w:rPr>
          <w:sz w:val="20"/>
          <w:szCs w:val="20"/>
          <w:color w:val="auto"/>
        </w:rPr>
      </w:pPr>
      <w:r>
        <w:rPr>
          <w:rFonts w:ascii="Times New Roman" w:cs="Times New Roman" w:eastAsia="Times New Roman" w:hAnsi="Times New Roman"/>
          <w:sz w:val="17"/>
          <w:szCs w:val="17"/>
          <w:color w:val="auto"/>
        </w:rPr>
        <w:t>2,500</w:t>
      </w:r>
    </w:p>
    <w:p>
      <w:pPr>
        <w:spacing w:after="0" w:line="28" w:lineRule="exact"/>
        <w:rPr>
          <w:sz w:val="20"/>
          <w:szCs w:val="20"/>
          <w:color w:val="auto"/>
        </w:rPr>
      </w:pPr>
    </w:p>
    <w:p>
      <w:pPr>
        <w:ind w:left="1230" w:hanging="1230"/>
        <w:spacing w:after="0"/>
        <w:tabs>
          <w:tab w:leader="none" w:pos="12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230.39</w:t>
      </w:r>
    </w:p>
    <w:p>
      <w:pPr>
        <w:spacing w:after="0" w:line="33" w:lineRule="exact"/>
        <w:rPr>
          <w:sz w:val="20"/>
          <w:szCs w:val="20"/>
          <w:color w:val="auto"/>
        </w:rPr>
      </w:pPr>
    </w:p>
    <w:p>
      <w:pPr>
        <w:ind w:left="1150" w:hanging="1150"/>
        <w:spacing w:after="0"/>
        <w:tabs>
          <w:tab w:leader="none" w:pos="115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37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7" w:lineRule="exact"/>
        <w:rPr>
          <w:sz w:val="20"/>
          <w:szCs w:val="20"/>
          <w:color w:val="auto"/>
        </w:rPr>
      </w:pPr>
    </w:p>
    <w:p>
      <w:pPr>
        <w:ind w:left="1010" w:hanging="1010"/>
        <w:spacing w:after="0"/>
        <w:tabs>
          <w:tab w:leader="none" w:pos="101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2,552,450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37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30" w:hanging="1230"/>
        <w:spacing w:after="0"/>
        <w:tabs>
          <w:tab w:leader="none" w:pos="123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78,791</w:t>
      </w:r>
    </w:p>
    <w:p>
      <w:pPr>
        <w:spacing w:after="0" w:line="27" w:lineRule="exact"/>
        <w:rPr>
          <w:rFonts w:ascii="Times New Roman" w:cs="Times New Roman" w:eastAsia="Times New Roman" w:hAnsi="Times New Roman"/>
          <w:sz w:val="17"/>
          <w:szCs w:val="17"/>
          <w:color w:val="auto"/>
        </w:rPr>
      </w:pPr>
    </w:p>
    <w:p>
      <w:pPr>
        <w:ind w:left="11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118,522</w:t>
      </w:r>
    </w:p>
    <w:p>
      <w:pPr>
        <w:spacing w:after="0" w:line="23" w:lineRule="exact"/>
        <w:rPr>
          <w:rFonts w:ascii="Times New Roman" w:cs="Times New Roman" w:eastAsia="Times New Roman" w:hAnsi="Times New Roman"/>
          <w:sz w:val="17"/>
          <w:szCs w:val="17"/>
          <w:color w:val="auto"/>
        </w:rPr>
      </w:pPr>
    </w:p>
    <w:p>
      <w:pPr>
        <w:ind w:left="11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226,196</w:t>
      </w:r>
    </w:p>
    <w:p>
      <w:pPr>
        <w:spacing w:after="0" w:line="23" w:lineRule="exact"/>
        <w:rPr>
          <w:rFonts w:ascii="Times New Roman" w:cs="Times New Roman" w:eastAsia="Times New Roman" w:hAnsi="Times New Roman"/>
          <w:sz w:val="17"/>
          <w:szCs w:val="17"/>
          <w:color w:val="auto"/>
        </w:rPr>
      </w:pPr>
    </w:p>
    <w:p>
      <w:pPr>
        <w:ind w:left="12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53,554</w:t>
      </w:r>
    </w:p>
    <w:p>
      <w:pPr>
        <w:spacing w:after="0" w:line="23" w:lineRule="exact"/>
        <w:rPr>
          <w:rFonts w:ascii="Times New Roman" w:cs="Times New Roman" w:eastAsia="Times New Roman" w:hAnsi="Times New Roman"/>
          <w:sz w:val="17"/>
          <w:szCs w:val="17"/>
          <w:color w:val="auto"/>
        </w:rPr>
      </w:pPr>
    </w:p>
    <w:p>
      <w:pPr>
        <w:ind w:left="11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210,000</w:t>
      </w:r>
    </w:p>
    <w:p>
      <w:pPr>
        <w:spacing w:after="0" w:line="23" w:lineRule="exact"/>
        <w:rPr>
          <w:rFonts w:ascii="Times New Roman" w:cs="Times New Roman" w:eastAsia="Times New Roman" w:hAnsi="Times New Roman"/>
          <w:sz w:val="17"/>
          <w:szCs w:val="17"/>
          <w:color w:val="auto"/>
        </w:rPr>
      </w:pPr>
    </w:p>
    <w:p>
      <w:pPr>
        <w:ind w:left="12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55,161</w:t>
      </w:r>
    </w:p>
    <w:p>
      <w:pPr>
        <w:spacing w:after="0" w:line="23" w:lineRule="exact"/>
        <w:rPr>
          <w:rFonts w:ascii="Times New Roman" w:cs="Times New Roman" w:eastAsia="Times New Roman" w:hAnsi="Times New Roman"/>
          <w:sz w:val="17"/>
          <w:szCs w:val="17"/>
          <w:color w:val="auto"/>
        </w:rPr>
      </w:pPr>
    </w:p>
    <w:p>
      <w:pPr>
        <w:ind w:left="11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975,000</w:t>
      </w:r>
    </w:p>
    <w:p>
      <w:pPr>
        <w:spacing w:after="0" w:line="23" w:lineRule="exact"/>
        <w:rPr>
          <w:rFonts w:ascii="Times New Roman" w:cs="Times New Roman" w:eastAsia="Times New Roman" w:hAnsi="Times New Roman"/>
          <w:sz w:val="17"/>
          <w:szCs w:val="17"/>
          <w:color w:val="auto"/>
        </w:rPr>
      </w:pPr>
    </w:p>
    <w:p>
      <w:pPr>
        <w:ind w:left="131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9,303</w:t>
      </w:r>
    </w:p>
    <w:p>
      <w:pPr>
        <w:spacing w:after="0" w:line="23" w:lineRule="exact"/>
        <w:rPr>
          <w:rFonts w:ascii="Times New Roman" w:cs="Times New Roman" w:eastAsia="Times New Roman" w:hAnsi="Times New Roman"/>
          <w:sz w:val="17"/>
          <w:szCs w:val="17"/>
          <w:color w:val="auto"/>
        </w:rPr>
      </w:pPr>
    </w:p>
    <w:p>
      <w:pPr>
        <w:ind w:left="14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379</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(105,291)</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(173,901)</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(24,332)</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(85,739)</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(235,170)</w:t>
      </w:r>
    </w:p>
    <w:p>
      <w:pPr>
        <w:spacing w:after="0" w:line="21" w:lineRule="exact"/>
        <w:rPr>
          <w:sz w:val="20"/>
          <w:szCs w:val="20"/>
          <w:color w:val="auto"/>
        </w:rPr>
      </w:pPr>
    </w:p>
    <w:p>
      <w:pPr>
        <w:sectPr>
          <w:pgSz w:w="11900" w:h="16838" w:orient="portrait"/>
          <w:cols w:equalWidth="0" w:num="2">
            <w:col w:w="8900" w:space="570"/>
            <w:col w:w="1770"/>
          </w:cols>
          <w:pgMar w:left="320" w:top="119" w:right="339" w:bottom="1440" w:gutter="0" w:footer="0" w:header="0"/>
        </w:sectPr>
      </w:pPr>
    </w:p>
    <w:tbl>
      <w:tblPr>
        <w:tblLayout w:type="fixed"/>
        <w:tblInd w:w="0" w:type="dxa"/>
        <w:tblCellMar>
          <w:top w:w="0" w:type="dxa"/>
          <w:left w:w="0" w:type="dxa"/>
          <w:bottom w:w="0" w:type="dxa"/>
          <w:right w:w="0" w:type="dxa"/>
        </w:tblCellMar>
      </w:tblPr>
      <w:tr>
        <w:trPr>
          <w:trHeight w:val="214"/>
        </w:trPr>
        <w:tc>
          <w:tcPr>
            <w:tcW w:w="9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1,102,473</w:t>
            </w:r>
          </w:p>
        </w:tc>
      </w:tr>
      <w:tr>
        <w:trPr>
          <w:trHeight w:val="212"/>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 - not tax deductible</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1,449,977</w:t>
            </w: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Estimated Purchase Consideration</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2,552,450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7" w:lineRule="exact"/>
        <w:rPr>
          <w:sz w:val="20"/>
          <w:szCs w:val="20"/>
          <w:color w:val="auto"/>
        </w:rPr>
      </w:pPr>
    </w:p>
    <w:p>
      <w:pPr>
        <w:ind w:left="320" w:right="20" w:hanging="317"/>
        <w:spacing w:after="0" w:line="242" w:lineRule="auto"/>
        <w:tabs>
          <w:tab w:leader="none" w:pos="22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identifiable intangible assets include $540.0 million of customer relationships, $400.0 million of developed technology, $30.0 million of internally developed software, and $5.0 million of trademark.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 mark.</w:t>
      </w:r>
    </w:p>
    <w:p>
      <w:pPr>
        <w:spacing w:after="0" w:line="32" w:lineRule="exact"/>
        <w:rPr>
          <w:rFonts w:ascii="Times New Roman" w:cs="Times New Roman" w:eastAsia="Times New Roman" w:hAnsi="Times New Roman"/>
          <w:sz w:val="20"/>
          <w:szCs w:val="20"/>
          <w:color w:val="auto"/>
          <w:vertAlign w:val="superscript"/>
        </w:rPr>
      </w:pPr>
    </w:p>
    <w:p>
      <w:pPr>
        <w:ind w:left="320" w:right="20" w:hanging="317"/>
        <w:spacing w:after="0" w:line="234" w:lineRule="auto"/>
        <w:tabs>
          <w:tab w:leader="none" w:pos="22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accrued liabilities includes, among other things, accrued warranty reserves, accrued restructuring initiatives, accrued salaries and related benefits, deferred revenue and accrued sales and use taxes.</w:t>
      </w:r>
    </w:p>
    <w:p>
      <w:pPr>
        <w:spacing w:after="0" w:line="209"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The above purchase price and purchase price allocation are preliminary and subject to future revision as the acquired assets and liabilities assumed are dependent upon the finalization of the related valuations.</w:t>
      </w:r>
    </w:p>
    <w:p>
      <w:pPr>
        <w:spacing w:after="0" w:line="164" w:lineRule="exact"/>
        <w:rPr>
          <w:sz w:val="20"/>
          <w:szCs w:val="20"/>
          <w:color w:val="auto"/>
        </w:rPr>
      </w:pPr>
    </w:p>
    <w:p>
      <w:pPr>
        <w:ind w:right="120" w:firstLine="619"/>
        <w:spacing w:after="0" w:line="239" w:lineRule="auto"/>
        <w:rPr>
          <w:sz w:val="20"/>
          <w:szCs w:val="20"/>
          <w:color w:val="auto"/>
        </w:rPr>
      </w:pPr>
      <w:r>
        <w:rPr>
          <w:rFonts w:ascii="Times New Roman" w:cs="Times New Roman" w:eastAsia="Times New Roman" w:hAnsi="Times New Roman"/>
          <w:sz w:val="17"/>
          <w:szCs w:val="17"/>
          <w:color w:val="auto"/>
        </w:rPr>
        <w:t>The identifiable intangible assets and other long-lived assets acquired have been valued as Level 3 assets at fair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Unaudited Pro Forma Information</w:t>
      </w:r>
    </w:p>
    <w:p>
      <w:pPr>
        <w:spacing w:after="0" w:line="24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Smiths Medical is included in our consolidated results beginning on January 7, 2022. Total revenues and net loss attributable to Smiths Medical for the period from January 7, 2022 to September 30, 2022 were estimated to be $699.1 million and $79.0 million, respectively, and for the three months ended September 30, 2022 were estimated to be $261.4 million and $13.6 million. The following unaudited pro forma financial information presents the combined results of operations of ICU and Smiths Medical as if the acquisition had occurred on January 1, 2021. The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31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gridSpan w:val="4"/>
          </w:tcPr>
          <w:p>
            <w:pPr>
              <w:jc w:val="right"/>
              <w:ind w:right="677"/>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6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597,857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641,115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1,722,357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1,862,237</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tcPr>
          <w:p>
            <w:pPr>
              <w:jc w:val="right"/>
              <w:ind w:right="95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(13,208)</w:t>
            </w:r>
          </w:p>
        </w:tc>
        <w:tc>
          <w:tcPr>
            <w:tcW w:w="100" w:type="dxa"/>
            <w:vAlign w:val="bottom"/>
          </w:tcPr>
          <w:p>
            <w:pPr>
              <w:spacing w:after="0"/>
              <w:rPr>
                <w:sz w:val="19"/>
                <w:szCs w:val="19"/>
                <w:color w:val="auto"/>
              </w:rPr>
            </w:pPr>
          </w:p>
        </w:tc>
        <w:tc>
          <w:tcPr>
            <w:tcW w:w="1160" w:type="dxa"/>
            <w:vAlign w:val="bottom"/>
          </w:tcPr>
          <w:p>
            <w:pPr>
              <w:jc w:val="right"/>
              <w:ind w:right="9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(54,840)</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22,026</w:t>
            </w: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unaudited pro forma results presented above include the impact of the following adjustments: incremental amortization expense on intangible 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acquired of $1.9 million and $1.9 million for the nine months ended September 30, 2022 and 2021, respectively, incremental interest expense, including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of debt discount and debt issuance costs, on the Senior Secured Credit Facilities (as defined in Note 17: Long-Term Debt) of $1.4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$47.1 million for the nine months ended September 30, 2022 and 2021, respectively; and a $27.4 million expense adjustment related to the increase in fair value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to remove the expense for the nine months ended September 30, 2022 and to add the expense for the nine months ended September 30, 2021.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 there was a non-recurring adjustment directly attributable to the business combination for acquisition-related costs of $11.6 million for the nine months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September 30, 2021. The unaudited pro forma results include IFRS to U.S. GAAP adjustments for Smiths Medical historical results and adjustments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policy alignment, which were materially similar to the Company. Any differences in accounting policies were adjusted to reflect the accounting policies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Company in the unaudited pro forma results presented.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2021 Acquisition</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During November 2021, we acquired a small foreign infusion systems supplier and paid an initial gross cash payment of approximately $15.4 million. In addition to the initial cash consideration, total consideration for the acquisition includes an additional holdback of $0.5 million, to be paid two years from the completion date of the acquisition, and also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September 30, 2022, the total consideration which includes the acquisition date fair value of the contingent consideration was $17.1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Restructuring, Strategic Transaction and Integration</w:t>
      </w:r>
    </w:p>
    <w:p>
      <w:pPr>
        <w:spacing w:after="0" w:line="247" w:lineRule="exact"/>
        <w:rPr>
          <w:sz w:val="20"/>
          <w:szCs w:val="20"/>
          <w:color w:val="auto"/>
        </w:rPr>
      </w:pPr>
    </w:p>
    <w:p>
      <w:pPr>
        <w:ind w:right="38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$14.4 million and $2.4 million for the three months ended September 30, 2022 and 2021, respectively, and $61.8 million and $9.0 million for nine months ended September 30, 2022 and 2021,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247" w:lineRule="exact"/>
        <w:rPr>
          <w:sz w:val="20"/>
          <w:szCs w:val="20"/>
          <w:color w:val="auto"/>
        </w:rPr>
      </w:pPr>
    </w:p>
    <w:p>
      <w:pPr>
        <w:ind w:right="80" w:firstLine="172"/>
        <w:spacing w:after="0" w:line="270" w:lineRule="auto"/>
        <w:rPr>
          <w:sz w:val="20"/>
          <w:szCs w:val="20"/>
          <w:color w:val="auto"/>
        </w:rPr>
      </w:pPr>
      <w:r>
        <w:rPr>
          <w:rFonts w:ascii="Times New Roman" w:cs="Times New Roman" w:eastAsia="Times New Roman" w:hAnsi="Times New Roman"/>
          <w:sz w:val="17"/>
          <w:szCs w:val="17"/>
          <w:color w:val="auto"/>
        </w:rPr>
        <w:t>During the three and nine months ended September 30, 2022, restructuring charges were $2.4 million and $7.3 million, respectively, and were related to severance costs. During the third quarter 2021 we adjusted certain facility restructuring liabilities by $2.0 million to reflect actual amounts owed which resulted in net restructuring credits of $(1.9) million and $(1.8) million for the three and nine months ended September 30, 2021, respectively.</w:t>
      </w:r>
    </w:p>
    <w:p>
      <w:pPr>
        <w:spacing w:after="0" w:line="165" w:lineRule="exact"/>
        <w:rPr>
          <w:sz w:val="20"/>
          <w:szCs w:val="20"/>
          <w:color w:val="auto"/>
        </w:rPr>
      </w:pPr>
    </w:p>
    <w:p>
      <w:pPr>
        <w:ind w:right="560" w:firstLine="61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activity in our restructuring-related accrual by major type of cost for the period ended September 30, 2022 (in thousands):</w:t>
      </w: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5"/>
                <w:szCs w:val="15"/>
                <w:b w:val="1"/>
                <w:bCs w:val="1"/>
                <w:color w:val="auto"/>
              </w:rPr>
              <w:t>Severance Pay and</w:t>
            </w:r>
          </w:p>
        </w:tc>
        <w:tc>
          <w:tcPr>
            <w:tcW w:w="120" w:type="dxa"/>
            <w:vAlign w:val="bottom"/>
          </w:tcPr>
          <w:p>
            <w:pPr>
              <w:spacing w:after="0"/>
              <w:rPr>
                <w:sz w:val="13"/>
                <w:szCs w:val="13"/>
                <w:color w:val="auto"/>
              </w:rPr>
            </w:pPr>
          </w:p>
        </w:tc>
        <w:tc>
          <w:tcPr>
            <w:tcW w:w="17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5"/>
                <w:szCs w:val="15"/>
                <w:b w:val="1"/>
                <w:bCs w:val="1"/>
                <w:color w:val="auto"/>
              </w:rPr>
              <w:t>Retention and Facility</w:t>
            </w:r>
          </w:p>
        </w:tc>
        <w:tc>
          <w:tcPr>
            <w:tcW w:w="400" w:type="dxa"/>
            <w:vAlign w:val="bottom"/>
          </w:tcPr>
          <w:p>
            <w:pPr>
              <w:spacing w:after="0"/>
              <w:rPr>
                <w:sz w:val="13"/>
                <w:szCs w:val="13"/>
                <w:color w:val="auto"/>
              </w:rPr>
            </w:pPr>
          </w:p>
        </w:tc>
        <w:tc>
          <w:tcPr>
            <w:tcW w:w="1380" w:type="dxa"/>
            <w:vAlign w:val="bottom"/>
            <w:vMerge w:val="restart"/>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Benefits</w:t>
            </w:r>
          </w:p>
        </w:tc>
        <w:tc>
          <w:tcPr>
            <w:tcW w:w="12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Closure Costs</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Acquired restructuring liabilities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12"/>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9,205</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June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firstLine="169"/>
        <w:spacing w:after="0" w:line="257" w:lineRule="auto"/>
        <w:rPr>
          <w:sz w:val="20"/>
          <w:szCs w:val="20"/>
          <w:color w:val="auto"/>
        </w:rPr>
      </w:pPr>
      <w:r>
        <w:rPr>
          <w:rFonts w:ascii="Times New Roman" w:cs="Times New Roman" w:eastAsia="Times New Roman" w:hAnsi="Times New Roman"/>
          <w:sz w:val="17"/>
          <w:szCs w:val="17"/>
          <w:color w:val="auto"/>
        </w:rPr>
        <w:t>We incurred and expensed $12.0 million and $4.3 million in strategic transaction and integration expenses during the three months ended September 30, 2022 and 2021, respectively, and we incurred and expensed $54.5 million and $10.8 million in strategic transaction and integration expenses during the nine months ended September 30, 2022 and 2021, respectively, which are included in restructuring, strategic transaction and integration expenses in our condensed consolidated statements of operations. The strategic transaction and integration expenses during the three and nine months ended September 30, 2022 were primarily related to transaction and integration expenses associated with our acquisition of Smiths Medical on January 6, 2022 (see Note 3: Acquisitions) which primarily included legal expenses, bank fees and employee costs. The nine months ended September 30, 2022 also included a United Kingdom stamp tax. The strategic transaction and integration expenses for the three and nine months ended September 30, 2021 were primarily related to integration costs associated with acquisitions, the Hospira Infusion Systems ("HIS") earn-out dispute with Pfizer and one-time costs incurred to comply with regulatory initiatives and transaction costs related to the Smiths Medical transaction.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60" w:firstLine="172"/>
        <w:spacing w:after="0" w:line="261" w:lineRule="auto"/>
        <w:rPr>
          <w:sz w:val="20"/>
          <w:szCs w:val="20"/>
          <w:color w:val="auto"/>
        </w:rPr>
      </w:pPr>
      <w:r>
        <w:rPr>
          <w:rFonts w:ascii="Times New Roman" w:cs="Times New Roman" w:eastAsia="Times New Roman" w:hAnsi="Times New Roman"/>
          <w:sz w:val="17"/>
          <w:szCs w:val="17"/>
          <w:color w:val="auto"/>
        </w:rPr>
        <w:t>Following our acquisition of Smiths Medical, our primary product lines are Infusion Consumables, Infusion Systems, IV Solutions, Critical Care, Infusion Systems-Smiths Medical, Vascular Access-Smiths Medical and Vital Care-Smiths Medical.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200" w:lineRule="exact"/>
        <w:rPr>
          <w:sz w:val="20"/>
          <w:szCs w:val="20"/>
          <w:color w:val="auto"/>
        </w:rPr>
      </w:pPr>
    </w:p>
    <w:p>
      <w:pPr>
        <w:ind w:right="160" w:firstLine="172"/>
        <w:spacing w:after="0" w:line="258" w:lineRule="auto"/>
        <w:rPr>
          <w:sz w:val="20"/>
          <w:szCs w:val="20"/>
          <w:color w:val="auto"/>
        </w:rPr>
      </w:pPr>
      <w:r>
        <w:rPr>
          <w:rFonts w:ascii="Times New Roman" w:cs="Times New Roman" w:eastAsia="Times New Roman" w:hAnsi="Times New Roman"/>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205" w:lineRule="exact"/>
        <w:rPr>
          <w:sz w:val="20"/>
          <w:szCs w:val="20"/>
          <w:color w:val="auto"/>
        </w:rPr>
      </w:pPr>
    </w:p>
    <w:p>
      <w:pPr>
        <w:ind w:right="340" w:firstLine="169"/>
        <w:spacing w:after="0" w:line="261" w:lineRule="auto"/>
        <w:rPr>
          <w:sz w:val="20"/>
          <w:szCs w:val="20"/>
          <w:color w:val="auto"/>
        </w:rPr>
      </w:pPr>
      <w:r>
        <w:rPr>
          <w:rFonts w:ascii="Times New Roman" w:cs="Times New Roman" w:eastAsia="Times New Roman" w:hAnsi="Times New Roman"/>
          <w:sz w:val="17"/>
          <w:szCs w:val="17"/>
          <w:color w:val="auto"/>
        </w:rPr>
        <w:t>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disaggregated</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product line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9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00" w:type="dxa"/>
            <w:vAlign w:val="bottom"/>
          </w:tcPr>
          <w:p>
            <w:pPr>
              <w:spacing w:after="0"/>
              <w:rPr>
                <w:sz w:val="17"/>
                <w:szCs w:val="17"/>
                <w:color w:val="auto"/>
              </w:rPr>
            </w:pPr>
          </w:p>
        </w:tc>
      </w:tr>
      <w:tr>
        <w:trPr>
          <w:trHeight w:val="227"/>
        </w:trPr>
        <w:tc>
          <w:tcPr>
            <w:tcW w:w="3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Product line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Infusion Consumables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426,050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407,419</w:t>
            </w:r>
          </w:p>
        </w:tc>
      </w:tr>
      <w:tr>
        <w:trPr>
          <w:trHeight w:val="219"/>
        </w:trPr>
        <w:tc>
          <w:tcPr>
            <w:tcW w:w="3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Infusion Systems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87,846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262,111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259,683</w:t>
            </w:r>
          </w:p>
        </w:tc>
      </w:tr>
      <w:tr>
        <w:trPr>
          <w:trHeight w:val="21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IV Solutions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278,959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271,834</w:t>
            </w:r>
          </w:p>
        </w:tc>
      </w:tr>
      <w:tr>
        <w:trPr>
          <w:trHeight w:val="219"/>
        </w:trPr>
        <w:tc>
          <w:tcPr>
            <w:tcW w:w="3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Critical Care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36,847</w:t>
            </w: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Infusion Systems-Smiths Medical</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240,992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Vascular Access-Smiths Medical</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95,284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251,350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Vital Care-Smiths Medical</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207,114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597,857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336,060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1,701,983</w:t>
            </w: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975,783</w:t>
            </w:r>
          </w:p>
        </w:tc>
      </w:tr>
      <w:tr>
        <w:trPr>
          <w:trHeight w:val="20"/>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700" w:firstLine="619"/>
        <w:spacing w:after="0" w:line="287" w:lineRule="auto"/>
        <w:rPr>
          <w:sz w:val="20"/>
          <w:szCs w:val="20"/>
          <w:color w:val="auto"/>
        </w:rPr>
      </w:pPr>
      <w:r>
        <w:rPr>
          <w:rFonts w:ascii="Times New Roman" w:cs="Times New Roman" w:eastAsia="Times New Roman" w:hAnsi="Times New Roman"/>
          <w:sz w:val="17"/>
          <w:szCs w:val="17"/>
          <w:color w:val="auto"/>
        </w:rPr>
        <w:t>Infusion Systems-Smiths Medical, Vascular Access-Smiths Medical and Vital Care-Smiths Medical represent our newly integrated product lines following our acquisition of Smiths Medical on January 6, 2022.</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geography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9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00" w:type="dxa"/>
            <w:vAlign w:val="bottom"/>
          </w:tcPr>
          <w:p>
            <w:pPr>
              <w:spacing w:after="0"/>
              <w:rPr>
                <w:sz w:val="17"/>
                <w:szCs w:val="17"/>
                <w:color w:val="auto"/>
              </w:rPr>
            </w:pPr>
          </w:p>
        </w:tc>
      </w:tr>
      <w:tr>
        <w:trPr>
          <w:trHeight w:val="227"/>
        </w:trPr>
        <w:tc>
          <w:tcPr>
            <w:tcW w:w="3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Geography</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376,691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1,088,348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697,316</w:t>
            </w:r>
          </w:p>
        </w:tc>
      </w:tr>
      <w:tr>
        <w:trPr>
          <w:trHeight w:val="219"/>
        </w:trPr>
        <w:tc>
          <w:tcPr>
            <w:tcW w:w="3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Canada</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86,473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61,560</w:t>
            </w:r>
          </w:p>
        </w:tc>
      </w:tr>
      <w:tr>
        <w:trPr>
          <w:trHeight w:val="21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LATAM</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59,827</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44,191</w:t>
            </w:r>
          </w:p>
        </w:tc>
      </w:tr>
      <w:tr>
        <w:trPr>
          <w:trHeight w:val="212"/>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Americas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429,419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279,199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1,234,648</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803,067</w:t>
            </w:r>
          </w:p>
        </w:tc>
      </w:tr>
      <w:tr>
        <w:trPr>
          <w:trHeight w:val="212"/>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Europe, the Middle East and Africa</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101,869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275,488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108,800</w:t>
            </w:r>
          </w:p>
        </w:tc>
      </w:tr>
      <w:tr>
        <w:trPr>
          <w:trHeight w:val="219"/>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APAC</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66,569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191,847</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63,916</w:t>
            </w:r>
          </w:p>
        </w:tc>
      </w:tr>
      <w:tr>
        <w:trPr>
          <w:trHeight w:val="237"/>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597,857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1,701,983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975,783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our contract balances for the nine months ended September 30, 2022 and 2021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2022</w:t>
            </w: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of acquired deferred revenue</w:t>
            </w: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grant deferred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recognized</w:t>
            </w: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4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September 30, 2022</w:t>
            </w:r>
          </w:p>
        </w:tc>
        <w:tc>
          <w:tcPr>
            <w:tcW w:w="4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2021</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September 30, 2021</w:t>
            </w: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As of September 30, 2022, revenue from remaining performance obligations is as follows:</w:t>
            </w: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4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340" w:type="dxa"/>
            <w:vAlign w:val="bottom"/>
            <w:tcBorders>
              <w:bottom w:val="single" w:sz="8" w:color="auto"/>
            </w:tcBorders>
            <w:gridSpan w:val="5"/>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b w:val="1"/>
                <w:bCs w:val="1"/>
                <w:color w:val="auto"/>
              </w:rPr>
              <w:t>Recognition Timing</w:t>
            </w:r>
          </w:p>
        </w:tc>
        <w:tc>
          <w:tcPr>
            <w:tcW w:w="0" w:type="dxa"/>
            <w:vAlign w:val="bottom"/>
          </w:tcPr>
          <w:p>
            <w:pPr>
              <w:spacing w:after="0"/>
              <w:rPr>
                <w:sz w:val="1"/>
                <w:szCs w:val="1"/>
                <w:color w:val="auto"/>
              </w:rPr>
            </w:pPr>
          </w:p>
        </w:tc>
      </w:tr>
      <w:tr>
        <w:trPr>
          <w:trHeight w:val="212"/>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&lt; 12 Months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&gt; 12 Months</w:t>
            </w:r>
          </w:p>
        </w:tc>
        <w:tc>
          <w:tcPr>
            <w:tcW w:w="0" w:type="dxa"/>
            <w:vAlign w:val="bottom"/>
          </w:tcPr>
          <w:p>
            <w:pPr>
              <w:spacing w:after="0"/>
              <w:rPr>
                <w:sz w:val="1"/>
                <w:szCs w:val="1"/>
                <w:color w:val="auto"/>
              </w:rPr>
            </w:pPr>
          </w:p>
        </w:tc>
      </w:tr>
      <w:tr>
        <w:trPr>
          <w:trHeight w:val="212"/>
        </w:trPr>
        <w:tc>
          <w:tcPr>
            <w:tcW w:w="6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0" w:type="dxa"/>
            <w:vAlign w:val="bottom"/>
          </w:tcPr>
          <w:p>
            <w:pPr>
              <w:spacing w:after="0"/>
              <w:rPr>
                <w:sz w:val="1"/>
                <w:szCs w:val="1"/>
                <w:color w:val="auto"/>
              </w:rPr>
            </w:pPr>
          </w:p>
        </w:tc>
      </w:tr>
      <w:tr>
        <w:trPr>
          <w:trHeight w:val="21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Software revenue</w:t>
            </w: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0" w:type="dxa"/>
            <w:vAlign w:val="bottom"/>
          </w:tcPr>
          <w:p>
            <w:pPr>
              <w:spacing w:after="0"/>
              <w:rPr>
                <w:sz w:val="1"/>
                <w:szCs w:val="1"/>
                <w:color w:val="auto"/>
              </w:rPr>
            </w:pP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grant revenue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(13,735)</w:t>
            </w:r>
          </w:p>
        </w:tc>
        <w:tc>
          <w:tcPr>
            <w:tcW w:w="0" w:type="dxa"/>
            <w:vAlign w:val="bottom"/>
          </w:tcPr>
          <w:p>
            <w:pPr>
              <w:spacing w:after="0"/>
              <w:rPr>
                <w:sz w:val="1"/>
                <w:szCs w:val="1"/>
                <w:color w:val="auto"/>
              </w:rPr>
            </w:pPr>
          </w:p>
        </w:tc>
      </w:tr>
      <w:tr>
        <w:trPr>
          <w:trHeight w:val="219"/>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(6,941)</w:t>
            </w:r>
          </w:p>
        </w:tc>
        <w:tc>
          <w:tcPr>
            <w:tcW w:w="0" w:type="dxa"/>
            <w:vAlign w:val="bottom"/>
          </w:tcPr>
          <w:p>
            <w:pPr>
              <w:spacing w:after="0"/>
              <w:rPr>
                <w:sz w:val="1"/>
                <w:szCs w:val="1"/>
                <w:color w:val="auto"/>
              </w:rPr>
            </w:pPr>
          </w:p>
        </w:tc>
      </w:tr>
      <w:tr>
        <w:trPr>
          <w:trHeight w:val="23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deferred revenue includes pump development programs, purchased training and extended warranty.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221" w:lineRule="exact"/>
        <w:rPr>
          <w:sz w:val="20"/>
          <w:szCs w:val="20"/>
          <w:color w:val="auto"/>
        </w:rPr>
      </w:pPr>
    </w:p>
    <w:p>
      <w:pPr>
        <w:ind w:right="220" w:firstLine="172"/>
        <w:spacing w:after="0" w:line="264" w:lineRule="auto"/>
        <w:rPr>
          <w:sz w:val="20"/>
          <w:szCs w:val="20"/>
          <w:color w:val="auto"/>
        </w:rPr>
      </w:pPr>
      <w:r>
        <w:rPr>
          <w:rFonts w:ascii="Times New Roman" w:cs="Times New Roman" w:eastAsia="Times New Roman" w:hAnsi="Times New Roman"/>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197"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175" w:lineRule="exact"/>
        <w:rPr>
          <w:sz w:val="20"/>
          <w:szCs w:val="20"/>
          <w:color w:val="auto"/>
        </w:rPr>
      </w:pPr>
    </w:p>
    <w:p>
      <w:pPr>
        <w:ind w:right="220" w:firstLine="172"/>
        <w:spacing w:after="0" w:line="270" w:lineRule="auto"/>
        <w:rPr>
          <w:sz w:val="20"/>
          <w:szCs w:val="20"/>
          <w:color w:val="auto"/>
        </w:rPr>
      </w:pPr>
      <w:r>
        <w:rPr>
          <w:rFonts w:ascii="Times New Roman" w:cs="Times New Roman" w:eastAsia="Times New Roman" w:hAnsi="Times New Roman"/>
          <w:sz w:val="17"/>
          <w:szCs w:val="17"/>
          <w:color w:val="auto"/>
        </w:rPr>
        <w:t>Our leases are for corporate, research and development and sales and support offices,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our lease cost (in thousands):</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5"/>
        </w:trPr>
        <w:tc>
          <w:tcPr>
            <w:tcW w:w="40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8,455</w:t>
            </w:r>
          </w:p>
        </w:tc>
      </w:tr>
      <w:tr>
        <w:trPr>
          <w:trHeight w:val="21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cost — interest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cost — reduction of ROU asset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219"/>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7"/>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Interest expense on our finance leases is included in other income (expense), net in our condensed consolidated statements of operations. The reduction of the operating and finance ROU assets is included as noncash lease expense in selling, general and administrative expenses in our condensed consolidated statements of operations.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cash flow information related to our leases (in thousands):</w:t>
      </w:r>
    </w:p>
    <w:p>
      <w:pPr>
        <w:spacing w:after="0" w:line="13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ind w:left="88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18,886</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8,461</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4,771</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operating leases (in thousands, except lease term and discount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2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76,438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39,847</w:t>
            </w:r>
          </w:p>
        </w:tc>
        <w:tc>
          <w:tcPr>
            <w:tcW w:w="20" w:type="dxa"/>
            <w:vAlign w:val="bottom"/>
          </w:tcPr>
          <w:p>
            <w:pPr>
              <w:spacing w:after="0"/>
              <w:rPr>
                <w:sz w:val="19"/>
                <w:szCs w:val="19"/>
                <w:color w:val="auto"/>
              </w:rPr>
            </w:pPr>
          </w:p>
        </w:tc>
      </w:tr>
      <w:tr>
        <w:trPr>
          <w:trHeight w:val="258"/>
        </w:trPr>
        <w:tc>
          <w:tcPr>
            <w:tcW w:w="20" w:type="dxa"/>
            <w:vAlign w:val="bottom"/>
            <w:shd w:val="clear" w:color="auto" w:fill="CCEEFF"/>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18,638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9,009</w:t>
            </w:r>
          </w:p>
        </w:tc>
        <w:tc>
          <w:tcPr>
            <w:tcW w:w="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62,902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33,971</w:t>
            </w:r>
          </w:p>
        </w:tc>
        <w:tc>
          <w:tcPr>
            <w:tcW w:w="20" w:type="dxa"/>
            <w:vAlign w:val="bottom"/>
            <w:tcBorders>
              <w:bottom w:val="single" w:sz="8" w:color="auto"/>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81,540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42,980</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Operating leases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6.1 years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5.9 years</w:t>
            </w:r>
          </w:p>
        </w:tc>
      </w:tr>
      <w:tr>
        <w:trPr>
          <w:trHeight w:val="258"/>
        </w:trPr>
        <w:tc>
          <w:tcPr>
            <w:tcW w:w="2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9"/>
        </w:trPr>
        <w:tc>
          <w:tcPr>
            <w:tcW w:w="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4.98 %</w:t>
            </w:r>
          </w:p>
        </w:tc>
        <w:tc>
          <w:tcPr>
            <w:tcW w:w="20" w:type="dxa"/>
            <w:vAlign w:val="bottom"/>
          </w:tcPr>
          <w:p>
            <w:pPr>
              <w:spacing w:after="0"/>
              <w:rPr>
                <w:sz w:val="19"/>
                <w:szCs w:val="19"/>
                <w:color w:val="auto"/>
              </w:rPr>
            </w:pPr>
          </w:p>
        </w:tc>
      </w:tr>
      <w:tr>
        <w:trPr>
          <w:trHeight w:val="486"/>
        </w:trPr>
        <w:tc>
          <w:tcPr>
            <w:tcW w:w="20" w:type="dxa"/>
            <w:vAlign w:val="bottom"/>
          </w:tcPr>
          <w:p>
            <w:pPr>
              <w:spacing w:after="0"/>
              <w:rPr>
                <w:sz w:val="24"/>
                <w:szCs w:val="24"/>
                <w:color w:val="auto"/>
              </w:rPr>
            </w:pPr>
          </w:p>
        </w:tc>
        <w:tc>
          <w:tcPr>
            <w:tcW w:w="11240" w:type="dxa"/>
            <w:vAlign w:val="bottom"/>
            <w:gridSpan w:val="8"/>
          </w:tcPr>
          <w:p>
            <w:pPr>
              <w:ind w:left="60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finance leases (in thousands, except lease term and discount rate):</w:t>
            </w:r>
          </w:p>
        </w:tc>
      </w:tr>
      <w:tr>
        <w:trPr>
          <w:trHeight w:val="31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20" w:type="dxa"/>
            <w:vAlign w:val="bottom"/>
          </w:tcPr>
          <w:p>
            <w:pPr>
              <w:spacing w:after="0"/>
              <w:rPr>
                <w:sz w:val="17"/>
                <w:szCs w:val="17"/>
                <w:color w:val="auto"/>
              </w:rPr>
            </w:pPr>
          </w:p>
        </w:tc>
        <w:tc>
          <w:tcPr>
            <w:tcW w:w="1680" w:type="dxa"/>
            <w:vAlign w:val="bottom"/>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2,673</w:t>
            </w: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643</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2,067</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2,392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4.9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years</w:t>
            </w:r>
          </w:p>
        </w:tc>
        <w:tc>
          <w:tcPr>
            <w:tcW w:w="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4.28 %</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2022, the maturities of our operating and finance lease liabilities for each of the next five years are approximately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81,540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2,392</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7:</w:t>
        <w:tab/>
        <w:t>Net Income Per Share</w:t>
      </w:r>
    </w:p>
    <w:p>
      <w:pPr>
        <w:spacing w:after="0" w:line="221"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Due to the net loss for the three and nine months ended September 30, 2022, any potentially dilutive common shares were not included in the computation of diluted earnings per share as they would have had an anti-dilutive effect, therefore basic and diluted net loss per share are equal for the period. There were 12,235 and 12,132 anti-dilutive securities for the three and nine months ended September 30, 2021, respectively.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calculation of net earnings per common share (“EPS”) — basic and diluted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715"/>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83,210</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21,189</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Dilutive securities</w:t>
            </w:r>
            <w:r>
              <w:rPr>
                <w:rFonts w:ascii="Times New Roman" w:cs="Times New Roman" w:eastAsia="Times New Roman" w:hAnsi="Times New Roman"/>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148"/>
        </w:trPr>
        <w:tc>
          <w:tcPr>
            <w:tcW w:w="464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Weighted-average common and common equivalent shares</w:t>
            </w: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23,908</w:t>
            </w: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21,730</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23,828</w:t>
            </w: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21,735</w:t>
            </w:r>
          </w:p>
        </w:tc>
        <w:tc>
          <w:tcPr>
            <w:tcW w:w="0" w:type="dxa"/>
            <w:vAlign w:val="bottom"/>
          </w:tcPr>
          <w:p>
            <w:pPr>
              <w:spacing w:after="0"/>
              <w:rPr>
                <w:sz w:val="1"/>
                <w:szCs w:val="1"/>
                <w:color w:val="auto"/>
              </w:rPr>
            </w:pPr>
          </w:p>
        </w:tc>
      </w:tr>
      <w:tr>
        <w:trPr>
          <w:trHeight w:val="20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(diluted)</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Pr>
          <w:p>
            <w:pPr>
              <w:spacing w:after="0"/>
              <w:rPr>
                <w:sz w:val="19"/>
                <w:szCs w:val="19"/>
                <w:color w:val="auto"/>
              </w:rPr>
            </w:pP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7" w:lineRule="exact"/>
        <w:rPr>
          <w:sz w:val="20"/>
          <w:szCs w:val="20"/>
          <w:color w:val="auto"/>
        </w:rPr>
      </w:pPr>
    </w:p>
    <w:p>
      <w:pPr>
        <w:ind w:left="220" w:hanging="217"/>
        <w:spacing w:after="0"/>
        <w:tabs>
          <w:tab w:leader="none" w:pos="2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dilutive effect for the three and nine months ended September 30, 2022; therefore, zero incremental shares included for the period.</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tab/>
        <w:t>Derivatives and Hedging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Hedge Accounting and Hedging Program</w:t>
      </w:r>
    </w:p>
    <w:p>
      <w:pPr>
        <w:spacing w:after="0" w:line="247" w:lineRule="exact"/>
        <w:rPr>
          <w:sz w:val="20"/>
          <w:szCs w:val="20"/>
          <w:color w:val="auto"/>
        </w:rPr>
      </w:pPr>
    </w:p>
    <w:p>
      <w:pPr>
        <w:ind w:right="240" w:firstLine="215"/>
        <w:spacing w:after="0" w:line="270" w:lineRule="auto"/>
        <w:rPr>
          <w:sz w:val="20"/>
          <w:szCs w:val="20"/>
          <w:color w:val="auto"/>
        </w:rPr>
      </w:pPr>
      <w:r>
        <w:rPr>
          <w:rFonts w:ascii="Times New Roman" w:cs="Times New Roman" w:eastAsia="Times New Roman" w:hAnsi="Times New Roman"/>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January 2022. We do not issue derivatives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60" w:firstLine="169"/>
        <w:spacing w:after="0" w:line="258" w:lineRule="auto"/>
        <w:rPr>
          <w:sz w:val="20"/>
          <w:szCs w:val="20"/>
          <w:color w:val="auto"/>
        </w:rPr>
      </w:pPr>
      <w:r>
        <w:rPr>
          <w:rFonts w:ascii="Times New Roman" w:cs="Times New Roman" w:eastAsia="Times New Roman" w:hAnsi="Times New Roman"/>
          <w:sz w:val="17"/>
          <w:szCs w:val="17"/>
          <w:color w:val="auto"/>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Exchange Forward Contracts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enter into foreign exchange forward contracts to hedge a portion of our forecasted foreign currency-denominated revenues and expenses to minimize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foreign exchange rate movements on the related cash flows. These contracts are agreements to buy or sell a quantity of a currency at a predetermined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date and at a predetermined exchange rate. Our foreign exchange forward contracts hedge exposures principally denominated in Mexican Pesos ("MXN"),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Euros, Czech Koruna ("CZK"), Japanese Yen ("JPY"), U.S. Dollar ("USD"), Chinese Renminbi ("CNH"), Canadian Dollar ("CAD") and Australian Dollar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 and have varying maturities with an average term of approximately twelve months. The total notional amount of these outstanding derivative contracts 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September 30, 2022 was $145.2 million, which included the notional equivalent of $31.5 million in MXN, $27.9 million in Euros, $10.9 million in CZK,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 million in JPY, $15.0 million in CNH, $26.2 million in USD, $11.7 million in CAD, $6.8 million in AUD and $3.1 million in other foreign currencies, with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terms currently through July 2023. We did not have such derivative contracts as of December 31, 2021.</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Cross-currency Par Forward Contracts</w:t>
      </w:r>
    </w:p>
    <w:p>
      <w:pPr>
        <w:spacing w:after="0" w:line="247"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We enter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 In November 2021, we entered into a one-year cross-currency par forward contract with a term from December 1, 2021 to December 1, 2022. The total notional amount of this outstanding derivative as of September 30, 2022 and December 31, 2021 was approximately 103.8 million MXN and</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413.1 million MXN, respectively. The derivative instrument matures in equal monthly amounts at a fixed forward rate of 21.60 MXN/USD. Preceding this contract we had a one-year cross-currency par forward contract with a term from November 3, 2020 to December 1, 2021 that matured in equal monthly amounts at a fixed forward rate of 24.26 MXN/USD.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Floating Interest Rate Risk</w:t>
      </w:r>
    </w:p>
    <w:p>
      <w:pPr>
        <w:spacing w:after="0" w:line="24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November 2021, in anticipation of entering into the new senior secured credit facilities in January 2022, which includes a variable-rate term loan A and a variable-rate term loan B (see Note 17: Long-Term Debt),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will pay a fixed rate of 1.32% and will receive the greater of 3-month USD SOFR or (0.15)%. Effective March 30, 2022, the term loan B swap, as amended, has an initial notional amount of $750.0 million, reducing to $46.9 million evenly on a quarterly basis excluding its final maturity on March 30, 2026. We will pay a fixed rate of 1.17% and will receive the greater of 3-month USD SOFR or 0.35%. These swaps effectively convert the relevant portion of the floating-rate term loans to fixed rates.</w:t>
      </w: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of our derivative instruments included within the Condensed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Hedging</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 Location</w:t>
            </w: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Foreign Exchange</w:t>
            </w:r>
          </w:p>
        </w:tc>
        <w:tc>
          <w:tcPr>
            <w:tcW w:w="16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Interest Rate Swaps</w:t>
            </w:r>
          </w:p>
        </w:tc>
        <w:tc>
          <w:tcPr>
            <w:tcW w:w="200" w:type="dxa"/>
            <w:vAlign w:val="bottom"/>
          </w:tcPr>
          <w:p>
            <w:pPr>
              <w:spacing w:after="0"/>
              <w:rPr>
                <w:sz w:val="12"/>
                <w:szCs w:val="12"/>
                <w:color w:val="auto"/>
              </w:rPr>
            </w:pPr>
          </w:p>
        </w:tc>
        <w:tc>
          <w:tcPr>
            <w:tcW w:w="158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Gross Derivatives</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September 30, 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24,924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36,619</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33,386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33,386</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1,480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1,480</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recognized the following gains on our derivative instruments designated as cash flow hedges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9"/>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Gain (Loss) Recognized in Other Comprehensive Income</w:t>
            </w:r>
          </w:p>
        </w:tc>
        <w:tc>
          <w:tcPr>
            <w:tcW w:w="880" w:type="dxa"/>
            <w:vAlign w:val="bottom"/>
            <w:tcBorders>
              <w:bottom w:val="single" w:sz="8" w:color="auto"/>
            </w:tcBorders>
          </w:tcPr>
          <w:p>
            <w:pPr>
              <w:spacing w:after="0"/>
              <w:rPr>
                <w:sz w:val="17"/>
                <w:szCs w:val="17"/>
                <w:color w:val="auto"/>
              </w:rPr>
            </w:pPr>
          </w:p>
        </w:tc>
      </w:tr>
      <w:tr>
        <w:trPr>
          <w:trHeight w:val="150"/>
        </w:trPr>
        <w:tc>
          <w:tcPr>
            <w:tcW w:w="5500" w:type="dxa"/>
            <w:vAlign w:val="bottom"/>
          </w:tcPr>
          <w:p>
            <w:pPr>
              <w:spacing w:after="0"/>
              <w:rPr>
                <w:sz w:val="13"/>
                <w:szCs w:val="13"/>
                <w:color w:val="auto"/>
              </w:rPr>
            </w:pPr>
          </w:p>
        </w:tc>
        <w:tc>
          <w:tcPr>
            <w:tcW w:w="2360" w:type="dxa"/>
            <w:vAlign w:val="bottom"/>
            <w:gridSpan w:val="4"/>
          </w:tcPr>
          <w:p>
            <w:pPr>
              <w:jc w:val="right"/>
              <w:ind w:right="223"/>
              <w:spacing w:after="0" w:line="15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723"/>
              <w:spacing w:after="0" w:line="151" w:lineRule="exact"/>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55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9"/>
        </w:trPr>
        <w:tc>
          <w:tcPr>
            <w:tcW w:w="55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3"/>
        </w:trPr>
        <w:tc>
          <w:tcPr>
            <w:tcW w:w="5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contracts</w:t>
            </w: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3,383</w:t>
            </w:r>
          </w:p>
        </w:tc>
        <w:tc>
          <w:tcPr>
            <w:tcW w:w="100" w:type="dxa"/>
            <w:vAlign w:val="bottom"/>
          </w:tcPr>
          <w:p>
            <w:pPr>
              <w:spacing w:after="0"/>
              <w:rPr>
                <w:sz w:val="17"/>
                <w:szCs w:val="17"/>
                <w:color w:val="auto"/>
              </w:rPr>
            </w:pP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11,720</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ind w:left="503"/>
              <w:spacing w:after="0"/>
              <w:rPr>
                <w:sz w:val="20"/>
                <w:szCs w:val="20"/>
                <w:color w:val="auto"/>
              </w:rPr>
            </w:pPr>
            <w:r>
              <w:rPr>
                <w:rFonts w:ascii="Times New Roman" w:cs="Times New Roman" w:eastAsia="Times New Roman" w:hAnsi="Times New Roman"/>
                <w:sz w:val="15"/>
                <w:szCs w:val="15"/>
                <w:color w:val="auto"/>
              </w:rPr>
              <w:t>(70)</w:t>
            </w:r>
          </w:p>
        </w:tc>
      </w:tr>
      <w:tr>
        <w:trPr>
          <w:trHeight w:val="206"/>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21,201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60,398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523"/>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84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24,584</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72,118</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center"/>
              <w:ind w:left="503"/>
              <w:spacing w:after="0"/>
              <w:rPr>
                <w:sz w:val="20"/>
                <w:szCs w:val="20"/>
                <w:color w:val="auto"/>
              </w:rPr>
            </w:pPr>
            <w:r>
              <w:rPr>
                <w:rFonts w:ascii="Times New Roman" w:cs="Times New Roman" w:eastAsia="Times New Roman" w:hAnsi="Times New Roman"/>
                <w:sz w:val="15"/>
                <w:szCs w:val="15"/>
                <w:color w:val="auto"/>
              </w:rPr>
              <w:t>(70)</w:t>
            </w: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effects of our derivative instruments designated as cash flow hedges on the Condensed 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(in thousands):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7200" w:type="dxa"/>
            <w:vAlign w:val="bottom"/>
            <w:tcBorders>
              <w:bottom w:val="single" w:sz="8" w:color="auto"/>
            </w:tcBorders>
            <w:gridSpan w:val="12"/>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Gain (Loss) Reclassified From Accumulated Other Comprehensive (Loss) Income into Income</w:t>
            </w:r>
          </w:p>
        </w:tc>
        <w:tc>
          <w:tcPr>
            <w:tcW w:w="0" w:type="dxa"/>
            <w:vAlign w:val="bottom"/>
          </w:tcPr>
          <w:p>
            <w:pPr>
              <w:spacing w:after="0"/>
              <w:rPr>
                <w:sz w:val="1"/>
                <w:szCs w:val="1"/>
                <w:color w:val="auto"/>
              </w:rPr>
            </w:pPr>
          </w:p>
        </w:tc>
      </w:tr>
      <w:tr>
        <w:trPr>
          <w:trHeight w:val="150"/>
        </w:trPr>
        <w:tc>
          <w:tcPr>
            <w:tcW w:w="35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jc w:val="center"/>
              <w:ind w:right="380"/>
              <w:spacing w:after="0" w:line="15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320" w:type="dxa"/>
            <w:vAlign w:val="bottom"/>
          </w:tcPr>
          <w:p>
            <w:pPr>
              <w:spacing w:after="0"/>
              <w:rPr>
                <w:sz w:val="13"/>
                <w:szCs w:val="13"/>
                <w:color w:val="auto"/>
              </w:rPr>
            </w:pPr>
          </w:p>
        </w:tc>
        <w:tc>
          <w:tcPr>
            <w:tcW w:w="1960" w:type="dxa"/>
            <w:vAlign w:val="bottom"/>
            <w:gridSpan w:val="3"/>
          </w:tcPr>
          <w:p>
            <w:pPr>
              <w:jc w:val="right"/>
              <w:ind w:right="163"/>
              <w:spacing w:after="0" w:line="151"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4"/>
        </w:trPr>
        <w:tc>
          <w:tcPr>
            <w:tcW w:w="35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320" w:type="dxa"/>
            <w:vAlign w:val="bottom"/>
          </w:tcPr>
          <w:p>
            <w:pPr>
              <w:spacing w:after="0"/>
              <w:rPr>
                <w:sz w:val="17"/>
                <w:szCs w:val="17"/>
                <w:color w:val="auto"/>
              </w:rPr>
            </w:pPr>
          </w:p>
        </w:tc>
        <w:tc>
          <w:tcPr>
            <w:tcW w:w="1960" w:type="dxa"/>
            <w:vAlign w:val="bottom"/>
            <w:gridSpan w:val="3"/>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24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5"/>
                <w:szCs w:val="15"/>
                <w:b w:val="1"/>
                <w:bCs w:val="1"/>
                <w:color w:val="auto"/>
              </w:rPr>
              <w:t>Location of Gain (Loss)</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5"/>
        </w:trPr>
        <w:tc>
          <w:tcPr>
            <w:tcW w:w="3520" w:type="dxa"/>
            <w:vAlign w:val="bottom"/>
          </w:tcPr>
          <w:p>
            <w:pPr>
              <w:spacing w:after="0"/>
              <w:rPr>
                <w:sz w:val="17"/>
                <w:szCs w:val="17"/>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Recognized in Income</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52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i w:val="1"/>
                <w:iCs w:val="1"/>
                <w:color w:val="auto"/>
              </w:rPr>
              <w:t>Derivatives designated as cash flow hedging</w:t>
            </w:r>
          </w:p>
        </w:tc>
        <w:tc>
          <w:tcPr>
            <w:tcW w:w="2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instruments:</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contracts</w:t>
            </w: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Total revenues</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2,666</w:t>
            </w:r>
          </w:p>
        </w:tc>
        <w:tc>
          <w:tcPr>
            <w:tcW w:w="100" w:type="dxa"/>
            <w:vAlign w:val="bottom"/>
          </w:tcPr>
          <w:p>
            <w:pPr>
              <w:spacing w:after="0"/>
              <w:rPr>
                <w:sz w:val="17"/>
                <w:szCs w:val="17"/>
                <w:color w:val="auto"/>
              </w:rPr>
            </w:pPr>
          </w:p>
        </w:tc>
        <w:tc>
          <w:tcPr>
            <w:tcW w:w="82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contracts</w:t>
            </w:r>
          </w:p>
        </w:tc>
        <w:tc>
          <w:tcPr>
            <w:tcW w:w="2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Cost of goods sold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contracts</w:t>
            </w:r>
          </w:p>
        </w:tc>
        <w:tc>
          <w:tcPr>
            <w:tcW w:w="246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5"/>
                <w:szCs w:val="15"/>
                <w:color w:val="auto"/>
              </w:rPr>
              <w:t>Interest expense</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2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Interest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52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color w:val="auto"/>
              </w:rPr>
              <w:t>Total derivatives designated as cash flow hedging</w:t>
            </w: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3,995</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80" w:type="dxa"/>
            <w:vAlign w:val="bottom"/>
          </w:tcPr>
          <w:p>
            <w:pPr>
              <w:spacing w:after="0"/>
              <w:rPr>
                <w:sz w:val="11"/>
                <w:szCs w:val="11"/>
                <w:color w:val="auto"/>
              </w:rPr>
            </w:pPr>
          </w:p>
        </w:tc>
        <w:tc>
          <w:tcPr>
            <w:tcW w:w="320" w:type="dxa"/>
            <w:vAlign w:val="bottom"/>
            <w:tcBorders>
              <w:top w:val="single" w:sz="8" w:color="auto"/>
            </w:tcBorders>
            <w:vMerge w:val="restart"/>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8,131</w:t>
            </w:r>
          </w:p>
        </w:tc>
        <w:tc>
          <w:tcPr>
            <w:tcW w:w="100" w:type="dxa"/>
            <w:vAlign w:val="bottom"/>
          </w:tcPr>
          <w:p>
            <w:pPr>
              <w:spacing w:after="0"/>
              <w:rPr>
                <w:sz w:val="11"/>
                <w:szCs w:val="11"/>
                <w:color w:val="auto"/>
              </w:rPr>
            </w:pPr>
          </w:p>
        </w:tc>
        <w:tc>
          <w:tcPr>
            <w:tcW w:w="820" w:type="dxa"/>
            <w:vAlign w:val="bottom"/>
            <w:tcBorders>
              <w:top w:val="single" w:sz="8" w:color="auto"/>
            </w:tcBorders>
            <w:vMerge w:val="restart"/>
          </w:tcPr>
          <w:p>
            <w:pPr>
              <w:jc w:val="right"/>
              <w:ind w:right="663"/>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5"/>
        </w:trPr>
        <w:tc>
          <w:tcPr>
            <w:tcW w:w="3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instruments</w:t>
            </w: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7" w:lineRule="exact"/>
        <w:rPr>
          <w:sz w:val="20"/>
          <w:szCs w:val="20"/>
          <w:color w:val="auto"/>
        </w:rPr>
      </w:pPr>
    </w:p>
    <w:p>
      <w:pPr>
        <w:ind w:left="220" w:hanging="217"/>
        <w:spacing w:after="0"/>
        <w:tabs>
          <w:tab w:leader="none" w:pos="22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location of gain reclassified from accumulated other comprehensive income into income as a result of a forecasted transaction being no longer probable of occurring.</w:t>
      </w:r>
    </w:p>
    <w:p>
      <w:pPr>
        <w:spacing w:after="0" w:line="2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2022, we expect an estimated $9.9 million in deferred gains on the outstanding foreign exchange contracts and an estimated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$25.6 million in deferred gains on the interest rate swaps will be reclassified from accumulated other comprehensive loss to net income during the next 12 months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concurrent with the underlying hedged transactions also being reported in net income.</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9:</w:t>
        <w:tab/>
        <w:t>Fair Value Measurements</w:t>
      </w:r>
    </w:p>
    <w:p>
      <w:pPr>
        <w:spacing w:after="0" w:line="221" w:lineRule="exact"/>
        <w:rPr>
          <w:sz w:val="20"/>
          <w:szCs w:val="20"/>
          <w:color w:val="auto"/>
        </w:rPr>
      </w:pPr>
    </w:p>
    <w:p>
      <w:pPr>
        <w:ind w:right="520" w:firstLine="172"/>
        <w:spacing w:after="0" w:line="287"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7"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7" w:lineRule="exact"/>
        <w:rPr>
          <w:rFonts w:ascii="Times New Roman" w:cs="Times New Roman" w:eastAsia="Times New Roman" w:hAnsi="Times New Roman"/>
          <w:sz w:val="17"/>
          <w:szCs w:val="17"/>
          <w:color w:val="auto"/>
        </w:rPr>
      </w:pPr>
    </w:p>
    <w:p>
      <w:pPr>
        <w:ind w:left="620" w:right="24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Liabilities</w:t>
      </w:r>
    </w:p>
    <w:p>
      <w:pPr>
        <w:spacing w:after="0" w:line="247" w:lineRule="exact"/>
        <w:rPr>
          <w:sz w:val="20"/>
          <w:szCs w:val="20"/>
          <w:color w:val="auto"/>
        </w:rPr>
      </w:pPr>
    </w:p>
    <w:p>
      <w:pPr>
        <w:ind w:right="100" w:firstLine="619"/>
        <w:spacing w:after="0" w:line="256" w:lineRule="auto"/>
        <w:rPr>
          <w:sz w:val="20"/>
          <w:szCs w:val="20"/>
          <w:color w:val="auto"/>
        </w:rPr>
      </w:pPr>
      <w:r>
        <w:rPr>
          <w:rFonts w:ascii="Times New Roman" w:cs="Times New Roman" w:eastAsia="Times New Roman" w:hAnsi="Times New Roman"/>
          <w:sz w:val="17"/>
          <w:szCs w:val="17"/>
          <w:color w:val="auto"/>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3: Acquisitions for additional information)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will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September 30, 2022, the estimated fair value of the contingent earn-out is $21.8 million.</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September 30, 2022, the estimated fair value of the total contingent earn-out is $1.8 million.</w:t>
      </w:r>
    </w:p>
    <w:p>
      <w:pPr>
        <w:spacing w:after="0" w:line="19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During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both September 30, 2022 and December 31, 2021, the estimated fair value of the contingent earn-out is $2.6 million. The estimated fair value of the contingent earn-out is calculated using a probability-weighted cash flow model based on historical revenue streams and the likelihood that the revenue targets will be met.</w:t>
      </w:r>
    </w:p>
    <w:p>
      <w:pPr>
        <w:spacing w:after="0" w:line="205" w:lineRule="exact"/>
        <w:rPr>
          <w:sz w:val="20"/>
          <w:szCs w:val="20"/>
          <w:color w:val="auto"/>
        </w:rPr>
      </w:pPr>
    </w:p>
    <w:p>
      <w:pPr>
        <w:ind w:right="40" w:firstLine="172"/>
        <w:spacing w:after="0" w:line="257" w:lineRule="auto"/>
        <w:rPr>
          <w:sz w:val="20"/>
          <w:szCs w:val="20"/>
          <w:color w:val="auto"/>
        </w:rPr>
      </w:pPr>
      <w:r>
        <w:rPr>
          <w:rFonts w:ascii="Times New Roman" w:cs="Times New Roman" w:eastAsia="Times New Roman" w:hAnsi="Times New Roman"/>
          <w:sz w:val="17"/>
          <w:szCs w:val="17"/>
          <w:color w:val="auto"/>
        </w:rPr>
        <w:t>During the fourth quarter of 2019, we recognized an earn-out liability related to the acquisition of Pursuit Vascular, Inc. ("Pursuit"). Pursuit's former equity holders were entitled to up to $50.0 million in additional cash consideration contingent upon the achievement of certain sales and gross profit targets for specific customers. The earn-out was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 simulation model utilized multiple input variables to determine the value of the earn-out liability including historical volatility, a risk-free interest rate, counter party credit risk and projected future gross profit (see the simulation input table below related to Pursuit). The historical volatility was based on the median of ICU and a certain peer group. The risk-free interest rate was equal to the yield, as of the valuation date, of the zero-coupon U.S. Treasury bill that was commensurate with the term of the earn-out. The counter party credit risk was based on a synthetic credit rating of B1. As of June 30, 2021, the earn-out measurement period ended. Based on the actual sales and gross profit achieved during the measurement period, we calculated the actual earn-out amount to be $26.3 million. The $26.3 million earn-out calculation was finalized and accepted by Pursuit's former equity holders and was paid out in the fourth quarter of 2021.</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contingent earn-out liabilities are separately stated on our condensed consolidated balance sheets.</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provide a reconciliation of the Level 3 earn-out liabilities measured at estimated fair value (in thousands):</w:t>
      </w:r>
    </w:p>
    <w:p>
      <w:pPr>
        <w:spacing w:after="0" w:line="50"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5"/>
          <w:szCs w:val="15"/>
          <w:b w:val="1"/>
          <w:bCs w:val="1"/>
          <w:color w:val="auto"/>
        </w:rPr>
        <w:t>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38670" cy="14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2022</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Acquisition date fair value estimate of earn-out</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Currency translation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139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(2)</w:t>
      </w:r>
    </w:p>
    <w:p>
      <w:pPr>
        <w:ind w:left="140"/>
        <w:spacing w:after="0"/>
        <w:rPr>
          <w:sz w:val="20"/>
          <w:szCs w:val="20"/>
          <w:color w:val="auto"/>
        </w:rPr>
      </w:pPr>
      <w:r>
        <w:rPr>
          <w:rFonts w:ascii="Times New Roman" w:cs="Times New Roman" w:eastAsia="Times New Roman" w:hAnsi="Times New Roman"/>
          <w:sz w:val="17"/>
          <w:szCs w:val="17"/>
          <w:color w:val="auto"/>
        </w:rPr>
        <w:t>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47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June 30, 2022</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Currency translation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September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310" w:hanging="1310"/>
        <w:spacing w:after="0"/>
        <w:tabs>
          <w:tab w:leader="none" w:pos="131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2,589</w:t>
      </w:r>
    </w:p>
    <w:p>
      <w:pPr>
        <w:spacing w:after="0" w:line="27" w:lineRule="exact"/>
        <w:rPr>
          <w:rFonts w:ascii="Times New Roman" w:cs="Times New Roman" w:eastAsia="Times New Roman" w:hAnsi="Times New Roman"/>
          <w:sz w:val="17"/>
          <w:szCs w:val="17"/>
          <w:color w:val="auto"/>
        </w:rPr>
      </w:pPr>
    </w:p>
    <w:p>
      <w:pPr>
        <w:ind w:left="12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55,158</w:t>
      </w:r>
    </w:p>
    <w:p>
      <w:pPr>
        <w:spacing w:after="0" w:line="23" w:lineRule="exact"/>
        <w:rPr>
          <w:rFonts w:ascii="Times New Roman" w:cs="Times New Roman" w:eastAsia="Times New Roman" w:hAnsi="Times New Roman"/>
          <w:sz w:val="17"/>
          <w:szCs w:val="17"/>
          <w:color w:val="auto"/>
        </w:rPr>
      </w:pPr>
    </w:p>
    <w:p>
      <w:pPr>
        <w:ind w:left="14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137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4" w:lineRule="exact"/>
        <w:rPr>
          <w:sz w:val="20"/>
          <w:szCs w:val="20"/>
          <w:color w:val="auto"/>
        </w:rPr>
      </w:pPr>
    </w:p>
    <w:p>
      <w:pPr>
        <w:ind w:left="1230" w:hanging="1230"/>
        <w:spacing w:after="0"/>
        <w:tabs>
          <w:tab w:leader="none" w:pos="123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57,701</w:t>
      </w:r>
    </w:p>
    <w:p>
      <w:pPr>
        <w:spacing w:after="0" w:line="27" w:lineRule="exact"/>
        <w:rPr>
          <w:rFonts w:ascii="Times New Roman" w:cs="Times New Roman" w:eastAsia="Times New Roman" w:hAnsi="Times New Roman"/>
          <w:sz w:val="17"/>
          <w:szCs w:val="17"/>
          <w:color w:val="auto"/>
        </w:rPr>
      </w:pPr>
    </w:p>
    <w:p>
      <w:pPr>
        <w:ind w:left="11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(27,194)</w:t>
      </w:r>
    </w:p>
    <w:p>
      <w:pPr>
        <w:spacing w:after="0" w:line="35" w:lineRule="exact"/>
        <w:rPr>
          <w:rFonts w:ascii="Times New Roman" w:cs="Times New Roman" w:eastAsia="Times New Roman" w:hAnsi="Times New Roman"/>
          <w:sz w:val="17"/>
          <w:szCs w:val="17"/>
          <w:color w:val="auto"/>
        </w:rPr>
      </w:pPr>
    </w:p>
    <w:p>
      <w:pPr>
        <w:ind w:left="14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(98)</w:t>
      </w:r>
    </w:p>
    <w:p>
      <w:pPr>
        <w:spacing w:after="0" w:line="44" w:lineRule="exact"/>
        <w:rPr>
          <w:sz w:val="20"/>
          <w:szCs w:val="20"/>
          <w:color w:val="auto"/>
        </w:rPr>
      </w:pPr>
    </w:p>
    <w:p>
      <w:pPr>
        <w:ind w:left="1230" w:hanging="1230"/>
        <w:spacing w:after="0"/>
        <w:tabs>
          <w:tab w:leader="none" w:pos="123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30,409</w:t>
      </w:r>
    </w:p>
    <w:p>
      <w:pPr>
        <w:spacing w:after="0" w:line="27" w:lineRule="exact"/>
        <w:rPr>
          <w:rFonts w:ascii="Times New Roman" w:cs="Times New Roman" w:eastAsia="Times New Roman" w:hAnsi="Times New Roman"/>
          <w:sz w:val="17"/>
          <w:szCs w:val="17"/>
          <w:color w:val="auto"/>
        </w:rPr>
      </w:pPr>
    </w:p>
    <w:p>
      <w:pPr>
        <w:ind w:left="12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(4,059)</w:t>
      </w:r>
    </w:p>
    <w:p>
      <w:pPr>
        <w:spacing w:after="0" w:line="23" w:lineRule="exact"/>
        <w:rPr>
          <w:rFonts w:ascii="Times New Roman" w:cs="Times New Roman" w:eastAsia="Times New Roman" w:hAnsi="Times New Roman"/>
          <w:sz w:val="17"/>
          <w:szCs w:val="17"/>
          <w:color w:val="auto"/>
        </w:rPr>
      </w:pPr>
    </w:p>
    <w:p>
      <w:pPr>
        <w:ind w:left="13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137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3" w:lineRule="exact"/>
        <w:rPr>
          <w:sz w:val="20"/>
          <w:szCs w:val="20"/>
          <w:color w:val="auto"/>
        </w:rPr>
      </w:pPr>
    </w:p>
    <w:p>
      <w:pPr>
        <w:ind w:left="1230" w:hanging="1230"/>
        <w:spacing w:after="0"/>
        <w:tabs>
          <w:tab w:leader="none" w:pos="123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37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1137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8750" w:space="720"/>
            <w:col w:w="1750"/>
          </w:cols>
          <w:pgMar w:left="320" w:top="119" w:right="359" w:bottom="1440" w:gutter="0" w:footer="0" w:header="0"/>
          <w:type w:val="continuous"/>
        </w:sectPr>
      </w:pPr>
    </w:p>
    <w:p>
      <w:pPr>
        <w:ind w:right="260" w:firstLine="3"/>
        <w:spacing w:after="0" w:line="241" w:lineRule="auto"/>
        <w:tabs>
          <w:tab w:leader="none" w:pos="158"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$53.5 million relates to our acquisition of Smiths Medical and $1.6 million relates to our acquisition of a small foreign infusions systems supplier in the fourth quarter of 2021 (see Note 3: Acquisitions).</w:t>
      </w:r>
    </w:p>
    <w:p>
      <w:pPr>
        <w:spacing w:after="0" w:line="44" w:lineRule="exact"/>
        <w:rPr>
          <w:rFonts w:ascii="Times New Roman" w:cs="Times New Roman" w:eastAsia="Times New Roman" w:hAnsi="Times New Roman"/>
          <w:sz w:val="19"/>
          <w:szCs w:val="19"/>
          <w:color w:val="auto"/>
          <w:vertAlign w:val="superscript"/>
        </w:rPr>
      </w:pPr>
    </w:p>
    <w:p>
      <w:pPr>
        <w:ind w:left="140" w:hanging="137"/>
        <w:spacing w:after="0"/>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Primarily relates to the change in fair value of the Smiths Medical earn-out.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26,300</w:t>
            </w:r>
          </w:p>
        </w:tc>
      </w:tr>
      <w:tr>
        <w:trPr>
          <w:trHeight w:val="219"/>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26,300</w:t>
            </w:r>
          </w:p>
        </w:tc>
      </w:tr>
      <w:tr>
        <w:trPr>
          <w:trHeight w:val="219"/>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Change in fair value of earn-out (included in income from operations as a separate line item)</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June 30, 2021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26,300</w:t>
            </w: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140"/>
        <w:spacing w:after="0"/>
        <w:rPr>
          <w:sz w:val="20"/>
          <w:szCs w:val="20"/>
          <w:color w:val="auto"/>
        </w:rPr>
      </w:pPr>
      <w:r>
        <w:rPr>
          <w:rFonts w:ascii="Times New Roman" w:cs="Times New Roman" w:eastAsia="Times New Roman" w:hAnsi="Times New Roman"/>
          <w:sz w:val="17"/>
          <w:szCs w:val="17"/>
          <w:color w:val="auto"/>
        </w:rPr>
        <w:t>Contingent earn-out — non-compete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Transfer of Pursuit earn-out liability into Level 2</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September 30, 2021</w:t>
      </w:r>
    </w:p>
    <w:p>
      <w:pPr>
        <w:spacing w:after="0" w:line="20" w:lineRule="exact"/>
        <w:rPr>
          <w:sz w:val="20"/>
          <w:szCs w:val="20"/>
          <w:color w:val="auto"/>
        </w:rPr>
      </w:pPr>
      <w:r>
        <w:rPr>
          <w:sz w:val="20"/>
          <w:szCs w:val="20"/>
          <w:color w:val="auto"/>
        </w:rPr>
        <w:br w:type="column"/>
      </w:r>
    </w:p>
    <w:p>
      <w:pPr>
        <w:ind w:left="1310"/>
        <w:spacing w:after="0"/>
        <w:rPr>
          <w:sz w:val="20"/>
          <w:szCs w:val="20"/>
          <w:color w:val="auto"/>
        </w:rPr>
      </w:pPr>
      <w:r>
        <w:rPr>
          <w:rFonts w:ascii="Times New Roman" w:cs="Times New Roman" w:eastAsia="Times New Roman" w:hAnsi="Times New Roman"/>
          <w:sz w:val="17"/>
          <w:szCs w:val="17"/>
          <w:color w:val="auto"/>
        </w:rPr>
        <w:t>3,100</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137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3" w:lineRule="exact"/>
        <w:rPr>
          <w:sz w:val="20"/>
          <w:szCs w:val="20"/>
          <w:color w:val="auto"/>
        </w:rPr>
      </w:pPr>
    </w:p>
    <w:p>
      <w:pPr>
        <w:ind w:left="1310" w:hanging="1310"/>
        <w:spacing w:after="0"/>
        <w:tabs>
          <w:tab w:leader="none" w:pos="131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379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11379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750" w:space="720"/>
            <w:col w:w="1770"/>
          </w:cols>
          <w:pgMar w:left="320" w:top="119" w:right="339" w:bottom="1440" w:gutter="0" w:footer="0" w:header="0"/>
          <w:type w:val="continuous"/>
        </w:sectPr>
      </w:pPr>
    </w:p>
    <w:p>
      <w:pPr>
        <w:spacing w:after="0" w:line="13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provide quantitative information about Level 3 inputs for fair value measurement of our earn-out liabilities related to Smiths Medical and Pursuit: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Smiths Medical Earn-out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Simulation Input</w:t>
            </w:r>
          </w:p>
        </w:tc>
        <w:tc>
          <w:tcPr>
            <w:tcW w:w="100" w:type="dxa"/>
            <w:vAlign w:val="bottom"/>
            <w:vMerge w:val="restart"/>
          </w:tcPr>
          <w:p>
            <w:pPr>
              <w:spacing w:after="0"/>
              <w:rPr>
                <w:sz w:val="15"/>
                <w:szCs w:val="15"/>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7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At Acquisition</w:t>
            </w:r>
          </w:p>
        </w:tc>
        <w:tc>
          <w:tcPr>
            <w:tcW w:w="0" w:type="dxa"/>
            <w:vAlign w:val="bottom"/>
          </w:tcPr>
          <w:p>
            <w:pPr>
              <w:spacing w:after="0"/>
              <w:rPr>
                <w:sz w:val="1"/>
                <w:szCs w:val="1"/>
                <w:color w:val="auto"/>
              </w:rPr>
            </w:pPr>
          </w:p>
        </w:tc>
      </w:tr>
      <w:tr>
        <w:trPr>
          <w:trHeight w:val="205"/>
        </w:trPr>
        <w:tc>
          <w:tcPr>
            <w:tcW w:w="7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January 6, 2022</w:t>
            </w:r>
          </w:p>
        </w:tc>
        <w:tc>
          <w:tcPr>
            <w:tcW w:w="0" w:type="dxa"/>
            <w:vAlign w:val="bottom"/>
          </w:tcPr>
          <w:p>
            <w:pPr>
              <w:spacing w:after="0"/>
              <w:rPr>
                <w:sz w:val="1"/>
                <w:szCs w:val="1"/>
                <w:color w:val="auto"/>
              </w:rPr>
            </w:pPr>
          </w:p>
        </w:tc>
      </w:tr>
      <w:tr>
        <w:trPr>
          <w:trHeight w:val="20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Volatility</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42.00 %</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37.00 %</w:t>
            </w:r>
          </w:p>
        </w:tc>
        <w:tc>
          <w:tcPr>
            <w:tcW w:w="0" w:type="dxa"/>
            <w:vAlign w:val="bottom"/>
          </w:tcPr>
          <w:p>
            <w:pPr>
              <w:spacing w:after="0"/>
              <w:rPr>
                <w:sz w:val="1"/>
                <w:szCs w:val="1"/>
                <w:color w:val="auto"/>
              </w:rPr>
            </w:pPr>
          </w:p>
        </w:tc>
      </w:tr>
      <w:tr>
        <w:trPr>
          <w:trHeight w:val="201"/>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Risk-Free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4.18 %</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1.31 %</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Pursuit Earn-out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Simulation Input</w:t>
            </w:r>
          </w:p>
        </w:tc>
        <w:tc>
          <w:tcPr>
            <w:tcW w:w="100" w:type="dxa"/>
            <w:vAlign w:val="bottom"/>
            <w:vMerge w:val="restart"/>
          </w:tcPr>
          <w:p>
            <w:pPr>
              <w:spacing w:after="0"/>
              <w:rPr>
                <w:sz w:val="15"/>
                <w:szCs w:val="15"/>
                <w:color w:val="auto"/>
              </w:rPr>
            </w:pPr>
          </w:p>
        </w:tc>
        <w:tc>
          <w:tcPr>
            <w:tcW w:w="2340" w:type="dxa"/>
            <w:vAlign w:val="bottom"/>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8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3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0" w:type="dxa"/>
            <w:vAlign w:val="bottom"/>
          </w:tcPr>
          <w:p>
            <w:pPr>
              <w:spacing w:after="0"/>
              <w:rPr>
                <w:sz w:val="1"/>
                <w:szCs w:val="1"/>
                <w:color w:val="auto"/>
              </w:rPr>
            </w:pPr>
          </w:p>
        </w:tc>
      </w:tr>
      <w:tr>
        <w:trPr>
          <w:trHeight w:val="20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Revenue/Gross Profit Volatility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25.00 %</w:t>
            </w:r>
          </w:p>
        </w:tc>
        <w:tc>
          <w:tcPr>
            <w:tcW w:w="0" w:type="dxa"/>
            <w:vAlign w:val="bottom"/>
          </w:tcPr>
          <w:p>
            <w:pPr>
              <w:spacing w:after="0"/>
              <w:rPr>
                <w:sz w:val="1"/>
                <w:szCs w:val="1"/>
                <w:color w:val="auto"/>
              </w:rPr>
            </w:pPr>
          </w:p>
        </w:tc>
      </w:tr>
      <w:tr>
        <w:trPr>
          <w:trHeight w:val="20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Discount Rate</w:t>
            </w:r>
          </w:p>
        </w:tc>
        <w:tc>
          <w:tcPr>
            <w:tcW w:w="2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12.50 %</w:t>
            </w:r>
          </w:p>
        </w:tc>
        <w:tc>
          <w:tcPr>
            <w:tcW w:w="0" w:type="dxa"/>
            <w:vAlign w:val="bottom"/>
          </w:tcPr>
          <w:p>
            <w:pPr>
              <w:spacing w:after="0"/>
              <w:rPr>
                <w:sz w:val="1"/>
                <w:szCs w:val="1"/>
                <w:color w:val="auto"/>
              </w:rPr>
            </w:pPr>
          </w:p>
        </w:tc>
      </w:tr>
      <w:tr>
        <w:trPr>
          <w:trHeight w:val="20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Risk-Free Rate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0.09 %</w:t>
            </w:r>
          </w:p>
        </w:tc>
        <w:tc>
          <w:tcPr>
            <w:tcW w:w="0" w:type="dxa"/>
            <w:vAlign w:val="bottom"/>
          </w:tcPr>
          <w:p>
            <w:pPr>
              <w:spacing w:after="0"/>
              <w:rPr>
                <w:sz w:val="1"/>
                <w:szCs w:val="1"/>
                <w:color w:val="auto"/>
              </w:rPr>
            </w:pPr>
          </w:p>
        </w:tc>
      </w:tr>
      <w:tr>
        <w:trPr>
          <w:trHeight w:val="201"/>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Counter Party Risk</w:t>
            </w:r>
          </w:p>
        </w:tc>
        <w:tc>
          <w:tcPr>
            <w:tcW w:w="2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3.10 %</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Foreign Exchange Contracts and Interest Rate Contracts</w:t>
      </w:r>
    </w:p>
    <w:p>
      <w:pPr>
        <w:spacing w:after="0" w:line="247" w:lineRule="exact"/>
        <w:rPr>
          <w:sz w:val="20"/>
          <w:szCs w:val="20"/>
          <w:color w:val="auto"/>
        </w:rPr>
      </w:pPr>
    </w:p>
    <w:p>
      <w:pPr>
        <w:ind w:right="60" w:firstLine="172"/>
        <w:spacing w:after="0" w:line="270" w:lineRule="auto"/>
        <w:rPr>
          <w:sz w:val="20"/>
          <w:szCs w:val="20"/>
          <w:color w:val="auto"/>
        </w:rPr>
      </w:pPr>
      <w:r>
        <w:rPr>
          <w:rFonts w:ascii="Times New Roman" w:cs="Times New Roman" w:eastAsia="Times New Roman" w:hAnsi="Times New Roman"/>
          <w:sz w:val="17"/>
          <w:szCs w:val="17"/>
          <w:color w:val="auto"/>
        </w:rPr>
        <w:t>Our investments consist of corporate bonds and U.S treasury securities. The fair value of our corporate bonds is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spacing w:after="0" w:line="191" w:lineRule="exact"/>
        <w:rPr>
          <w:sz w:val="20"/>
          <w:szCs w:val="20"/>
          <w:color w:val="auto"/>
        </w:rPr>
      </w:pPr>
    </w:p>
    <w:p>
      <w:pPr>
        <w:ind w:right="80" w:firstLine="169"/>
        <w:spacing w:after="0" w:line="270" w:lineRule="auto"/>
        <w:rPr>
          <w:sz w:val="20"/>
          <w:szCs w:val="20"/>
          <w:color w:val="auto"/>
        </w:rPr>
      </w:pPr>
      <w:r>
        <w:rPr>
          <w:rFonts w:ascii="Times New Roman" w:cs="Times New Roman" w:eastAsia="Times New Roman" w:hAnsi="Times New Roman"/>
          <w:sz w:val="17"/>
          <w:szCs w:val="17"/>
          <w:color w:val="auto"/>
        </w:rPr>
        <w:t>The fair value of our Level 2 foreign exchange contracts, including forward contracts and cross-currency par forward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91"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gridSpan w:val="1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Fair value measurements as of September 30, 2022</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360"/>
              <w:spacing w:after="0" w:line="161"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360"/>
              <w:spacing w:after="0" w:line="181"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Total carrying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340"/>
              <w:spacing w:after="0" w:line="167"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60"/>
              <w:spacing w:after="0" w:line="167"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340"/>
              <w:spacing w:after="0" w:line="167"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20"/>
                <w:szCs w:val="20"/>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Available-for-sale debt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U.S. treasury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corporate bonds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government bonds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25,942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 measurements as of December 31, 2021</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6"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200"/>
              <w:spacing w:after="0" w:line="175"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Total carrying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200"/>
              <w:spacing w:after="0" w:line="181"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tcPr>
          <w:p>
            <w:pPr>
              <w:jc w:val="center"/>
              <w:ind w:right="260"/>
              <w:spacing w:after="0" w:line="181"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00"/>
              <w:spacing w:after="0" w:line="167"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260"/>
              <w:spacing w:after="0" w:line="167"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Available-for-sale debt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corporate bonds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Cross-currency par forward contract: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Forward-starting interest rate swaps: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Investment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Available-for-sale Securities</w:t>
      </w:r>
    </w:p>
    <w:p>
      <w:pPr>
        <w:spacing w:after="0" w:line="247" w:lineRule="exact"/>
        <w:rPr>
          <w:sz w:val="20"/>
          <w:szCs w:val="20"/>
          <w:color w:val="auto"/>
        </w:rPr>
      </w:pPr>
    </w:p>
    <w:p>
      <w:pPr>
        <w:ind w:right="60" w:firstLine="172"/>
        <w:spacing w:after="0" w:line="258" w:lineRule="auto"/>
        <w:rPr>
          <w:sz w:val="20"/>
          <w:szCs w:val="20"/>
          <w:color w:val="auto"/>
        </w:rPr>
      </w:pPr>
      <w:r>
        <w:rPr>
          <w:rFonts w:ascii="Times New Roman" w:cs="Times New Roman" w:eastAsia="Times New Roman" w:hAnsi="Times New Roman"/>
          <w:sz w:val="17"/>
          <w:szCs w:val="17"/>
          <w:color w:val="auto"/>
        </w:rPr>
        <w:t>Our available-for-sale investment securities currently consist of short-term and long-term corporate bonds, short-term U.S. treasury securities and long-term government bonds and are considered “investment grade” and are carried at fair value. 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income (loss). We did not have any investments in available-for-sale debt securities in unrealized loss positions as of September 30, 2022 or December 31, 2021.</w:t>
      </w:r>
    </w:p>
    <w:p>
      <w:pPr>
        <w:spacing w:after="0" w:line="201"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The amortized cost of the debt securities are adjusted for the amortization of premiums computed under the effective interest method. Such amortization is included in other income, net in our condensed consolidated statements of operations. Realized gains and losses are accounted for on the specific identification method. There have been no realized gains or losses on the disposal of these investments. The scheduled maturities of the debt securities are between 2022 and 2024. All short-term investment securities are callable within one year.</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short-term and long-term investments in available-for-sale securities consist of the following (in thousands):</w:t>
      </w:r>
    </w:p>
    <w:p>
      <w:pPr>
        <w:spacing w:after="0" w:line="14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5"/>
          <w:szCs w:val="15"/>
          <w:b w:val="1"/>
          <w:bCs w:val="1"/>
          <w:color w:val="auto"/>
        </w:rPr>
        <w:t>As of September 30, 2022</w:t>
      </w:r>
    </w:p>
    <w:p>
      <w:pPr>
        <w:spacing w:after="0" w:line="31" w:lineRule="exact"/>
        <w:rPr>
          <w:sz w:val="20"/>
          <w:szCs w:val="20"/>
          <w:color w:val="auto"/>
        </w:rPr>
      </w:pPr>
    </w:p>
    <w:tbl>
      <w:tblPr>
        <w:tblLayout w:type="fixed"/>
        <w:tblInd w:w="5160" w:type="dxa"/>
        <w:tblCellMar>
          <w:top w:w="0" w:type="dxa"/>
          <w:left w:w="0" w:type="dxa"/>
          <w:bottom w:w="0" w:type="dxa"/>
          <w:right w:w="0" w:type="dxa"/>
        </w:tblCellMar>
      </w:tblPr>
      <w:tr>
        <w:trPr>
          <w:trHeight w:val="153"/>
        </w:trPr>
        <w:tc>
          <w:tcPr>
            <w:tcW w:w="194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280" w:type="dxa"/>
            <w:vAlign w:val="bottom"/>
            <w:tcBorders>
              <w:top w:val="single" w:sz="8" w:color="auto"/>
            </w:tcBorders>
          </w:tcPr>
          <w:p>
            <w:pPr>
              <w:jc w:val="center"/>
              <w:ind w:right="43"/>
              <w:spacing w:after="0" w:line="154" w:lineRule="exact"/>
              <w:rPr>
                <w:sz w:val="20"/>
                <w:szCs w:val="20"/>
                <w:color w:val="auto"/>
              </w:rPr>
            </w:pPr>
            <w:r>
              <w:rPr>
                <w:rFonts w:ascii="Times New Roman" w:cs="Times New Roman" w:eastAsia="Times New Roman" w:hAnsi="Times New Roman"/>
                <w:sz w:val="15"/>
                <w:szCs w:val="15"/>
                <w:b w:val="1"/>
                <w:bCs w:val="1"/>
                <w:color w:val="auto"/>
              </w:rPr>
              <w:t>Unrealized Holding</w:t>
            </w:r>
          </w:p>
        </w:tc>
        <w:tc>
          <w:tcPr>
            <w:tcW w:w="186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2280" w:type="dxa"/>
            <w:vAlign w:val="bottom"/>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Gains (Losses)</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47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corporate bonds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U.S. treasury securities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Long-term corporate bonds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Long-term government bonds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investment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80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r>
      <w:tr>
        <w:trPr>
          <w:trHeight w:val="219"/>
        </w:trPr>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r>
      <w:tr>
        <w:trPr>
          <w:trHeight w:val="219"/>
        </w:trPr>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r>
      <w:tr>
        <w:trPr>
          <w:trHeight w:val="223"/>
        </w:trPr>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r>
      <w:tr>
        <w:trPr>
          <w:trHeight w:val="212"/>
        </w:trPr>
        <w:tc>
          <w:tcPr>
            <w:tcW w:w="8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4,750</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-457835</wp:posOffset>
            </wp:positionV>
            <wp:extent cx="7138670" cy="139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-179705</wp:posOffset>
            </wp:positionV>
            <wp:extent cx="7138670" cy="163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b w:val="1"/>
          <w:bCs w:val="1"/>
          <w:color w:val="auto"/>
        </w:rPr>
        <w:t>As of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4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280" w:type="dxa"/>
            <w:vAlign w:val="bottom"/>
            <w:tcBorders>
              <w:top w:val="single" w:sz="8" w:color="auto"/>
            </w:tcBorders>
          </w:tcPr>
          <w:p>
            <w:pPr>
              <w:jc w:val="center"/>
              <w:ind w:right="3"/>
              <w:spacing w:after="0" w:line="154" w:lineRule="exact"/>
              <w:rPr>
                <w:sz w:val="20"/>
                <w:szCs w:val="20"/>
                <w:color w:val="auto"/>
              </w:rPr>
            </w:pPr>
            <w:r>
              <w:rPr>
                <w:rFonts w:ascii="Times New Roman" w:cs="Times New Roman" w:eastAsia="Times New Roman" w:hAnsi="Times New Roman"/>
                <w:sz w:val="15"/>
                <w:szCs w:val="15"/>
                <w:b w:val="1"/>
                <w:bCs w:val="1"/>
                <w:color w:val="auto"/>
              </w:rPr>
              <w:t>Unrealized Holding</w:t>
            </w:r>
          </w:p>
        </w:tc>
        <w:tc>
          <w:tcPr>
            <w:tcW w:w="186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2280" w:type="dxa"/>
            <w:vAlign w:val="bottom"/>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Gains (Losses)</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440" w:space="720"/>
            <w:col w:w="608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76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corporate bonds</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r>
      <w:tr>
        <w:trPr>
          <w:trHeight w:val="237"/>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investment securities</w:t>
            </w: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Non-Marketable Equity Securities</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During the third quarter of 2021, we acquired approximately a 20.0%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197" w:lineRule="exact"/>
        <w:rPr>
          <w:sz w:val="20"/>
          <w:szCs w:val="20"/>
          <w:color w:val="auto"/>
        </w:rPr>
      </w:pPr>
    </w:p>
    <w:p>
      <w:pPr>
        <w:ind w:right="420" w:firstLine="619"/>
        <w:spacing w:after="0" w:line="264" w:lineRule="auto"/>
        <w:rPr>
          <w:sz w:val="20"/>
          <w:szCs w:val="20"/>
          <w:color w:val="auto"/>
        </w:rPr>
      </w:pPr>
      <w:r>
        <w:rPr>
          <w:rFonts w:ascii="Times New Roman" w:cs="Times New Roman" w:eastAsia="Times New Roman" w:hAnsi="Times New Roman"/>
          <w:sz w:val="17"/>
          <w:szCs w:val="17"/>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extent of our beneficial interest. We record our share of the investee's income or (loss) on a one quarter lag.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11: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and nine months ended September 30, 2022. We did not receive any dividend distributions from this investment during the three and nine months ended September 30, 2022.</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non-marketable equity method investment consists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non-marketable debt securities</w:t>
      </w:r>
    </w:p>
    <w:p>
      <w:pPr>
        <w:spacing w:after="0" w:line="247"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During the second quarter 2022, we received $19.0 million in proceeds from a promissory note related to an acquired investment as part of the Smiths Medical acquisition.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Note 11:</w:t>
        <w:tab/>
        <w:t>Prepaid Expenses and Other Current Assets and Other Assets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 and receivables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14,763</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vendor expenses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12,746</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insurance and property taxes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VAT/GST receivable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charge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46,847</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Other assets consist of the following (in thousands):</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7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Pump lease receivables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25,941</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Spare parts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28,538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110,604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Inventories</w:t>
      </w:r>
    </w:p>
    <w:p>
      <w:pPr>
        <w:spacing w:after="0" w:line="221" w:lineRule="exact"/>
        <w:rPr>
          <w:sz w:val="20"/>
          <w:szCs w:val="20"/>
          <w:color w:val="auto"/>
        </w:rPr>
      </w:pPr>
    </w:p>
    <w:p>
      <w:pPr>
        <w:jc w:val="both"/>
        <w:ind w:right="80" w:firstLine="172"/>
        <w:spacing w:after="0" w:line="287"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135,528</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118,217</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625,268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290,235</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both"/>
        <w:ind w:right="40" w:firstLine="619"/>
        <w:spacing w:after="0" w:line="287" w:lineRule="auto"/>
        <w:rPr>
          <w:sz w:val="20"/>
          <w:szCs w:val="20"/>
          <w:color w:val="auto"/>
        </w:rPr>
      </w:pPr>
      <w:r>
        <w:rPr>
          <w:rFonts w:ascii="Times New Roman" w:cs="Times New Roman" w:eastAsia="Times New Roman" w:hAnsi="Times New Roman"/>
          <w:sz w:val="17"/>
          <w:szCs w:val="17"/>
          <w:color w:val="auto"/>
        </w:rPr>
        <w:t xml:space="preserve">During 2022, inventories increased significantly due to the acquisition of Smiths Medical. All acquired inventory was recorded at fair value on January 6, 2022 in accordance with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(see Note 3: Acquisitions).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13:</w:t>
        <w:tab/>
        <w:t>Property, Plant and Equipment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plant and equipment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409,349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321,078</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building and building improvements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272,426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243,377</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Molds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60,463</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102,979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Instruments placed with customers</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97,384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72,153</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property, plant and equipment, cost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1,154,481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905,104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(498,098)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(436,739)</w:t>
            </w:r>
          </w:p>
        </w:tc>
      </w:tr>
      <w:tr>
        <w:trPr>
          <w:trHeight w:val="212"/>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656,383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468,365</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52" w:lineRule="exact"/>
        <w:rPr>
          <w:sz w:val="20"/>
          <w:szCs w:val="20"/>
          <w:color w:val="auto"/>
        </w:rPr>
      </w:pPr>
    </w:p>
    <w:p>
      <w:pPr>
        <w:ind w:left="240" w:hanging="237"/>
        <w:spacing w:after="0"/>
        <w:tabs>
          <w:tab w:leader="none" w:pos="24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Instruments placed with customers consist of drug-delivery and monitoring systems placed with customers under operating leases.</w:t>
      </w:r>
    </w:p>
    <w:p>
      <w:pPr>
        <w:spacing w:after="0" w:line="208"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was $23.0 million and $69.4 million for the three and nine months ended September 30, 2022, respectively. Depreciation expense was $16.4 million and $49.1 million for the three and nine months ended September 30, 2021, respectively.</w:t>
      </w:r>
    </w:p>
    <w:p>
      <w:pPr>
        <w:spacing w:after="0" w:line="17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September 30, 2022, property, plant and equipment and related depreciation expense increased significantly due to the acquisition of Smiths Medical (see Note 3: Acquisitions).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14: Goodwill and Intangible Assets, Net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94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5"/>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2022</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43,439</w:t>
            </w:r>
          </w:p>
        </w:tc>
      </w:tr>
      <w:tr>
        <w:trPr>
          <w:trHeight w:val="219"/>
        </w:trPr>
        <w:tc>
          <w:tcPr>
            <w:tcW w:w="946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Goodwill acquired </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1,449,977</w:t>
            </w:r>
          </w:p>
        </w:tc>
      </w:tr>
      <w:tr>
        <w:trPr>
          <w:trHeight w:val="219"/>
        </w:trPr>
        <w:tc>
          <w:tcPr>
            <w:tcW w:w="9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(2)</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(7,128)</w:t>
            </w:r>
          </w:p>
        </w:tc>
      </w:tr>
      <w:tr>
        <w:trPr>
          <w:trHeight w:val="219"/>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(116,571)</w:t>
            </w: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2022</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1,369,717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4" w:lineRule="exact"/>
        <w:rPr>
          <w:sz w:val="20"/>
          <w:szCs w:val="20"/>
          <w:color w:val="auto"/>
        </w:rPr>
      </w:pPr>
    </w:p>
    <w:p>
      <w:pPr>
        <w:ind w:left="240" w:hanging="237"/>
        <w:spacing w:after="0"/>
        <w:tabs>
          <w:tab w:leader="none" w:pos="24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Relates to Smiths Medical acquired on January 6, 2022.</w:t>
      </w:r>
    </w:p>
    <w:p>
      <w:pPr>
        <w:spacing w:after="0" w:line="48" w:lineRule="exact"/>
        <w:rPr>
          <w:rFonts w:ascii="Times New Roman" w:cs="Times New Roman" w:eastAsia="Times New Roman" w:hAnsi="Times New Roman"/>
          <w:sz w:val="22"/>
          <w:szCs w:val="22"/>
          <w:color w:val="auto"/>
          <w:vertAlign w:val="superscript"/>
        </w:rPr>
      </w:pPr>
    </w:p>
    <w:p>
      <w:pPr>
        <w:ind w:left="280" w:hanging="277"/>
        <w:spacing w:after="0" w:line="191" w:lineRule="auto"/>
        <w:tabs>
          <w:tab w:leader="none" w:pos="28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reflects measurement period adjustments related to a 2021 acquisition of a small foreign infusion systems supplier.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18,135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11,166</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3,570</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560,691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475,610</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12,601</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576,687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483,197</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4,469</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1,209,357</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218,744</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990,613</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30,045</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1,239,402</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218,744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1,020,658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Internally developed software will be amortized when the projects are complete and the assets are ready for their intended use.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27,429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10,665</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4,216</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24,312</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13,529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152,893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103,487</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6,744</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275,835</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112,882</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162,953</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25,358</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301,193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112,882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188,311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Internally developed software will be amortized when the projects are complete and the assets are ready for their intended use.</w:t>
      </w:r>
    </w:p>
    <w:p>
      <w:pPr>
        <w:spacing w:after="0" w:line="226"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Intangible assets with definite lives are amortized on a straight-line basis over their estimated useful lives. During the three months ended September 30, 2022 and 2021, intangible asset amortization expense was $35.6 million and $5.8 million, respectively. During the nine months ended September 30, 2022 and 2021, intangible asset amortization expense was $108.9 million and $17.4 million, respectively.</w:t>
      </w:r>
    </w:p>
    <w:p>
      <w:pPr>
        <w:spacing w:after="0" w:line="191"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September 30, 2022, intangible assets and related amortization expense increased significantly due to the acquisition of Smiths Medical (see Note 3: Acquisitions).</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As of September 30, 2022 estimated annual amortization for our intangible assets for each of the next five years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6"/>
        </w:trPr>
        <w:tc>
          <w:tcPr>
            <w:tcW w:w="7560" w:type="dxa"/>
            <w:vAlign w:val="bottom"/>
          </w:tcPr>
          <w:p>
            <w:pPr>
              <w:ind w:left="398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460" w:type="dxa"/>
            <w:vAlign w:val="bottom"/>
            <w:gridSpan w:val="4"/>
          </w:tcPr>
          <w:p>
            <w:pPr>
              <w:ind w:left="23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132,368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131,729</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123,901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123,502</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115,491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329,998</w:t>
            </w:r>
          </w:p>
        </w:tc>
        <w:tc>
          <w:tcPr>
            <w:tcW w:w="0" w:type="dxa"/>
            <w:vAlign w:val="bottom"/>
          </w:tcPr>
          <w:p>
            <w:pPr>
              <w:spacing w:after="0"/>
              <w:rPr>
                <w:sz w:val="1"/>
                <w:szCs w:val="1"/>
                <w:color w:val="auto"/>
              </w:rPr>
            </w:pP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990,613</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15:   Accrued Liabilities and Other Long-Term Liabilities</w:t>
            </w: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Incentive compensation</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33,107</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liability-ST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9,009</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sales taxes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accrual</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other taxes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accrual</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fees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Warranties and returns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freight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audit fees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 benefit plan</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8,099</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118,195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105" w:lineRule="exact"/>
        <w:rPr>
          <w:sz w:val="20"/>
          <w:szCs w:val="20"/>
          <w:color w:val="auto"/>
        </w:rPr>
      </w:pPr>
    </w:p>
    <w:p>
      <w:pPr>
        <w:ind w:left="320" w:right="100" w:hanging="317"/>
        <w:spacing w:after="0" w:line="226" w:lineRule="auto"/>
        <w:tabs>
          <w:tab w:leader="none" w:pos="253"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Relates to field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long-term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liability-LT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62,902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33,971</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rent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Forward-starting interest rate swaps</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liability-LT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w:t>
            </w: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67" w:lineRule="exact"/>
        <w:rPr>
          <w:sz w:val="20"/>
          <w:szCs w:val="20"/>
          <w:color w:val="auto"/>
        </w:rPr>
      </w:pPr>
    </w:p>
    <w:p>
      <w:pPr>
        <w:ind w:left="320" w:right="120" w:hanging="317"/>
        <w:spacing w:after="0" w:line="234" w:lineRule="auto"/>
        <w:tabs>
          <w:tab w:leader="none" w:pos="22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Relates to field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spacing w:after="0" w:line="2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16:</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1"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Income taxes were accrued at an estimated effective tax rate of 38% and 37% for the three and nine months ended September 30, 2022, respectively, as compared to 18% and 17% for the three and nine months ended September 30, 2021, respectively.</w:t>
      </w:r>
    </w:p>
    <w:p>
      <w:pPr>
        <w:spacing w:after="0" w:line="177" w:lineRule="exact"/>
        <w:rPr>
          <w:sz w:val="20"/>
          <w:szCs w:val="20"/>
          <w:color w:val="auto"/>
        </w:rPr>
      </w:pPr>
    </w:p>
    <w:p>
      <w:pPr>
        <w:jc w:val="both"/>
        <w:ind w:right="120" w:firstLine="169"/>
        <w:spacing w:after="0" w:line="270"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2022 differs from the federal statutory rate of 21% principally because of the effect of the mix of U.S. and foreign incomes, state income taxes, section 162(m) excess compensation, foreign-derived intangible income ("FDII") and tax credits and the following discrete items recognized during the interim period:</w:t>
      </w:r>
    </w:p>
    <w:p>
      <w:pPr>
        <w:spacing w:after="0" w:line="191" w:lineRule="exact"/>
        <w:rPr>
          <w:sz w:val="20"/>
          <w:szCs w:val="20"/>
          <w:color w:val="auto"/>
        </w:rPr>
      </w:pPr>
    </w:p>
    <w:p>
      <w:pPr>
        <w:ind w:left="620" w:right="200" w:hanging="307"/>
        <w:spacing w:after="0" w:line="263"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Excess tax benefits recognized on stock option exercises and the vesting of restricted stock units during the three and nine months ended September 30, 2022 of $1.5 million and $4.1 million, respectively.</w:t>
      </w:r>
    </w:p>
    <w:p>
      <w:pPr>
        <w:ind w:left="620" w:right="800" w:hanging="307"/>
        <w:spacing w:after="0" w:line="266"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revaluation of the contingent consideration during the three and nine months ended September 30, 2022 of $4.1 million and $31.3 million, respectively, resulted in a tax expense of $0.0 million and $0.0 million, respectively.</w:t>
      </w:r>
    </w:p>
    <w:p>
      <w:pPr>
        <w:spacing w:after="0" w:line="194" w:lineRule="exact"/>
        <w:rPr>
          <w:sz w:val="20"/>
          <w:szCs w:val="20"/>
          <w:color w:val="auto"/>
        </w:rPr>
      </w:pPr>
    </w:p>
    <w:p>
      <w:pPr>
        <w:ind w:firstLine="169"/>
        <w:spacing w:after="0" w:line="260"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2021 differs from the federal statutory rate of 21% principally because of the effect of the mix of U.S. and foreign incomes, state income taxes, global intangible low taxed income ("GILTI"), FDII and tax credits. The effective tax rate during the three and nine months ended September 30, 2021 included a discrete tax benefit of $1.1 million and $3.3 million, respectively, related to excess tax benefits recognized on stock option exercises and the vesting of restricted stock units during the period. Additionally, U.S. federal return-to-provision adjustments for the year ended December 31, 2020 primarily due to changes in estimates for GILTI, FDII, subpart F income, and related foreign tax credits along with other prior period adjustments resulted in a tax provision of $1.1 million for the three and nine months ended September 30, 2021.</w:t>
      </w:r>
    </w:p>
    <w:p>
      <w:pPr>
        <w:spacing w:after="0" w:line="1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17:</w:t>
      </w:r>
      <w:r>
        <w:rPr>
          <w:sz w:val="20"/>
          <w:szCs w:val="20"/>
          <w:color w:val="auto"/>
        </w:rPr>
        <w:tab/>
      </w:r>
      <w:r>
        <w:rPr>
          <w:rFonts w:ascii="Times New Roman" w:cs="Times New Roman" w:eastAsia="Times New Roman" w:hAnsi="Times New Roman"/>
          <w:sz w:val="16"/>
          <w:szCs w:val="16"/>
          <w:b w:val="1"/>
          <w:bCs w:val="1"/>
          <w:color w:val="auto"/>
        </w:rPr>
        <w:t>Long-Term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191"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$8.7 million, which are capitalized and included in prepaid expenses and other current assets and other assets on our condensed consolidated balance sheets. These costs are being amortized to interest expense over the term of the Revolving Credit Facility using the straight-line method.</w:t>
      </w:r>
    </w:p>
    <w:p>
      <w:pPr>
        <w:spacing w:after="0" w:line="205" w:lineRule="exact"/>
        <w:rPr>
          <w:sz w:val="20"/>
          <w:szCs w:val="20"/>
          <w:color w:val="auto"/>
        </w:rPr>
      </w:pPr>
    </w:p>
    <w:p>
      <w:pPr>
        <w:ind w:right="620" w:firstLine="619"/>
        <w:spacing w:after="0" w:line="287" w:lineRule="auto"/>
        <w:rPr>
          <w:sz w:val="20"/>
          <w:szCs w:val="20"/>
          <w:color w:val="auto"/>
        </w:rPr>
      </w:pPr>
      <w:r>
        <w:rPr>
          <w:rFonts w:ascii="Times New Roman" w:cs="Times New Roman" w:eastAsia="Times New Roman" w:hAnsi="Times New Roman"/>
          <w:sz w:val="17"/>
          <w:szCs w:val="17"/>
          <w:color w:val="auto"/>
        </w:rPr>
        <w:t>The net funds received from the Term Loan A and the Term Loan B, after deducting debt issuance costs, were $834.2 million and $836.6 million, respectively.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Maturity Dates</w:t>
      </w:r>
    </w:p>
    <w:p>
      <w:pPr>
        <w:spacing w:after="0" w:line="24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Rate Terms</w:t>
      </w:r>
    </w:p>
    <w:p>
      <w:pPr>
        <w:spacing w:after="0" w:line="24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191"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Base Rate is defined as the highest of (a) the Prime Rate, (b) the Federal Funds Rate plus 0.50% and (c) Adjusted Term SOFR (as defined below) for a one-month period plus, in each case, 1.00%.</w:t>
      </w:r>
    </w:p>
    <w:p>
      <w:pPr>
        <w:spacing w:after="0" w:line="17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Facility Commitment Fee</w:t>
      </w:r>
    </w:p>
    <w:p>
      <w:pPr>
        <w:spacing w:after="0" w:line="247" w:lineRule="exact"/>
        <w:rPr>
          <w:sz w:val="20"/>
          <w:szCs w:val="20"/>
          <w:color w:val="auto"/>
        </w:rPr>
      </w:pPr>
    </w:p>
    <w:p>
      <w:pPr>
        <w:ind w:right="420" w:firstLine="619"/>
        <w:spacing w:after="0" w:line="270" w:lineRule="auto"/>
        <w:rPr>
          <w:sz w:val="20"/>
          <w:szCs w:val="20"/>
          <w:color w:val="auto"/>
        </w:rPr>
      </w:pPr>
      <w:r>
        <w:rPr>
          <w:rFonts w:ascii="Times New Roman" w:cs="Times New Roman" w:eastAsia="Times New Roman" w:hAnsi="Times New Roman"/>
          <w:sz w:val="17"/>
          <w:szCs w:val="17"/>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ending June 30, 2022, the commitment fee will be determined by reference to the leverage ratio in effect from time to time as set forth in the table below.</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Applicable Interest Margins</w:t>
      </w:r>
    </w:p>
    <w:p>
      <w:pPr>
        <w:spacing w:after="0" w:line="247"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The Term Loan A and borrowings under the Revolving Credit Facility have an initial applicable margin of 0.75% per annum for Base Rate Loans and 1.75% per annum for Term SOFR Loans.</w:t>
      </w:r>
    </w:p>
    <w:p>
      <w:pPr>
        <w:spacing w:after="0" w:line="17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ending June 30, 2022, the applicable margin for the Term Loan A and borrowings under the Revolving Credit Facility will be determined by reference to the leverage ratio in effect from time to time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Applicable Margin for Term</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Commitment Fee R</w:t>
            </w:r>
          </w:p>
        </w:tc>
        <w:tc>
          <w:tcPr>
            <w:tcW w:w="0" w:type="dxa"/>
            <w:vAlign w:val="bottom"/>
          </w:tcPr>
          <w:p>
            <w:pPr>
              <w:spacing w:after="0"/>
              <w:rPr>
                <w:sz w:val="1"/>
                <w:szCs w:val="1"/>
                <w:color w:val="auto"/>
              </w:rPr>
            </w:pPr>
          </w:p>
        </w:tc>
      </w:tr>
      <w:tr>
        <w:trPr>
          <w:trHeight w:val="232"/>
        </w:trPr>
        <w:tc>
          <w:tcPr>
            <w:tcW w:w="440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SOFR Loans</w:t>
            </w:r>
          </w:p>
        </w:tc>
        <w:tc>
          <w:tcPr>
            <w:tcW w:w="23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Loans</w:t>
            </w: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4.00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2.25%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4.00 to 1.0 but greater than 3.00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2.00%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1.00%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3.00 to 1.0 but greater than 2.50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1.75%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0.75%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2.50 to 1.0 but greater than 2.00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1.50%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2.00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ending June 30, 2022, the applicable margin for the Term Loan B will be determined by reference to the leverage ratio in effect from time to time as set forth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vMerge w:val="restart"/>
          </w:tcPr>
          <w:p>
            <w:pPr>
              <w:ind w:left="28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3620" w:type="dxa"/>
            <w:vAlign w:val="bottom"/>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rPr>
              <w:t>Applicable Margin for Term</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0" w:type="dxa"/>
            <w:vAlign w:val="bottom"/>
          </w:tcPr>
          <w:p>
            <w:pPr>
              <w:spacing w:after="0"/>
              <w:rPr>
                <w:sz w:val="1"/>
                <w:szCs w:val="1"/>
                <w:color w:val="auto"/>
              </w:rPr>
            </w:pPr>
          </w:p>
        </w:tc>
      </w:tr>
      <w:tr>
        <w:trPr>
          <w:trHeight w:val="232"/>
        </w:trPr>
        <w:tc>
          <w:tcPr>
            <w:tcW w:w="5400" w:type="dxa"/>
            <w:vAlign w:val="bottom"/>
            <w:tcBorders>
              <w:bottom w:val="single" w:sz="8" w:color="auto"/>
            </w:tcBorders>
            <w:vMerge w:val="continue"/>
          </w:tcPr>
          <w:p>
            <w:pPr>
              <w:spacing w:after="0"/>
              <w:rPr>
                <w:sz w:val="20"/>
                <w:szCs w:val="20"/>
                <w:color w:val="auto"/>
              </w:rPr>
            </w:pPr>
          </w:p>
        </w:tc>
        <w:tc>
          <w:tcPr>
            <w:tcW w:w="362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w w:val="99"/>
              </w:rPr>
              <w:t>SOFR Loans</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Times New Roman" w:cs="Times New Roman" w:eastAsia="Times New Roman" w:hAnsi="Times New Roman"/>
                <w:sz w:val="17"/>
                <w:szCs w:val="17"/>
                <w:color w:val="auto"/>
              </w:rPr>
              <w:t>2.50%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2.75 to 1.0</w:t>
            </w:r>
          </w:p>
        </w:tc>
        <w:tc>
          <w:tcPr>
            <w:tcW w:w="3620" w:type="dxa"/>
            <w:vAlign w:val="bottom"/>
          </w:tcPr>
          <w:p>
            <w:pPr>
              <w:jc w:val="center"/>
              <w:ind w:left="1294"/>
              <w:spacing w:after="0"/>
              <w:rPr>
                <w:sz w:val="20"/>
                <w:szCs w:val="20"/>
                <w:color w:val="auto"/>
              </w:rPr>
            </w:pPr>
            <w:r>
              <w:rPr>
                <w:rFonts w:ascii="Times New Roman" w:cs="Times New Roman" w:eastAsia="Times New Roman" w:hAnsi="Times New Roman"/>
                <w:sz w:val="17"/>
                <w:szCs w:val="17"/>
                <w:color w:val="auto"/>
              </w:rPr>
              <w:t>2.25%</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Principal Payments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jc w:val="both"/>
        <w:ind w:right="120" w:firstLine="619"/>
        <w:spacing w:after="0" w:line="270" w:lineRule="auto"/>
        <w:rPr>
          <w:sz w:val="20"/>
          <w:szCs w:val="20"/>
          <w:color w:val="auto"/>
        </w:rPr>
      </w:pPr>
      <w:r>
        <w:rPr>
          <w:rFonts w:ascii="Times New Roman" w:cs="Times New Roman" w:eastAsia="Times New Roman" w:hAnsi="Times New Roman"/>
          <w:sz w:val="17"/>
          <w:szCs w:val="17"/>
          <w:color w:val="auto"/>
        </w:rPr>
        <w:t>The Term Loan A will amortize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19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77" w:lineRule="exact"/>
        <w:rPr>
          <w:sz w:val="20"/>
          <w:szCs w:val="20"/>
          <w:color w:val="auto"/>
        </w:rPr>
      </w:pPr>
    </w:p>
    <w:p>
      <w:pPr>
        <w:ind w:right="920" w:firstLine="619"/>
        <w:spacing w:after="0" w:line="287" w:lineRule="auto"/>
        <w:rPr>
          <w:sz w:val="20"/>
          <w:szCs w:val="20"/>
          <w:color w:val="auto"/>
        </w:rPr>
      </w:pPr>
      <w:r>
        <w:rPr>
          <w:rFonts w:ascii="Times New Roman" w:cs="Times New Roman" w:eastAsia="Times New Roman" w:hAnsi="Times New Roman"/>
          <w:sz w:val="17"/>
          <w:szCs w:val="17"/>
          <w:color w:val="auto"/>
        </w:rPr>
        <w:t>We may borrow, prepay and re-borrow amounts under the Revolving Credit Facility, in accordance with the terms and conditions of the Credit Agreement, with all outstanding amounts due at maturity.</w:t>
      </w:r>
    </w:p>
    <w:p>
      <w:pPr>
        <w:spacing w:after="0" w:line="17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During March 2022, we prepaid $16.0 million in principal payments on the Term Loan A principal balance. For the nine months ended September 30, 2022, we paid total of $20.3 million in principal payments on both Term Loans.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Payments</w:t>
      </w:r>
    </w:p>
    <w:p>
      <w:pPr>
        <w:spacing w:after="0" w:line="247"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Interest payments on Base Rate Loans are payable quarterly in arrears on the last business day of each calendar quarter and the applicable maturity date. Interest periods on Term SOFR Loans will be determined, at our option, as either one, three or six months and will be payable on the last day of each interest period and the applicable maturity date. In the case of any interest periods of more than three months' duration, the interest payment will be payable on each day prior to the last day of such interest period that occurs at three-month intervals.</w:t>
      </w:r>
    </w:p>
    <w:p>
      <w:pPr>
        <w:spacing w:after="0" w:line="197" w:lineRule="exact"/>
        <w:rPr>
          <w:sz w:val="20"/>
          <w:szCs w:val="20"/>
          <w:color w:val="auto"/>
        </w:rPr>
      </w:pPr>
    </w:p>
    <w:p>
      <w:pPr>
        <w:ind w:right="480" w:firstLine="619"/>
        <w:spacing w:after="0" w:line="263" w:lineRule="auto"/>
        <w:rPr>
          <w:sz w:val="20"/>
          <w:szCs w:val="20"/>
          <w:color w:val="auto"/>
        </w:rPr>
      </w:pPr>
      <w:r>
        <w:rPr>
          <w:rFonts w:ascii="Times New Roman" w:cs="Times New Roman" w:eastAsia="Times New Roman" w:hAnsi="Times New Roman"/>
          <w:sz w:val="17"/>
          <w:szCs w:val="17"/>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Guarantors and Collateral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obligations under the Credit Agreement are unconditionally guaranteed, on a joint and several basis, by ICU Medical, Inc. and certain of our existing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Covenants</w:t>
      </w:r>
    </w:p>
    <w:p>
      <w:pPr>
        <w:spacing w:after="0" w:line="247"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197"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financial covenants include the Senior Secured Leverage Ratio and the Interest Coverage Ratio, both defined below, and pertain to the Term Loan A and the Revolving Credit Facility.</w:t>
      </w:r>
    </w:p>
    <w:p>
      <w:pPr>
        <w:spacing w:after="0" w:line="17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97"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 compliance with all financial covenants as of September 30, 2022.</w:t>
      </w:r>
    </w:p>
    <w:p>
      <w:pPr>
        <w:spacing w:after="0" w:line="243"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2017 Credit Facility</w:t>
      </w:r>
    </w:p>
    <w:p>
      <w:pPr>
        <w:spacing w:after="0" w:line="247" w:lineRule="exact"/>
        <w:rPr>
          <w:sz w:val="20"/>
          <w:szCs w:val="20"/>
          <w:color w:val="auto"/>
        </w:rPr>
      </w:pPr>
    </w:p>
    <w:p>
      <w:pPr>
        <w:ind w:right="40" w:firstLine="172"/>
        <w:spacing w:after="0" w:line="260" w:lineRule="auto"/>
        <w:rPr>
          <w:sz w:val="20"/>
          <w:szCs w:val="20"/>
          <w:color w:val="auto"/>
        </w:rPr>
      </w:pPr>
      <w:r>
        <w:rPr>
          <w:rFonts w:ascii="Times New Roman" w:cs="Times New Roman" w:eastAsia="Times New Roman" w:hAnsi="Times New Roman"/>
          <w:sz w:val="17"/>
          <w:szCs w:val="17"/>
          <w:color w:val="auto"/>
        </w:rPr>
        <w:t>On November 8, 2017, we entered into a five-year senior secured revolving credit facility with various lenders for $150.0 million, with Wells Fargo Bank, National Association as the administrative agent, swingline lender and issuing lender (the "Prior Credit Facility"). The Prior Credit Facility, which was set to mature on November 8, 2022, was terminated in connection with entering into the Credit Agreement on January 6, 2022. There were no borrowings outstanding under the Prior Credit Facility at that date or at December 31, 2021. The remaining unamortized deferred debt issuance costs related to the Prior Credit Facility were not material and were expensed in connection with its termination. See further details of the terms of the Prior Credit Facility in Note 11 in Part II, Item 8, of our 2021 Annual Report on Form 10-K.</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values of our long-term debt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5" w:name="page36"/>
    <w:bookmarkEnd w:id="35"/>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7440" w:type="dxa"/>
            <w:vAlign w:val="bottom"/>
          </w:tcPr>
          <w:p>
            <w:pPr>
              <w:spacing w:after="0"/>
              <w:rPr>
                <w:sz w:val="15"/>
                <w:szCs w:val="15"/>
                <w:color w:val="auto"/>
              </w:rPr>
            </w:pPr>
          </w:p>
        </w:tc>
        <w:tc>
          <w:tcPr>
            <w:tcW w:w="220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17"/>
                <w:szCs w:val="17"/>
                <w:color w:val="auto"/>
              </w:rPr>
            </w:pPr>
          </w:p>
        </w:tc>
        <w:tc>
          <w:tcPr>
            <w:tcW w:w="2200" w:type="dxa"/>
            <w:vAlign w:val="bottom"/>
            <w:gridSpan w:val="3"/>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Loan A — principal</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3.39 %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Loan B — principal</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Revolving Credit Facility — principal</w:t>
            </w:r>
          </w:p>
        </w:tc>
        <w:tc>
          <w:tcPr>
            <w:tcW w:w="220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(1)</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carrying value of long-term debt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55" w:lineRule="exact"/>
        <w:rPr>
          <w:sz w:val="20"/>
          <w:szCs w:val="20"/>
          <w:color w:val="auto"/>
        </w:rPr>
      </w:pPr>
    </w:p>
    <w:p>
      <w:pPr>
        <w:ind w:left="220" w:hanging="217"/>
        <w:spacing w:after="0"/>
        <w:tabs>
          <w:tab w:leader="none" w:pos="22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Comprised of $13.4 million and $12.2 million relating to the Term Loan A and the Term Loan B, respectively.</w:t>
      </w:r>
    </w:p>
    <w:p>
      <w:pPr>
        <w:spacing w:after="0" w:line="215"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2022, the aggregate amount of principal repayments of our long-term debt (including any current portion) for each of the next five years is approximately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total interest expense related to our long-term debt (in thousands):</w:t>
      </w: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38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198"/>
        </w:trPr>
        <w:tc>
          <w:tcPr>
            <w:tcW w:w="38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fee — Revolving Credit Facility</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12"/>
        </w:trPr>
        <w:tc>
          <w:tcPr>
            <w:tcW w:w="3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long-term debt-related interest expense</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21,320</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48,062</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Shareholders Agreement</w:t>
      </w:r>
    </w:p>
    <w:p>
      <w:pPr>
        <w:spacing w:after="0" w:line="247" w:lineRule="exact"/>
        <w:rPr>
          <w:sz w:val="20"/>
          <w:szCs w:val="20"/>
          <w:color w:val="auto"/>
        </w:rPr>
      </w:pPr>
    </w:p>
    <w:p>
      <w:pPr>
        <w:ind w:right="240" w:firstLine="619"/>
        <w:spacing w:after="0" w:line="261" w:lineRule="auto"/>
        <w:rPr>
          <w:sz w:val="20"/>
          <w:szCs w:val="20"/>
          <w:color w:val="auto"/>
        </w:rPr>
      </w:pPr>
      <w:r>
        <w:rPr>
          <w:rFonts w:ascii="Times New Roman" w:cs="Times New Roman" w:eastAsia="Times New Roman" w:hAnsi="Times New Roman"/>
          <w:sz w:val="17"/>
          <w:szCs w:val="17"/>
          <w:color w:val="auto"/>
        </w:rPr>
        <w:t>At the completion of the Smiths Medical acquisition on January 6, 2022, Smiths owns approximately 10.5% of the total outstanding shares of our common stock (see Note 3: Acquisitions). At closing, in connection with the issuance of the share consideration, we entered into a Shareholders Agreement (the “Shareholders Agreement”) with Smiths. The Shareholders Agreement imposes certain restrictions on Smiths including prohibiting certain transfers of the shares of our common stock issued (i) for 6 months following the closing of the acquisition and (ii) to certain of our competitors and certain other parties, as well as customary standstill limitations. The Shareholders Agreement also permits Smiths to designate one individual for</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election to our Board of Directors (the "Board") so long as Smiths beneficially owns at least 5.0% of the total outstanding shares of our common stock. On February 1, 2022, our Board appointed a new director designated by Smiths pursuant to the Shareholders Agreement who was elected to the Board at the 2022 Annual Meeting of Stockholders held in May 2022. This appointment expanded the size of our Board from eight to nine members. See our Current Report on Form 8-K filed on February 1, 2022 for additional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40" w:firstLine="172"/>
        <w:spacing w:after="0" w:line="264" w:lineRule="auto"/>
        <w:rPr>
          <w:sz w:val="20"/>
          <w:szCs w:val="20"/>
          <w:color w:val="auto"/>
        </w:rPr>
      </w:pPr>
      <w:r>
        <w:rPr>
          <w:rFonts w:ascii="Times New Roman" w:cs="Times New Roman" w:eastAsia="Times New Roman" w:hAnsi="Times New Roman"/>
          <w:sz w:val="17"/>
          <w:szCs w:val="17"/>
          <w:color w:val="auto"/>
        </w:rPr>
        <w:t>In August 2019, our Board approved a share purchase plan to purchase up to $100.0 million of our common stock. This plan has no expiration date. During the three months ended September 30, 2022, we did not purchase any shares of our common stock under our share purchase plan. As of September 30, 2022, all of the $100.0 million available for purchase was remaining under the plan. We are currently limited on share purchases in accordance with the terms and conditions of our Credit Agreement (see Note 17: Long-Term Debt).</w:t>
      </w:r>
    </w:p>
    <w:p>
      <w:pPr>
        <w:spacing w:after="0" w:line="197" w:lineRule="exact"/>
        <w:rPr>
          <w:sz w:val="20"/>
          <w:szCs w:val="20"/>
          <w:color w:val="auto"/>
        </w:rPr>
      </w:pPr>
    </w:p>
    <w:p>
      <w:pPr>
        <w:ind w:right="200" w:firstLine="172"/>
        <w:spacing w:after="0" w:line="261" w:lineRule="auto"/>
        <w:rPr>
          <w:sz w:val="20"/>
          <w:szCs w:val="20"/>
          <w:color w:val="auto"/>
        </w:rPr>
      </w:pPr>
      <w:r>
        <w:rPr>
          <w:rFonts w:ascii="Times New Roman" w:cs="Times New Roman" w:eastAsia="Times New Roman" w:hAnsi="Times New Roman"/>
          <w:sz w:val="17"/>
          <w:szCs w:val="17"/>
          <w:color w:val="auto"/>
        </w:rPr>
        <w:t>For the nine months ended September 30, 2022, we withheld 45,370 shares of our common stock from employee vested restricted stock units in consideration for $10.5 million in payments made on the employees' behalf for their minimum statutory income tax withholding obligations. For the nine months ended September 30, 2021, we withheld 39,371 shares of our common stock from employee vested restricted stock units in consideration for $8.1 million in payments made on the employees' behalf for their minimum statutory income tax withholding obligations. Treasury stock is used to issue shares for stock option exercises and restricted stock grants.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 Income ("AOCI")</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components of AOCI, net of tax, were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680" w:type="dxa"/>
            <w:vAlign w:val="bottom"/>
            <w:gridSpan w:val="3"/>
          </w:tcPr>
          <w:p>
            <w:pPr>
              <w:jc w:val="center"/>
              <w:ind w:right="120"/>
              <w:spacing w:after="0" w:line="167" w:lineRule="exact"/>
              <w:rPr>
                <w:sz w:val="20"/>
                <w:szCs w:val="20"/>
                <w:color w:val="auto"/>
              </w:rPr>
            </w:pPr>
            <w:r>
              <w:rPr>
                <w:rFonts w:ascii="Times New Roman" w:cs="Times New Roman" w:eastAsia="Times New Roman" w:hAnsi="Times New Roman"/>
                <w:sz w:val="17"/>
                <w:szCs w:val="17"/>
                <w:b w:val="1"/>
                <w:bCs w:val="1"/>
                <w:color w:val="auto"/>
              </w:rPr>
              <w:t>Gains on Cash Flow</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3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Hedges</w:t>
            </w:r>
          </w:p>
        </w:tc>
        <w:tc>
          <w:tcPr>
            <w:tcW w:w="168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23,572</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(99,805)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10,245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(89,546)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(99,805)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8,144</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(90,549)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18,784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(71,538)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(90,549)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16,915</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48,394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rPr>
              <w:t>(Losses) on Cash</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5"/>
                <w:szCs w:val="15"/>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Flow 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(8,391)</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1,302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1,649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(5,360)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(5,431)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4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Off-Balance Sheet Arrangements</w:t>
      </w:r>
    </w:p>
    <w:p>
      <w:pPr>
        <w:spacing w:after="0" w:line="221" w:lineRule="exact"/>
        <w:rPr>
          <w:sz w:val="20"/>
          <w:szCs w:val="20"/>
          <w:color w:val="auto"/>
        </w:rPr>
      </w:pPr>
    </w:p>
    <w:p>
      <w:pPr>
        <w:ind w:firstLine="172"/>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rPr>
          <w:sz w:val="20"/>
          <w:szCs w:val="20"/>
          <w:color w:val="auto"/>
        </w:rPr>
      </w:pPr>
      <w:r>
        <w:rPr>
          <w:rFonts w:ascii="Times New Roman" w:cs="Times New Roman" w:eastAsia="Times New Roman" w:hAnsi="Times New Roman"/>
          <w:sz w:val="17"/>
          <w:szCs w:val="17"/>
          <w:color w:val="auto"/>
        </w:rPr>
        <w:t>Although we can provide no assurances, we have never incurred, nor do we expect to incur, any material liability for indemnification.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24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On January 6, 2022, we acquired Smiths Medical. Total consideration for the acquisition includes a potential earn-out payment of $100.0 million in cash contingent on our common stock achieving a certain volume-weighted average price from the closing date to either the third or fourth anniversary of closing. As of September 30, 2022, the estimated fair value of the contingent earn-out is $21.8 million (see Note 9: Fair Value Measurements).</w:t>
      </w:r>
    </w:p>
    <w:p>
      <w:pPr>
        <w:spacing w:after="0" w:line="191"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 was recorded on the opening acquired balance sheet of Smiths Medical in the amount of $55.1 million. The initial estimate recorded was based on a probability-weighted estimate of the costs required to settle the obligation. The actual costs to be incurred are dependent upon the scope of the work necessary to achieve regulatory clearance and could differ from the original estimate. The estimated field service corrective action recorded at September 30, 2022 is $47.5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September 30, 2022, the estimated fair value of the contingent earn-out is $1.8 million (see Note 9: Fair Value Measurements).</w:t>
      </w:r>
    </w:p>
    <w:p>
      <w:pPr>
        <w:spacing w:after="0" w:line="19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During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September 30, 2022, the estimated fair value of the contingent earn-out is $2.6 million (see Note 9: Fair Value Measurements).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to pay certain lease payment amounts (see Note 6: Leases).</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20:</w:t>
        <w:tab/>
        <w:t>Collaborative and Other Arrangements</w:t>
      </w:r>
    </w:p>
    <w:p>
      <w:pPr>
        <w:spacing w:after="0" w:line="247" w:lineRule="exact"/>
        <w:rPr>
          <w:sz w:val="20"/>
          <w:szCs w:val="20"/>
          <w:color w:val="auto"/>
        </w:rPr>
      </w:pPr>
    </w:p>
    <w:p>
      <w:pPr>
        <w:ind w:firstLine="172"/>
        <w:spacing w:after="0" w:line="256" w:lineRule="auto"/>
        <w:rPr>
          <w:sz w:val="20"/>
          <w:szCs w:val="20"/>
          <w:color w:val="auto"/>
        </w:rPr>
      </w:pPr>
      <w:r>
        <w:rPr>
          <w:rFonts w:ascii="Times New Roman" w:cs="Times New Roman" w:eastAsia="Times New Roman" w:hAnsi="Times New Roman"/>
          <w:sz w:val="17"/>
          <w:szCs w:val="17"/>
          <w:color w:val="auto"/>
        </w:rPr>
        <w:t>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is subject to an annual update,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whereby Pfizer manufactures and supplies to us certain agreed upon products. The Product Addendum includes the supply of additional product to us subject to certain time and pricing terms and conditions. The Product Addendum includes a minimum purchase obligation of $29.6 million and expires on November 30, 2022. As of March 31, 2022, we had satisfied the minimum purchase obligations under the Product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Management’s Discussion and Analysis of Financial Condition and Results of Operations</w:t>
      </w:r>
    </w:p>
    <w:p>
      <w:pPr>
        <w:spacing w:after="0" w:line="221" w:lineRule="exact"/>
        <w:rPr>
          <w:sz w:val="20"/>
          <w:szCs w:val="20"/>
          <w:color w:val="auto"/>
        </w:rPr>
      </w:pPr>
    </w:p>
    <w:p>
      <w:pPr>
        <w:ind w:right="100" w:firstLine="169"/>
        <w:spacing w:after="0" w:line="287" w:lineRule="auto"/>
        <w:rPr>
          <w:sz w:val="20"/>
          <w:szCs w:val="20"/>
          <w:color w:val="auto"/>
        </w:rPr>
      </w:pPr>
      <w:r>
        <w:rPr>
          <w:rFonts w:ascii="Times New Roman" w:cs="Times New Roman" w:eastAsia="Times New Roman" w:hAnsi="Times New Roman"/>
          <w:sz w:val="17"/>
          <w:szCs w:val="17"/>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2021 included in our Annual Report on Form 10-K.</w:t>
      </w:r>
    </w:p>
    <w:p>
      <w:pPr>
        <w:spacing w:after="0" w:line="151" w:lineRule="exact"/>
        <w:rPr>
          <w:sz w:val="20"/>
          <w:szCs w:val="20"/>
          <w:color w:val="auto"/>
        </w:rPr>
      </w:pPr>
    </w:p>
    <w:p>
      <w:pPr>
        <w:ind w:right="540" w:firstLine="169"/>
        <w:spacing w:after="0" w:line="287" w:lineRule="auto"/>
        <w:rPr>
          <w:sz w:val="20"/>
          <w:szCs w:val="20"/>
          <w:color w:val="auto"/>
        </w:rPr>
      </w:pPr>
      <w:r>
        <w:rPr>
          <w:rFonts w:ascii="Times New Roman" w:cs="Times New Roman" w:eastAsia="Times New Roman" w:hAnsi="Times New Roman"/>
          <w:sz w:val="17"/>
          <w:szCs w:val="17"/>
          <w:color w:val="auto"/>
        </w:rPr>
        <w:t>When used in this report, the terms “we,” “us,” and “our” refer to ICU Medical, Inc. ("ICU") and its subsidiaries included in our condensed consolidated financial statements unless context requires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Developments</w:t>
      </w:r>
    </w:p>
    <w:p>
      <w:pPr>
        <w:spacing w:after="0" w:line="249"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On January 6, 2022, we completed the acquisition of Smiths Medical 2020 Limited ("Smiths Medical"), the holding company of Smiths Group plc's global medical device business. See "Acquisitions" below for additional detail regarding the transaction. Smiths Medical is engaged in the development, manufacture and sale of syringe and ambulatory infusion devices, vascular access, and vital care products used in hospital, emergency, home and alternative care settings. Our acquisition of Smiths Medical was strategic and increases our focus and scale in infusion therapy globally which we believe will enhance our competitive position as a leader within the industry.</w:t>
      </w:r>
    </w:p>
    <w:p>
      <w:pPr>
        <w:spacing w:after="0" w:line="200"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The combination of ICU and Smiths Medical brings together two highly complementary product portfolios to create a comprehensive range of offerings utilized in the infusion therapy care continuum. Our existing product portfolio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 The acquisition of Smiths Medical broadened our product portfolio to include syringe and ambulatory pumps, peripheral IV catheters, fluid warming and respiratory devices, silicone and PVC tracheotomy tubes, among other products.</w:t>
      </w:r>
    </w:p>
    <w:p>
      <w:pPr>
        <w:spacing w:after="0" w:line="199"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Following the Smiths Medical acquisition, we are initially presenting the following product lines in addition to our legacy product lines: Infusion Systems-Smiths Medical, Vascular Access-Smiths Medical and Vital Care-Smiths Medical. See "Products" in the remainder of this item for a list of our primary products included in each line.</w:t>
      </w:r>
    </w:p>
    <w:p>
      <w:pPr>
        <w:spacing w:after="0" w:line="191" w:lineRule="exact"/>
        <w:rPr>
          <w:sz w:val="20"/>
          <w:szCs w:val="20"/>
          <w:color w:val="auto"/>
        </w:rPr>
      </w:pPr>
    </w:p>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Our primary customers are acute care hospitals, wholesalers, ambulatory clinics and alternate site facilities, such as clinics, home health care providers and long-term care facilities. With the addition of Smiths Medical we sell our products in more than 90 countries throughout the world.</w:t>
      </w:r>
    </w:p>
    <w:p>
      <w:pPr>
        <w:spacing w:after="0" w:line="177"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following information is additional to and not a substitute for the Business section under Part I, Item 1 of our Annual Report on Form 10-K for the year ended December 31, 2021 and should be read in conjunction with that filing: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Manufacturing Changes</w:t>
      </w:r>
    </w:p>
    <w:p>
      <w:pPr>
        <w:spacing w:after="0" w:line="24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With the acquisition of the Smiths Medical business, we now operate additional manufacturing facilities including five facilities in the United States ("U.S."), two facilities in Mexico and two in the UK, and one facility in each of the Czech Republic, Italy and China.</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Service Centers</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With the acquisition of the Smiths Medical business, we now operate additional service and repair facilities in the U.S., Canada, two locations in Europe and four locations in Asia.</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Distribution Changes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Following the Smiths Medical acquisition, we operate two additional main distribution centers, one in the U.S. supporting the Americas and International and one in the Netherlands mainly supporting EMEA. We have eleven additional smaller distribution centers globally three of which are in the U.S., two in each of EMEA and China, and one in each of Canada, the U.K., Japan and India.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Competition Changes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Infusion Systems product line of Smiths Medical competes with many of the same competitors as those referenced in Part I, Item 1. "Business" of our 2021 Annual Report on Form 10-K as well as additional competitors such as Moog Medical and Fresenius.</w:t>
      </w:r>
    </w:p>
    <w:p>
      <w:pPr>
        <w:spacing w:after="0" w:line="164"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The Vascular Access product line of Smiths Medical competes with many of the same competitors as those referenced in Part I, Item 1. "Business" of our 2021 Annual Report on Form 10-K as well as additional competitors such Angio Dynamics, Greiner Bio-One, and Teleflex Incorporated. Our ability to remain competitive in this market will depend on our ability to focus on demonstrable patient outcomes by differentiating our products by improving device functionality and by providing successful customer training programs on the use and maintenance of our products.</w:t>
      </w:r>
    </w:p>
    <w:p>
      <w:pPr>
        <w:spacing w:after="0" w:line="198" w:lineRule="exact"/>
        <w:rPr>
          <w:sz w:val="20"/>
          <w:szCs w:val="20"/>
          <w:color w:val="auto"/>
        </w:rPr>
      </w:pPr>
    </w:p>
    <w:p>
      <w:pPr>
        <w:ind w:right="160" w:firstLine="619"/>
        <w:spacing w:after="0" w:line="243" w:lineRule="auto"/>
        <w:rPr>
          <w:sz w:val="20"/>
          <w:szCs w:val="20"/>
          <w:color w:val="auto"/>
        </w:rPr>
      </w:pPr>
      <w:r>
        <w:rPr>
          <w:rFonts w:ascii="Times New Roman" w:cs="Times New Roman" w:eastAsia="Times New Roman" w:hAnsi="Times New Roman"/>
          <w:sz w:val="17"/>
          <w:szCs w:val="17"/>
          <w:color w:val="auto"/>
        </w:rPr>
        <w:t>The Vital Care product line of Smiths Medical competes with numerous competitors due to its wide range of business. Those include multinational competitors such as Medtronic and Philips Healthcare as well as smaller more focused competitors such as Belmont and Intersurgical plc. Our ability to compete in this market will depend on our ability to continue to make technological advances to our products, thereby increasing customer efficiency and by providing product support that improves clinical decision-making that ultimately enhances patient safety.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247"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2022, our primary product offerings by product line are listed below. We have presented our financial results in accordance with these product 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Consumables</w:t>
      </w:r>
    </w:p>
    <w:p>
      <w:pPr>
        <w:spacing w:after="0" w:line="249"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73" w:lineRule="exact"/>
        <w:rPr>
          <w:sz w:val="20"/>
          <w:szCs w:val="20"/>
          <w:color w:val="auto"/>
        </w:rPr>
      </w:pPr>
    </w:p>
    <w:p>
      <w:pPr>
        <w:ind w:left="1240" w:right="260" w:hanging="309"/>
        <w:spacing w:after="0" w:line="272" w:lineRule="auto"/>
        <w:tabs>
          <w:tab w:leader="none" w:pos="1236"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Clave™ </w:t>
      </w:r>
      <w:r>
        <w:rPr>
          <w:rFonts w:ascii="Times New Roman" w:cs="Times New Roman" w:eastAsia="Times New Roman" w:hAnsi="Times New Roman"/>
          <w:sz w:val="17"/>
          <w:szCs w:val="17"/>
          <w:color w:val="auto"/>
        </w:rPr>
        <w:t>needlefree products, including the MicroClave, MicroClave Clear, and NanoClave™ brand of connectors, accessories, extension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administration sets used for the administration of IV fluids and medications and the Neutron catheter patency device, used to help maintain patency of central venous catheters;</w:t>
      </w:r>
    </w:p>
    <w:p>
      <w:pPr>
        <w:spacing w:after="0" w:line="186" w:lineRule="exact"/>
        <w:rPr>
          <w:rFonts w:ascii="Times New Roman" w:cs="Times New Roman" w:eastAsia="Times New Roman" w:hAnsi="Times New Roman"/>
          <w:sz w:val="17"/>
          <w:szCs w:val="17"/>
          <w:i w:val="1"/>
          <w:iCs w:val="1"/>
          <w:color w:val="auto"/>
        </w:rPr>
      </w:pPr>
    </w:p>
    <w:p>
      <w:pPr>
        <w:ind w:left="1240" w:right="40" w:hanging="309"/>
        <w:spacing w:after="0" w:line="292"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SwabCap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nd SwabTip </w:t>
      </w:r>
      <w:r>
        <w:rPr>
          <w:rFonts w:ascii="Times New Roman" w:cs="Times New Roman" w:eastAsia="Times New Roman" w:hAnsi="Times New Roman"/>
          <w:sz w:val="17"/>
          <w:szCs w:val="17"/>
          <w:color w:val="auto"/>
        </w:rPr>
        <w:t>disinfecting caps, used to protect and disinfect any needlefree connector, including competitive brands of connectors,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male luers;</w:t>
      </w:r>
    </w:p>
    <w:p>
      <w:pPr>
        <w:spacing w:after="0" w:line="16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ClearGuard HD </w:t>
      </w:r>
      <w:r>
        <w:rPr>
          <w:rFonts w:ascii="Times New Roman" w:cs="Times New Roman" w:eastAsia="Times New Roman" w:hAnsi="Times New Roman"/>
          <w:sz w:val="17"/>
          <w:szCs w:val="17"/>
          <w:color w:val="auto"/>
        </w:rPr>
        <w:t>antimicrobial barrier caps for hemodialysis catheters; and</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Tego</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hemodialysis connector used to cap and protect hemodialysis central venous catheter hubs.</w:t>
      </w:r>
    </w:p>
    <w:p>
      <w:pPr>
        <w:spacing w:after="0" w:line="189" w:lineRule="exact"/>
        <w:rPr>
          <w:sz w:val="20"/>
          <w:szCs w:val="20"/>
          <w:color w:val="auto"/>
        </w:rPr>
      </w:pPr>
    </w:p>
    <w:p>
      <w:pPr>
        <w:ind w:right="180" w:firstLine="172"/>
        <w:spacing w:after="0" w:line="287" w:lineRule="auto"/>
        <w:rPr>
          <w:sz w:val="20"/>
          <w:szCs w:val="20"/>
          <w:color w:val="auto"/>
        </w:rPr>
      </w:pPr>
      <w:r>
        <w:rPr>
          <w:rFonts w:ascii="Times New Roman" w:cs="Times New Roman" w:eastAsia="Times New Roman" w:hAnsi="Times New Roman"/>
          <w:sz w:val="17"/>
          <w:szCs w:val="17"/>
          <w:color w:val="auto"/>
        </w:rPr>
        <w:t>Closed System Transfer Devices ("CSTD") and hazardous drug compounding systems are used to prepare and deliver hazardous IV medications such as those used in chemotherapy, which, if released, can have harmful effects on the healthcare worker and environment. Our products are:</w:t>
      </w:r>
    </w:p>
    <w:p>
      <w:pPr>
        <w:spacing w:after="0" w:line="173" w:lineRule="exact"/>
        <w:rPr>
          <w:sz w:val="20"/>
          <w:szCs w:val="20"/>
          <w:color w:val="auto"/>
        </w:rPr>
      </w:pPr>
    </w:p>
    <w:p>
      <w:pPr>
        <w:ind w:left="1240" w:right="140" w:hanging="309"/>
        <w:spacing w:after="0" w:line="238"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ChemoLock</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CSTD, which utilizes a proprietary needlefree connection method, is used for the preparation and administration of hazardous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drugs. ChemoLock is used to limit the escape of hazardous drug or vapor concentrations, block the transfer of environmental contaminants into the system, and eliminates the risk of needlestick injury;</w:t>
      </w:r>
    </w:p>
    <w:p>
      <w:pPr>
        <w:spacing w:after="0" w:line="212" w:lineRule="exact"/>
        <w:rPr>
          <w:rFonts w:ascii="Times New Roman" w:cs="Times New Roman" w:eastAsia="Times New Roman" w:hAnsi="Times New Roman"/>
          <w:sz w:val="17"/>
          <w:szCs w:val="17"/>
          <w:color w:val="auto"/>
        </w:rPr>
      </w:pPr>
    </w:p>
    <w:p>
      <w:pPr>
        <w:ind w:left="1240" w:right="140" w:hanging="309"/>
        <w:spacing w:after="0" w:line="242"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ChemoClave</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color w:val="auto"/>
        </w:rPr>
        <w:t>, an ISO Connection standard and universally compatible CSTD used for the preparation and administration of hazardous drugs.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40" w:right="40" w:hanging="309"/>
        <w:spacing w:after="0" w:line="243"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Diana</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hazardous drug compounding system, an automated sterile compounding system that incorporates ChemoClave and ChemoLock CSTD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14"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right="20" w:firstLine="169"/>
        <w:spacing w:after="0" w:line="287" w:lineRule="auto"/>
        <w:rPr>
          <w:sz w:val="20"/>
          <w:szCs w:val="20"/>
          <w:color w:val="auto"/>
        </w:rPr>
      </w:pPr>
      <w:r>
        <w:rPr>
          <w:rFonts w:ascii="Times New Roman" w:cs="Times New Roman" w:eastAsia="Times New Roman" w:hAnsi="Times New Roman"/>
          <w:sz w:val="17"/>
          <w:szCs w:val="17"/>
          <w:color w:val="auto"/>
        </w:rPr>
        <w:t>We offer a wide range of infusion pumps, dedicated IV sets, software and professional services. Our primary Infusion System products are dedicated IV sets and the following: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Infusion Pump Hardware:</w:t>
      </w:r>
    </w:p>
    <w:p>
      <w:pPr>
        <w:spacing w:after="0" w:line="243" w:lineRule="exact"/>
        <w:rPr>
          <w:sz w:val="20"/>
          <w:szCs w:val="20"/>
          <w:color w:val="auto"/>
        </w:rPr>
      </w:pPr>
    </w:p>
    <w:p>
      <w:pPr>
        <w:ind w:left="1240" w:right="20" w:hanging="309"/>
        <w:spacing w:after="0" w:line="266" w:lineRule="auto"/>
        <w:tabs>
          <w:tab w:leader="none" w:pos="12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Plum 360™</w:t>
      </w:r>
      <w:r>
        <w:rPr>
          <w:rFonts w:ascii="Times New Roman" w:cs="Times New Roman" w:eastAsia="Times New Roman" w:hAnsi="Times New Roman"/>
          <w:sz w:val="17"/>
          <w:szCs w:val="17"/>
          <w:color w:val="auto"/>
        </w:rPr>
        <w:t>: The Plum 360™ infusion pump is an ICU Medical MedNet™ ready large volume infusion pump with an extensive drug library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wireless capability. Plum 360 was named the 2018, 2019 and 2020 Best in KLAS winner as top-performing IV smart pump and was the first medical device to be awarded UL Cybersecurity Assurance Program Certification. Also, in 2021 and 2022, the Plum 360 won the award as the top-performing Smart Pump EMR-Integrated; and</w:t>
      </w:r>
    </w:p>
    <w:p>
      <w:pPr>
        <w:spacing w:after="0" w:line="190" w:lineRule="exact"/>
        <w:rPr>
          <w:rFonts w:ascii="Times New Roman" w:cs="Times New Roman" w:eastAsia="Times New Roman" w:hAnsi="Times New Roman"/>
          <w:sz w:val="17"/>
          <w:szCs w:val="17"/>
          <w:color w:val="auto"/>
        </w:rPr>
      </w:pPr>
    </w:p>
    <w:p>
      <w:pPr>
        <w:ind w:left="1240" w:right="160" w:hanging="309"/>
        <w:spacing w:after="0" w:line="292" w:lineRule="auto"/>
        <w:tabs>
          <w:tab w:leader="none" w:pos="12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LifeCare PCA™</w:t>
      </w:r>
      <w:r>
        <w:rPr>
          <w:rFonts w:ascii="Times New Roman" w:cs="Times New Roman" w:eastAsia="Times New Roman" w:hAnsi="Times New Roman"/>
          <w:sz w:val="17"/>
          <w:szCs w:val="17"/>
          <w:color w:val="auto"/>
        </w:rPr>
        <w:t>: The LifeCare PCA infusion pump is an ICU Medical MedNet™ ready patient-controlled analgesia pump ("PCA"), providing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 IV Electronic Health Record ("IV-EHR") interoperability since 2016.</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IV Medication Safety Software:</w:t>
      </w:r>
    </w:p>
    <w:p>
      <w:pPr>
        <w:spacing w:after="0" w:line="243" w:lineRule="exact"/>
        <w:rPr>
          <w:sz w:val="20"/>
          <w:szCs w:val="20"/>
          <w:color w:val="auto"/>
        </w:rPr>
      </w:pPr>
    </w:p>
    <w:p>
      <w:pPr>
        <w:ind w:left="1240" w:right="20" w:hanging="309"/>
        <w:spacing w:after="0" w:line="266" w:lineRule="auto"/>
        <w:tabs>
          <w:tab w:leader="none" w:pos="12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ICU Medical MedNet</w:t>
      </w:r>
      <w:r>
        <w:rPr>
          <w:rFonts w:ascii="Times New Roman" w:cs="Times New Roman" w:eastAsia="Times New Roman" w:hAnsi="Times New Roman"/>
          <w:sz w:val="17"/>
          <w:szCs w:val="17"/>
          <w:color w:val="auto"/>
        </w:rPr>
        <w:t>™: ICU Medical MedNet is an enterprise-class medication management platform for any sized healthcare system that 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247" w:lineRule="exact"/>
        <w:rPr>
          <w:sz w:val="20"/>
          <w:szCs w:val="20"/>
          <w:color w:val="auto"/>
        </w:rPr>
      </w:pPr>
    </w:p>
    <w:p>
      <w:pPr>
        <w:ind w:left="1240" w:hanging="309"/>
        <w:spacing w:after="0" w:line="270"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IV Solutions</w:t>
      </w:r>
    </w:p>
    <w:p>
      <w:pPr>
        <w:spacing w:after="0" w:line="249" w:lineRule="exact"/>
        <w:rPr>
          <w:sz w:val="20"/>
          <w:szCs w:val="20"/>
          <w:color w:val="auto"/>
        </w:rPr>
      </w:pPr>
    </w:p>
    <w:p>
      <w:pPr>
        <w:ind w:right="160" w:firstLine="169"/>
        <w:spacing w:after="0" w:line="287" w:lineRule="auto"/>
        <w:rPr>
          <w:sz w:val="20"/>
          <w:szCs w:val="20"/>
          <w:color w:val="auto"/>
        </w:rPr>
      </w:pPr>
      <w:r>
        <w:rPr>
          <w:rFonts w:ascii="Times New Roman" w:cs="Times New Roman" w:eastAsia="Times New Roman" w:hAnsi="Times New Roman"/>
          <w:sz w:val="17"/>
          <w:szCs w:val="17"/>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IV Therapy and Diluents:</w:t>
      </w:r>
    </w:p>
    <w:p>
      <w:pPr>
        <w:spacing w:after="0" w:line="247" w:lineRule="exact"/>
        <w:rPr>
          <w:sz w:val="20"/>
          <w:szCs w:val="20"/>
          <w:color w:val="auto"/>
        </w:rPr>
      </w:pPr>
    </w:p>
    <w:p>
      <w:pPr>
        <w:ind w:left="1240" w:right="320" w:hanging="309"/>
        <w:spacing w:after="0" w:line="287" w:lineRule="auto"/>
        <w:tabs>
          <w:tab w:leader="none" w:pos="12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Sodium Chloride, Dextrose, Balanced Electrolyte Solutions, Lactated Ringer's, Ringer's, Mannitol, Sodium Chloride/Dextrose and Sterile Water.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Irrigation: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right="460" w:hanging="309"/>
        <w:spacing w:after="0" w:line="287" w:lineRule="auto"/>
        <w:tabs>
          <w:tab w:leader="none" w:pos="12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Care</w:t>
      </w:r>
    </w:p>
    <w:p>
      <w:pPr>
        <w:spacing w:after="0" w:line="249" w:lineRule="exact"/>
        <w:rPr>
          <w:sz w:val="20"/>
          <w:szCs w:val="20"/>
          <w:color w:val="auto"/>
        </w:rPr>
      </w:pPr>
    </w:p>
    <w:p>
      <w:pPr>
        <w:ind w:right="80" w:firstLine="172"/>
        <w:spacing w:after="0" w:line="270" w:lineRule="auto"/>
        <w:rPr>
          <w:sz w:val="20"/>
          <w:szCs w:val="20"/>
          <w:color w:val="auto"/>
        </w:rPr>
      </w:pPr>
      <w:r>
        <w:rPr>
          <w:rFonts w:ascii="Times New Roman" w:cs="Times New Roman" w:eastAsia="Times New Roman" w:hAnsi="Times New Roman"/>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91" w:lineRule="exact"/>
        <w:rPr>
          <w:sz w:val="20"/>
          <w:szCs w:val="20"/>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Cogent™ 2-in-1 hemodynamic monitoring system;</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CardioFlo™ hemodynamic monitoring system;</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TDQ™ and OptiQ™ cardiac output monitoring catheters;</w:t>
      </w:r>
    </w:p>
    <w:p>
      <w:pPr>
        <w:spacing w:after="0" w:line="10" w:lineRule="exact"/>
        <w:rPr>
          <w:rFonts w:ascii="Times New Roman" w:cs="Times New Roman" w:eastAsia="Times New Roman" w:hAnsi="Times New Roman"/>
          <w:sz w:val="17"/>
          <w:szCs w:val="17"/>
          <w:color w:val="auto"/>
        </w:rPr>
      </w:pPr>
    </w:p>
    <w:p>
      <w:pPr>
        <w:ind w:left="1240" w:hanging="309"/>
        <w:spacing w:after="0" w:line="196"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TriOx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venous oximetry catheters;</w:t>
      </w: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Transpac™ blood pressure transducers; and</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SafeSet™ closed blood sampling and conservation system.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Systems-Smiths Medical</w:t>
      </w:r>
    </w:p>
    <w:p>
      <w:pPr>
        <w:spacing w:after="0" w:line="249"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We offer a wide range of infusion pumps, disposables and safety software for use in both hospital and home settings. These products participate in adjacent categories to the legacy ICU Medical Infusion Systems product line. The primary Infusion Systems-Smith Medical products are: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Ambulatory Infusion Hardware:</w:t>
      </w:r>
    </w:p>
    <w:p>
      <w:pPr>
        <w:spacing w:after="0" w:line="242" w:lineRule="exact"/>
        <w:rPr>
          <w:sz w:val="20"/>
          <w:szCs w:val="20"/>
          <w:color w:val="auto"/>
        </w:rPr>
      </w:pPr>
    </w:p>
    <w:p>
      <w:pPr>
        <w:ind w:left="620" w:right="420" w:hanging="307"/>
        <w:spacing w:after="0" w:line="232"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CADD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ambulatory infusion pumps and disposables, including administration sets and medication cassette reservoirs, support a variety of IV pain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therapies across clinical care areas from hospital to outpatient treatment.</w:t>
      </w:r>
    </w:p>
    <w:p>
      <w:pPr>
        <w:spacing w:after="0" w:line="2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Syringe Infusion Hardware:</w:t>
      </w:r>
    </w:p>
    <w:p>
      <w:pPr>
        <w:spacing w:after="0" w:line="242" w:lineRule="exact"/>
        <w:rPr>
          <w:rFonts w:ascii="Times New Roman" w:cs="Times New Roman" w:eastAsia="Times New Roman" w:hAnsi="Times New Roman"/>
          <w:sz w:val="17"/>
          <w:szCs w:val="17"/>
          <w:color w:val="auto"/>
        </w:rPr>
      </w:pPr>
    </w:p>
    <w:p>
      <w:pPr>
        <w:ind w:left="620" w:right="240" w:hanging="307"/>
        <w:spacing w:after="0" w:line="232"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Medfusion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syringe infusion pumps are designed for the administration of fluids and medication requiring precisely controlled infusion rates from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variety of syringe sizes in acute care settings.</w:t>
      </w:r>
    </w:p>
    <w:p>
      <w:pPr>
        <w:spacing w:after="0" w:line="2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Infusion Software:</w:t>
      </w:r>
    </w:p>
    <w:p>
      <w:pPr>
        <w:spacing w:after="0" w:line="229" w:lineRule="exact"/>
        <w:rPr>
          <w:rFonts w:ascii="Times New Roman" w:cs="Times New Roman" w:eastAsia="Times New Roman" w:hAnsi="Times New Roman"/>
          <w:sz w:val="17"/>
          <w:szCs w:val="17"/>
          <w:color w:val="auto"/>
        </w:rPr>
      </w:pPr>
    </w:p>
    <w:p>
      <w:pPr>
        <w:ind w:left="620" w:hanging="307"/>
        <w:spacing w:after="0" w:line="225"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PharmGuard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Medication Safety Software for Medfusion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4000 syringe and CADD™ Solis pumps allows for customized drug libraries to support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standardization of protocols for medication administration throughout the facility.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Vascular Access-Smiths Medical</w:t>
      </w:r>
    </w:p>
    <w:p>
      <w:pPr>
        <w:spacing w:after="0" w:line="249"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Our Vascular Access-Smiths Medical products allow clinicians to safely access the patients' bloodstream to deliver fluids and medication or to obtain blood samples. Vascular Access products are often used in conjunction with Consumables and Infusion Systems devices. Our primary Vascular Access products are:</w:t>
      </w:r>
    </w:p>
    <w:p>
      <w:pPr>
        <w:spacing w:after="0" w:line="186" w:lineRule="exact"/>
        <w:rPr>
          <w:sz w:val="20"/>
          <w:szCs w:val="20"/>
          <w:color w:val="auto"/>
        </w:rPr>
      </w:pPr>
    </w:p>
    <w:p>
      <w:pPr>
        <w:ind w:left="1240" w:right="120" w:hanging="309"/>
        <w:spacing w:after="0" w:line="238" w:lineRule="auto"/>
        <w:tabs>
          <w:tab w:leader="none" w:pos="1236" w:val="left"/>
        </w:tabs>
        <w:numPr>
          <w:ilvl w:val="0"/>
          <w:numId w:val="3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Jelco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safety and conventional peripheral IV catheters, sharps safety devices for hypodermic injection, and venipuncture blood collection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peripheral IV catheters designed to help prevent needlestick injury and to reduce the risks associated with blood exposure and contamination while reducing patients' risk of infection;</w:t>
      </w:r>
    </w:p>
    <w:p>
      <w:pPr>
        <w:spacing w:after="0" w:line="212" w:lineRule="exact"/>
        <w:rPr>
          <w:rFonts w:ascii="Times New Roman" w:cs="Times New Roman" w:eastAsia="Times New Roman" w:hAnsi="Times New Roman"/>
          <w:sz w:val="17"/>
          <w:szCs w:val="17"/>
          <w:i w:val="1"/>
          <w:iCs w:val="1"/>
          <w:color w:val="auto"/>
        </w:rPr>
      </w:pPr>
    </w:p>
    <w:p>
      <w:pPr>
        <w:ind w:left="1240" w:hanging="309"/>
        <w:spacing w:after="0"/>
        <w:tabs>
          <w:tab w:leader="none" w:pos="1240" w:val="left"/>
        </w:tabs>
        <w:numPr>
          <w:ilvl w:val="0"/>
          <w:numId w:val="3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DELTEC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implantable ports and</w:t>
      </w:r>
      <w:r>
        <w:rPr>
          <w:rFonts w:ascii="Times New Roman" w:cs="Times New Roman" w:eastAsia="Times New Roman" w:hAnsi="Times New Roman"/>
          <w:sz w:val="17"/>
          <w:szCs w:val="17"/>
          <w:i w:val="1"/>
          <w:iCs w:val="1"/>
          <w:color w:val="auto"/>
        </w:rPr>
        <w:t xml:space="preserve"> GRIPPER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non-coring needles for portal access;</w:t>
      </w:r>
    </w:p>
    <w:p>
      <w:pPr>
        <w:spacing w:after="0" w:line="185" w:lineRule="exact"/>
        <w:rPr>
          <w:rFonts w:ascii="Times New Roman" w:cs="Times New Roman" w:eastAsia="Times New Roman" w:hAnsi="Times New Roman"/>
          <w:sz w:val="17"/>
          <w:szCs w:val="17"/>
          <w:i w:val="1"/>
          <w:iCs w:val="1"/>
          <w:color w:val="auto"/>
        </w:rPr>
      </w:pPr>
    </w:p>
    <w:p>
      <w:pPr>
        <w:ind w:left="1240" w:hanging="30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Portex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arterial blood sampling syringes, anesthesia trays and kits for pain management;</w:t>
      </w:r>
    </w:p>
    <w:p>
      <w:pPr>
        <w:spacing w:after="0" w:line="22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Powerwand</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midline catheters; and</w:t>
      </w:r>
    </w:p>
    <w:p>
      <w:pPr>
        <w:spacing w:after="0" w:line="224" w:lineRule="exact"/>
        <w:rPr>
          <w:rFonts w:ascii="Arial" w:cs="Arial" w:eastAsia="Arial" w:hAnsi="Arial"/>
          <w:sz w:val="21"/>
          <w:szCs w:val="21"/>
          <w:color w:val="auto"/>
        </w:rPr>
      </w:pPr>
    </w:p>
    <w:p>
      <w:pPr>
        <w:ind w:left="1240" w:hanging="309"/>
        <w:spacing w:after="0"/>
        <w:tabs>
          <w:tab w:leader="none" w:pos="12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MEDEX</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LogiCal</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Pressure Monitoring System and components.</w:t>
      </w: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Care-Smiths Medical</w:t>
      </w:r>
    </w:p>
    <w:p>
      <w:pPr>
        <w:spacing w:after="0" w:line="249"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We offer a range of devices and systems to maintain patients' airways and maintain body temperature before, during and after surgery. Our primary Vital Care products are:</w:t>
      </w:r>
    </w:p>
    <w:p>
      <w:pPr>
        <w:spacing w:after="0" w:line="172" w:lineRule="exact"/>
        <w:rPr>
          <w:sz w:val="20"/>
          <w:szCs w:val="20"/>
          <w:color w:val="auto"/>
        </w:rPr>
      </w:pPr>
    </w:p>
    <w:p>
      <w:pPr>
        <w:ind w:left="1240" w:right="500" w:hanging="309"/>
        <w:spacing w:after="0" w:line="232"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temperature management systems used in perioperative and critical care settings to help monitor and regulate patient temperature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rapid infusion, routine blood and fluid warming, irrigation warming and convective warming.</w:t>
      </w:r>
    </w:p>
    <w:p>
      <w:pPr>
        <w:spacing w:after="0" w:line="211" w:lineRule="exact"/>
        <w:rPr>
          <w:rFonts w:ascii="Times New Roman" w:cs="Times New Roman" w:eastAsia="Times New Roman" w:hAnsi="Times New Roman"/>
          <w:sz w:val="17"/>
          <w:szCs w:val="17"/>
          <w:color w:val="auto"/>
        </w:rPr>
      </w:pPr>
    </w:p>
    <w:p>
      <w:pPr>
        <w:ind w:left="1240" w:right="60" w:hanging="309"/>
        <w:spacing w:after="0" w:line="232" w:lineRule="auto"/>
        <w:tabs>
          <w:tab w:leader="none" w:pos="1236"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Portex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acapella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bronchial hygiene products used to mobilize pulmonary secretions to facilitate the opening of airways in patients with chronic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respiratory diseases such as chronic obstructive pulmonary disease, or COPD, asthma and cystic fibrosis.</w:t>
      </w:r>
    </w:p>
    <w:p>
      <w:pPr>
        <w:spacing w:after="0" w:line="211" w:lineRule="exact"/>
        <w:rPr>
          <w:rFonts w:ascii="Times New Roman" w:cs="Times New Roman" w:eastAsia="Times New Roman" w:hAnsi="Times New Roman"/>
          <w:sz w:val="17"/>
          <w:szCs w:val="17"/>
          <w:i w:val="1"/>
          <w:iCs w:val="1"/>
          <w:color w:val="auto"/>
        </w:rPr>
      </w:pPr>
    </w:p>
    <w:p>
      <w:pPr>
        <w:ind w:left="1240" w:right="780" w:hanging="309"/>
        <w:spacing w:after="0" w:line="232" w:lineRule="auto"/>
        <w:tabs>
          <w:tab w:leader="none" w:pos="1236"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Portex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Bivona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tracheostomy tubes in PVC and silicone construction that provide a secure airway for both surgical and percutaneous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Our silicone tracheostomy tubes are customizable to accommodate unique patient requirements.</w:t>
      </w:r>
    </w:p>
    <w:p>
      <w:pPr>
        <w:spacing w:after="0" w:line="216"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75"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Seasonality/Quarterly Results</w:t>
      </w:r>
    </w:p>
    <w:p>
      <w:pPr>
        <w:spacing w:after="0" w:line="247" w:lineRule="exact"/>
        <w:rPr>
          <w:sz w:val="20"/>
          <w:szCs w:val="20"/>
          <w:color w:val="auto"/>
        </w:rPr>
      </w:pPr>
    </w:p>
    <w:p>
      <w:pPr>
        <w:ind w:right="100" w:firstLine="169"/>
        <w:spacing w:after="0" w:line="264" w:lineRule="auto"/>
        <w:rPr>
          <w:sz w:val="20"/>
          <w:szCs w:val="20"/>
          <w:color w:val="auto"/>
        </w:rPr>
      </w:pPr>
      <w:r>
        <w:rPr>
          <w:rFonts w:ascii="Times New Roman" w:cs="Times New Roman" w:eastAsia="Times New Roman" w:hAnsi="Times New Roman"/>
          <w:sz w:val="17"/>
          <w:szCs w:val="17"/>
          <w:color w:val="auto"/>
        </w:rPr>
        <w:t>There are no significant seasonal aspects to our business. We can experience fluctuations in net sales as a result of variations in the ordering patterns of our largest customers, which may be driven more by the novel coronavirus and its variants (“COVID-19”) pandemic surges and its impact on hospital admissions and procedure volumes along with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w:t>
      </w:r>
    </w:p>
    <w:p>
      <w:pPr>
        <w:spacing w:after="0" w:line="24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January 6, 2022, we acquired 100% of the equity interests in Smiths Medical from Smiths Group International Holdings Limited (“Smiths”) for cash consideration of $1.9 billion and the issuance of 2.5 million shares of our common stock valued at $576.0 million. We funded the cash portion of the consideration paid with a combination of proceeds from a Credit Agreement dated January 6, 2022 (the "Credit Agreement") and our cash and cash equivalents. The fair value of the common shares issued to Smiths was determined based on the opening market price of our common stock on the acquisition date. Smiths may be entitled to a potential contingent earn-out payment of $100.0 million based on our common stock achieving certain price targets on or prior to the third or fourth anniversary of closing. See Note 3, Acquisitions in our accompanying condensed consolidated financial statements for further details on the acquisition. See "Liquidity and Capital Resources" in the remainder of this item and Note 17 in our accompanying condensed consolidated financial statements for additional information regarding the Credit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Pandemic and other Macroeconomic and Global Geopolitical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172"/>
        <w:spacing w:after="0" w:line="264" w:lineRule="auto"/>
        <w:rPr>
          <w:sz w:val="20"/>
          <w:szCs w:val="20"/>
          <w:color w:val="auto"/>
        </w:rPr>
      </w:pPr>
      <w:r>
        <w:rPr>
          <w:rFonts w:ascii="Times New Roman" w:cs="Times New Roman" w:eastAsia="Times New Roman" w:hAnsi="Times New Roman"/>
          <w:sz w:val="17"/>
          <w:szCs w:val="17"/>
          <w:color w:val="auto"/>
        </w:rPr>
        <w:t>Our business operations have been, and we expect will continue to be, impacted by the novel coronavirus and its variants ("COVID-19") and by the continuing conflict between Russia and Ukraine. These events have resulted in global economic challenges, such as rising inflation, especially with respect to freight costs driven by the higher fuel prices, global supply chain disruption, and foreign currency exchange rate impact as a result of the strengthening of the U.S. dollar. All of these factors have negatively impacted our gross profit margin during 2022.</w:t>
      </w:r>
    </w:p>
    <w:p>
      <w:pPr>
        <w:spacing w:after="0" w:line="197"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While we continually monitor the ongoing and evolving impacts of the pandemic, macroeconomic conditions and geopolitical events on our operations the extent of such impacts are based on factors that cannot be fully predicted at this time. Accordingly, the impact on our overall financial performance remains uncertain and cannot as yet be quantified. For a discussion of the risks and uncertainties we face as a result of the COVID-19 pandemic and other market and external factors, see Part I, Item 1A. "Risk Factors" of our 2021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47" w:lineRule="exact"/>
        <w:rPr>
          <w:sz w:val="20"/>
          <w:szCs w:val="20"/>
          <w:color w:val="auto"/>
        </w:rPr>
      </w:pPr>
    </w:p>
    <w:p>
      <w:pPr>
        <w:ind w:right="40" w:firstLine="169"/>
        <w:spacing w:after="0" w:line="287" w:lineRule="auto"/>
        <w:rPr>
          <w:sz w:val="20"/>
          <w:szCs w:val="20"/>
          <w:color w:val="auto"/>
        </w:rPr>
      </w:pPr>
      <w:r>
        <w:rPr>
          <w:rFonts w:ascii="Times New Roman" w:cs="Times New Roman" w:eastAsia="Times New Roman" w:hAnsi="Times New Roman"/>
          <w:sz w:val="17"/>
          <w:szCs w:val="17"/>
          <w:color w:val="auto"/>
        </w:rPr>
        <w:t>We present income statement data in Part I, Item 1. "Financial Statements." The following table shows, for the three and nine months ended September 30, 2022 and 2021, the percentages of each income statement caption in relation to total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7"/>
                <w:szCs w:val="17"/>
                <w:color w:val="auto"/>
              </w:rPr>
            </w:pPr>
          </w:p>
        </w:tc>
        <w:tc>
          <w:tcPr>
            <w:tcW w:w="2460" w:type="dxa"/>
            <w:vAlign w:val="bottom"/>
            <w:gridSpan w:val="4"/>
          </w:tcPr>
          <w:p>
            <w:pPr>
              <w:jc w:val="center"/>
              <w:ind w:left="3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15"/>
        </w:trPr>
        <w:tc>
          <w:tcPr>
            <w:tcW w:w="5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1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1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 settlement</w:t>
            </w:r>
          </w:p>
        </w:tc>
        <w:tc>
          <w:tcPr>
            <w:tcW w:w="154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0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154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0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0"/>
        </w:trPr>
        <w:tc>
          <w:tcPr>
            <w:tcW w:w="5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Consumables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Infusion Consumables revenue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160" w:type="dxa"/>
            <w:vAlign w:val="bottom"/>
          </w:tcPr>
          <w:p>
            <w:pPr>
              <w:spacing w:after="0"/>
              <w:rPr>
                <w:sz w:val="15"/>
                <w:szCs w:val="15"/>
                <w:color w:val="auto"/>
              </w:rPr>
            </w:pPr>
          </w:p>
        </w:tc>
      </w:tr>
      <w:tr>
        <w:trPr>
          <w:trHeight w:val="205"/>
        </w:trPr>
        <w:tc>
          <w:tcPr>
            <w:tcW w:w="1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60" w:type="dxa"/>
            <w:vAlign w:val="bottom"/>
            <w:tcBorders>
              <w:bottom w:val="single" w:sz="8" w:color="auto"/>
            </w:tcBorders>
          </w:tcPr>
          <w:p>
            <w:pPr>
              <w:spacing w:after="0"/>
              <w:rPr>
                <w:sz w:val="17"/>
                <w:szCs w:val="17"/>
                <w:color w:val="auto"/>
              </w:rPr>
            </w:pPr>
          </w:p>
        </w:tc>
      </w:tr>
      <w:tr>
        <w:trPr>
          <w:trHeight w:val="199"/>
        </w:trPr>
        <w:tc>
          <w:tcPr>
            <w:tcW w:w="1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Infusion Consumables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(2.6)%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Infusion Consumables revenue decreased for the three months ended September 30, 2022, as compared to the same period in the prior year, primarily due to the impact of foreign exchange. Infusion Consumables revenue increased for the nine months ended September 30, 2022, as compared to the same period in the prior year, due to increased customer demand in our global core infusion, global oncology and renal products partially offset by the impact of foreign exchange. On a constant currency basis, Infusion Consumables revenue would have been $146.1 million, an increase of $1.2 million or 0.8% and $437.3 million, an increase of $29.8 million or 7.3%, for the three and nine months ended September 30, 2022, respectively, as compared to the same periods in the prior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 revenue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200" w:type="dxa"/>
            <w:vAlign w:val="bottom"/>
          </w:tcPr>
          <w:p>
            <w:pPr>
              <w:spacing w:after="0"/>
              <w:rPr>
                <w:sz w:val="15"/>
                <w:szCs w:val="15"/>
                <w:color w:val="auto"/>
              </w:rPr>
            </w:pPr>
          </w:p>
        </w:tc>
      </w:tr>
      <w:tr>
        <w:trPr>
          <w:trHeight w:val="205"/>
        </w:trPr>
        <w:tc>
          <w:tcPr>
            <w:tcW w:w="1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Infusion Systems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90.7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(3.2)%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r>
    </w:tbl>
    <w:p>
      <w:pPr>
        <w:spacing w:after="0" w:line="254"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Infusion Systems revenue decreased for the three months ended September 30, 2022, as compared to the same period in the prior year, primarily due to the impact of foreign exchange. Infusion Systems revenue increased for the nine months ended September 30, 2022, as compared to the same period in the prior year, primarily due to higher large volume pump ("LVP") software and service sales, offset partially by lower sales related to our non-LVP products and the impact of foreign exchange. On a constant currency basis, Infusion Systems revenue would have been $91.8 million, an increase of $1.1 million or 1.2%, and $270.5 million, an increase of $10.8 million or 4.2%, for the three and nine months ended September 30, 2022, respectively, as compared to the same periods in the prior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IV Solutions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IV Solutions revenue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200" w:type="dxa"/>
            <w:vAlign w:val="bottom"/>
          </w:tcPr>
          <w:p>
            <w:pPr>
              <w:spacing w:after="0"/>
              <w:rPr>
                <w:sz w:val="15"/>
                <w:szCs w:val="15"/>
                <w:color w:val="auto"/>
              </w:rPr>
            </w:pPr>
          </w:p>
        </w:tc>
      </w:tr>
      <w:tr>
        <w:trPr>
          <w:trHeight w:val="205"/>
        </w:trPr>
        <w:tc>
          <w:tcPr>
            <w:tcW w:w="1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IV Solutions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89.2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8.1 %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r>
    </w:tbl>
    <w:p>
      <w:pPr>
        <w:spacing w:after="0" w:line="280"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IV Solutions revenue increased for the three and nine months ended September 30, 2022, as compared to the same periods in the prior year, primarily due to an increase in contract manufacturing sales to Pfizer.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Care</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Critical Care revenue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5"/>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Critical Care</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35.3</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36.8</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bl>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Critical Care revenue decreased slightly for the three and nine months ended September 30, 2022, as compared to the same periods in the prior year.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Systems-Smiths Medical</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Systems-Smiths Medical revenue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37"/>
        </w:trPr>
        <w:tc>
          <w:tcPr>
            <w:tcW w:w="18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Infusion Systems-Smiths</w:t>
            </w: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96.9</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w:t>
            </w:r>
          </w:p>
        </w:tc>
        <w:tc>
          <w:tcPr>
            <w:tcW w:w="10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nm</w:t>
            </w: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5"/>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Medical</w:t>
            </w: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Infusion Systems-Smiths Medical revenue is a result of the acquisition of Smiths Medical. The year-to-date amount in the table above represents approximately nine months of revenue from the closing date of the transaction to the end of the current quarter ended September 30, 2022. Revenues in the current periods are lower than historical results due to operational challenges caused by supply chain and fulfillment constraints and due to the impact of changes in foreign currency exchange rates.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Vascular Access-Smiths Medical</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Vascular Access revenue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37"/>
        </w:trPr>
        <w:tc>
          <w:tcPr>
            <w:tcW w:w="18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Vascular Access-Smiths</w:t>
            </w: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95.3</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w:t>
            </w:r>
          </w:p>
        </w:tc>
        <w:tc>
          <w:tcPr>
            <w:tcW w:w="10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nm</w:t>
            </w: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251.4</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vMerge w:val="restart"/>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251.4</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5"/>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Medical</w:t>
            </w: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Vascular Access-Smiths Medical revenue is a result of the acquisition of Smiths Medical. The year-to-date amount in the table above represents approximately nine months of revenue from the closing date of the transaction to the end of the current quarter ended September 30, 2022. Revenues in the current periods are lower than historical results due to operational challenges caused by supply chain and fulfillment constraints and due to the impact of changes in foreign currency exchange rates.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Care-Smiths Medical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100" w:type="dxa"/>
            <w:vAlign w:val="bottom"/>
          </w:tcPr>
          <w:p>
            <w:pPr>
              <w:spacing w:after="0"/>
              <w:rPr>
                <w:sz w:val="15"/>
                <w:szCs w:val="15"/>
                <w:color w:val="auto"/>
              </w:rPr>
            </w:pPr>
          </w:p>
        </w:tc>
      </w:tr>
      <w:tr>
        <w:trPr>
          <w:trHeight w:val="205"/>
        </w:trPr>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r>
      <w:tr>
        <w:trPr>
          <w:trHeight w:val="199"/>
        </w:trPr>
        <w:tc>
          <w:tcPr>
            <w:tcW w:w="1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Vital Care-Smiths Medical  $</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nm</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r>
    </w:tbl>
    <w:p>
      <w:pPr>
        <w:spacing w:after="0" w:line="306"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Vital Care-Smiths Medical revenue is a result of the acquisition of Smiths Medical. The year-to-date amount in the table above represents approximately nine months of revenue from the closing date of the transaction to the end of the current quarter ended September 30, 2022. Revenues in the current periods are lower than historical results due to operational challenges caused by supply chain and fulfillment constraints and due to the impact of changes in foreign currency exchange rates.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Margins</w:t>
      </w:r>
    </w:p>
    <w:p>
      <w:pPr>
        <w:spacing w:after="0" w:line="236" w:lineRule="exact"/>
        <w:rPr>
          <w:sz w:val="20"/>
          <w:szCs w:val="20"/>
          <w:color w:val="auto"/>
        </w:rPr>
      </w:pPr>
    </w:p>
    <w:p>
      <w:pPr>
        <w:ind w:right="20" w:firstLine="172"/>
        <w:spacing w:after="0" w:line="243" w:lineRule="auto"/>
        <w:rPr>
          <w:sz w:val="20"/>
          <w:szCs w:val="20"/>
          <w:color w:val="auto"/>
        </w:rPr>
      </w:pPr>
      <w:r>
        <w:rPr>
          <w:rFonts w:ascii="Times New Roman" w:cs="Times New Roman" w:eastAsia="Times New Roman" w:hAnsi="Times New Roman"/>
          <w:sz w:val="17"/>
          <w:szCs w:val="17"/>
          <w:color w:val="auto"/>
        </w:rPr>
        <w:t>For the three months ended September 30, 2022 and 2021, gross margins were 31.2% and 38.0%, respectively. For the nine months ended September 30, 2022 and 2021, gross margins were 30.7% and 37.3%, respectively. The decrease in gross margins for the three and nine months ended September 30, 2022, as compared to the same periods in the prior year, was driven by the acquisition of Smiths Medical, changes in foreign currency exchange rates due to the strengthening US dollar, inflationary cost increases in our supply chain, and lower manufacturing absorption due to supply chain disruptions. Smiths Medical gross margins are lower than historical ICU margins for the current quarter and year-to-date period due primarily to spending on quality systems and product-related remediation, the cost recognition of the purchase accounting write-up of inventory and freight expediting costs. Inflationary cost increases during 2022 notably impacted our logistics expenses, as well as labor and raw materials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SG&amp;A Expenses (in millions):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200" w:type="dxa"/>
            <w:vAlign w:val="bottom"/>
          </w:tcPr>
          <w:p>
            <w:pPr>
              <w:spacing w:after="0"/>
              <w:rPr>
                <w:sz w:val="15"/>
                <w:szCs w:val="15"/>
                <w:color w:val="auto"/>
              </w:rPr>
            </w:pPr>
          </w:p>
        </w:tc>
      </w:tr>
      <w:tr>
        <w:trPr>
          <w:trHeight w:val="205"/>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0" w:type="dxa"/>
            <w:vAlign w:val="bottom"/>
            <w:tcBorders>
              <w:bottom w:val="single" w:sz="8" w:color="auto"/>
            </w:tcBorders>
          </w:tcPr>
          <w:p>
            <w:pPr>
              <w:spacing w:after="0"/>
              <w:rPr>
                <w:sz w:val="17"/>
                <w:szCs w:val="17"/>
                <w:color w:val="auto"/>
              </w:rPr>
            </w:pPr>
          </w:p>
        </w:tc>
      </w:tr>
      <w:tr>
        <w:trPr>
          <w:trHeight w:val="199"/>
        </w:trPr>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105.2 %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110.5 %</w:t>
            </w:r>
          </w:p>
        </w:tc>
      </w:tr>
    </w:tbl>
    <w:p>
      <w:pPr>
        <w:spacing w:after="0" w:line="26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SG&amp;A expenses increased for the three and nine months ended September 30, 2022, as compared to the same periods in the prior year. For the three and nine months ended September 30, 2022, increases of $77.1 million and $233.4 million, respectively, were due to the impact of the Smiths Medical acquisition. For the three months ended September 30, 2022, expense increases related to Smiths Medical included $27.6 million of salaries and benefits, $33.3 million of depreciation and amortization expense and $4.9 million of IT and business support services and for the nine months ended September 30, 2022 Smiths Medical SG&amp;A expenses included $83.8 million of salaries and benefits, $92.1 million of depreciation and amortization expense and $15.6 million of IT and business support services. In addition to the Smiths Medical SG&amp;A increases, for the nine months ended September 30, 2022 stock based compensation increased $8.2 million primarily due to a change in the probability of the number of shares estimated to be earned for certain equity awards based on performance criteria, an increase in the value of equity granted during the current year period compared to the prior year period as well as an increase in the number of employees receiving equity during the current year period as compared to prior year period as a result of the Smiths Medical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(“R&amp;D”)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R&amp;D Expenses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5"/>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9"/>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R&amp;D</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89.3 %</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69.5</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34.3</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102.6 %</w:t>
            </w:r>
          </w:p>
        </w:tc>
      </w:tr>
    </w:tbl>
    <w:p>
      <w:pPr>
        <w:spacing w:after="0" w:line="280" w:lineRule="exact"/>
        <w:rPr>
          <w:sz w:val="20"/>
          <w:szCs w:val="20"/>
          <w:color w:val="auto"/>
        </w:rPr>
      </w:pPr>
    </w:p>
    <w:p>
      <w:pPr>
        <w:ind w:right="20" w:firstLine="619"/>
        <w:spacing w:after="0" w:line="267" w:lineRule="auto"/>
        <w:rPr>
          <w:sz w:val="20"/>
          <w:szCs w:val="20"/>
          <w:color w:val="auto"/>
        </w:rPr>
      </w:pPr>
      <w:r>
        <w:rPr>
          <w:rFonts w:ascii="Times New Roman" w:cs="Times New Roman" w:eastAsia="Times New Roman" w:hAnsi="Times New Roman"/>
          <w:sz w:val="17"/>
          <w:szCs w:val="17"/>
          <w:color w:val="auto"/>
        </w:rPr>
        <w:t>R&amp;D expenses increased for the three and nine months ended September 30, 2022, as compared to the same periods in the prior year primarily due to the acquisition of Smiths Medical. For the three and nine months ended September 30, 2022, the increase included $9.9 million and $31.0 million, respectively, related to Smiths Medical R&amp;D expenses. R&amp;D expenses during both periods primarily relate to headcount and employment expense in support of ongoing R&amp;D projects.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Strategic Transaction and Integration Expenses</w:t>
      </w:r>
    </w:p>
    <w:p>
      <w:pPr>
        <w:spacing w:after="0" w:line="249" w:lineRule="exact"/>
        <w:rPr>
          <w:sz w:val="20"/>
          <w:szCs w:val="20"/>
          <w:color w:val="auto"/>
        </w:rPr>
      </w:pPr>
    </w:p>
    <w:p>
      <w:pPr>
        <w:ind w:right="34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$14.4 million and $61.8 million for the three and nine months ended September 30, 2022, respectively, as compared to $2.4 million and $9.0 million for the three and nine months ended September 30, 2021,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247" w:lineRule="exact"/>
        <w:rPr>
          <w:sz w:val="20"/>
          <w:szCs w:val="20"/>
          <w:color w:val="auto"/>
        </w:rPr>
      </w:pPr>
    </w:p>
    <w:p>
      <w:pPr>
        <w:ind w:right="180" w:firstLine="172"/>
        <w:spacing w:after="0" w:line="258" w:lineRule="auto"/>
        <w:rPr>
          <w:sz w:val="20"/>
          <w:szCs w:val="20"/>
          <w:color w:val="auto"/>
        </w:rPr>
      </w:pPr>
      <w:r>
        <w:rPr>
          <w:rFonts w:ascii="Times New Roman" w:cs="Times New Roman" w:eastAsia="Times New Roman" w:hAnsi="Times New Roman"/>
          <w:sz w:val="17"/>
          <w:szCs w:val="17"/>
          <w:color w:val="auto"/>
        </w:rPr>
        <w:t>Restructuring charges were $2.4 million and $7.3 million for the three and nine months ended September 30, 2022, respectively, and were related to severance costs. We expect to pay unpaid restructuring charges as of September 30, 2022 by the end of 2023. During the third quarter of 2021 we adjusted certain facility restructuring liabilities by $2.0 million to reflect actual amounts owed resulting in net restructuring credits of $(1.9) million and $(1.8) million for the three and nine months ended September 30, 2021,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26" w:lineRule="exact"/>
        <w:rPr>
          <w:sz w:val="20"/>
          <w:szCs w:val="20"/>
          <w:color w:val="auto"/>
        </w:rPr>
      </w:pPr>
    </w:p>
    <w:p>
      <w:pPr>
        <w:ind w:right="140" w:firstLine="172"/>
        <w:spacing w:after="0" w:line="258" w:lineRule="auto"/>
        <w:rPr>
          <w:sz w:val="20"/>
          <w:szCs w:val="20"/>
          <w:color w:val="auto"/>
        </w:rPr>
      </w:pPr>
      <w:r>
        <w:rPr>
          <w:rFonts w:ascii="Times New Roman" w:cs="Times New Roman" w:eastAsia="Times New Roman" w:hAnsi="Times New Roman"/>
          <w:sz w:val="17"/>
          <w:szCs w:val="17"/>
          <w:color w:val="auto"/>
        </w:rPr>
        <w:t>Strategic transaction and integration expenses were $12.0 million and $54.5 million for the three and nine months ended September 30, 2022, respectively, as compared to $4.3 million and $10.8 million for the three and nine months ended September 30, 2021, respectively. The strategic transaction and integration expenses during the three and nine months ended September 30, 2022 were primarily related to our acquisition of Smiths Medical which primarily included legal expenses, bank fees and employee costs. The strategic transaction and integration expenses during the nine months ended September 30, 2022 also included a United Kingdom stamp tax. The strategic transaction and integration expenses during the three months ended September 30, 2021 were primarily related to transaction expenses incurred related to entering into a definitive agreement to acquire Smiths. The strategic transaction and integration expenses for the nine months ended September 30, 2021 were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primarily related to integration costs associated with acquisitions, the Hospira Infusion Systems ("HIS") earn-out dispute with Pfizer, one-time costs incurred to comply with regulatory initiatives and the transaction costs related to the Smiths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Earn-out</w:t>
      </w:r>
    </w:p>
    <w:p>
      <w:pPr>
        <w:spacing w:after="0" w:line="249"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For the three and nine months ended September 30, 2022 there was a gain of $4.1 million and $31.3 million, respectively, primarily related to the change in fair value of contingent earn-out related to the Smiths Medical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Settlement</w:t>
      </w:r>
    </w:p>
    <w:p>
      <w:pPr>
        <w:spacing w:after="0" w:line="249" w:lineRule="exact"/>
        <w:rPr>
          <w:sz w:val="20"/>
          <w:szCs w:val="20"/>
          <w:color w:val="auto"/>
        </w:rPr>
      </w:pPr>
    </w:p>
    <w:p>
      <w:pPr>
        <w:ind w:right="380" w:firstLine="172"/>
        <w:spacing w:after="0" w:line="287" w:lineRule="auto"/>
        <w:rPr>
          <w:sz w:val="20"/>
          <w:szCs w:val="20"/>
          <w:color w:val="auto"/>
        </w:rPr>
      </w:pPr>
      <w:r>
        <w:rPr>
          <w:rFonts w:ascii="Times New Roman" w:cs="Times New Roman" w:eastAsia="Times New Roman" w:hAnsi="Times New Roman"/>
          <w:sz w:val="17"/>
          <w:szCs w:val="17"/>
          <w:color w:val="auto"/>
        </w:rPr>
        <w:t>We did not incur contract settlement expense for the three and nine months ended September 30, 2022. For the three and nine months ended September 30, 2021, we recorded $0.1 million in contract settlement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49" w:lineRule="exact"/>
        <w:rPr>
          <w:sz w:val="20"/>
          <w:szCs w:val="20"/>
          <w:color w:val="auto"/>
        </w:rPr>
      </w:pPr>
    </w:p>
    <w:p>
      <w:pPr>
        <w:ind w:right="120" w:firstLine="172"/>
        <w:spacing w:after="0" w:line="287" w:lineRule="auto"/>
        <w:rPr>
          <w:sz w:val="20"/>
          <w:szCs w:val="20"/>
          <w:color w:val="auto"/>
        </w:rPr>
      </w:pPr>
      <w:r>
        <w:rPr>
          <w:rFonts w:ascii="Times New Roman" w:cs="Times New Roman" w:eastAsia="Times New Roman" w:hAnsi="Times New Roman"/>
          <w:sz w:val="17"/>
          <w:szCs w:val="17"/>
          <w:color w:val="auto"/>
        </w:rPr>
        <w:t>Interest expense was $21.2 million and $0.2 million for the three months ended September 30, 2022 and 2021, respectively. Interest expense was $51.1 million and $0.5 million for the nine months ended September 30, 2022 and 2021, respectively.</w:t>
      </w:r>
    </w:p>
    <w:p>
      <w:pPr>
        <w:spacing w:after="0" w:line="17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Interest expense for the three and nine months ended September 30, 2022 primarily includes the contractual interest incurred on borrowings under the Credit Agreement, the per annum commitment fee charged on the available amount of the revolving credit facility contained in the Credit Agreement and the amortization of debt issuance costs incurred in connection with entering into the Credit Agreement (see Note 17: Long-Term Debt in our accompanying condensed consolidated financial statements for additional information).</w:t>
      </w:r>
    </w:p>
    <w:p>
      <w:pPr>
        <w:spacing w:after="0" w:line="19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Interest expense for the three and nine months ended September 30, 2021 includes the per annum commitment fee charged on the unused portion of the revolver under our 2017 Credit Facility (the "Prior Credit Facility") and the amortization of financing costs that were incurred in 2017 in connection with entering into the Prior Credit Facility. The Prior Credit Facility was terminated in connection with entering into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49" w:lineRule="exact"/>
        <w:rPr>
          <w:sz w:val="20"/>
          <w:szCs w:val="20"/>
          <w:color w:val="auto"/>
        </w:rPr>
      </w:pPr>
    </w:p>
    <w:p>
      <w:pPr>
        <w:ind w:right="120" w:firstLine="172"/>
        <w:spacing w:after="0" w:line="261" w:lineRule="auto"/>
        <w:rPr>
          <w:sz w:val="20"/>
          <w:szCs w:val="20"/>
          <w:color w:val="auto"/>
        </w:rPr>
      </w:pPr>
      <w:r>
        <w:rPr>
          <w:rFonts w:ascii="Times New Roman" w:cs="Times New Roman" w:eastAsia="Times New Roman" w:hAnsi="Times New Roman"/>
          <w:sz w:val="17"/>
          <w:szCs w:val="17"/>
          <w:color w:val="auto"/>
        </w:rPr>
        <w:t>Other income netted to $0.3 million and $0.8 million for the three and nine months ended September 30, 2022, respectively, as compared to $(0.3) million and $0.9 million for the three and nine months ended September 30, 2021, respectively. For the three months ended September 30, 2022, other income (expense), net was related to $3.3 million in interest income and $0.4 million of miscellaneous income, net, mostly offset by $2.1 million of foreign exchange losses and $1.4 million of loss from disposal of assets. For the nine months ended September 30, 2022, other income (expense), net was related to $4.8 million in interest income and $2.9 million of miscellaneous income, net, mostly offset by $4.6 million of foreign exchange losses and $2.3 million of loss from disposal of assets.</w:t>
      </w:r>
    </w:p>
    <w:p>
      <w:pPr>
        <w:spacing w:after="0" w:line="200"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For the three months ended September 30, 2021, the other expense, net was related to $0.9 million in foreign exchange losses and $0.3 million of loss from disposed assets offset by $0.7 million of interest income and $0.2 million of miscellaneous income. For the nine months ended September 30, 2021, the other income, net was related to $2.1 million of interest income and $0.5 million of miscellaneous income partially offset by $1.1 million of loss from disposed assets and $0.6 million in foreign exchange losses.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ind w:right="180" w:firstLine="172"/>
        <w:spacing w:after="0" w:line="287" w:lineRule="auto"/>
        <w:rPr>
          <w:sz w:val="20"/>
          <w:szCs w:val="20"/>
          <w:color w:val="auto"/>
        </w:rPr>
      </w:pPr>
      <w:r>
        <w:rPr>
          <w:rFonts w:ascii="Times New Roman" w:cs="Times New Roman" w:eastAsia="Times New Roman" w:hAnsi="Times New Roman"/>
          <w:sz w:val="17"/>
          <w:szCs w:val="17"/>
          <w:color w:val="auto"/>
        </w:rPr>
        <w:t>For the three months ended September 30, 2022 and 2021, income taxes were accrued at an estimated effective tax rate of 38% and 18%, respectively. For the nine months ended September 30, 2022 and 2021, income taxes were accrued at an estimated effective tax rate of 37% and 17%, respectively.</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2022 differs from the federal statutory rate of 21% principally because of the effect of the mix of U.S. and foreign incomes, state income taxes, section 162(m) excess compensation, foreign-derived intangible income ("FDII") and tax credits. The effective tax rate during the three and nine months ended September 30, 2022 included a tax benefit of 1.5 million and $4.1 million, respectively, related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excess tax benefits recognized on stock option exercises and the vesting of restricted stock units during the period. The effective tax rate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7"/>
          <w:szCs w:val="17"/>
          <w:color w:val="auto"/>
        </w:rPr>
        <w:t>for the three and nine months ended September 30, 2022 also included a nil tax impact related to the revaluation of contingent consideration of $4.1 million and $31.3 million, respectively.</w:t>
      </w:r>
    </w:p>
    <w:p>
      <w:pPr>
        <w:spacing w:after="0" w:line="190" w:lineRule="exact"/>
        <w:rPr>
          <w:sz w:val="20"/>
          <w:szCs w:val="20"/>
          <w:color w:val="auto"/>
        </w:rPr>
      </w:pPr>
    </w:p>
    <w:p>
      <w:pPr>
        <w:jc w:val="both"/>
        <w:ind w:right="40" w:firstLine="169"/>
        <w:spacing w:after="0" w:line="261"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2021 differs from the federal statutory rate of 21% principally because of the effect of the mix of U.S. and foreign incomes, state income taxes, GILTI, FDII and tax credits. The effective tax rate during the three and nine months ended September 30, 2021 included a tax benefit of $1.1 million and $3.3 million, respectively, related to the excess tax benefits recognized on stock option exercises and the vesting of restricted stock units during the periods and a tax provision of $1.1 million related to U.S. federal return-to-provision adjustments for the year ended December 31, 2020 primarily due to changes in estimates for GILTI, FDII, subpart F income and related foreign tax credits along with other prior period adjustments.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w:t>
      </w:r>
    </w:p>
    <w:p>
      <w:pPr>
        <w:spacing w:after="0" w:line="221"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49"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are cash and cash equivalents, our short-term investment portfolio, cash flows from our operations and access to borrowing arrangements.</w:t>
      </w:r>
    </w:p>
    <w:p>
      <w:pPr>
        <w:spacing w:after="0" w:line="177"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Funds generated from operations are held in cash and cash equivalents and investment securities. During the nine months ended September 30, 2022, our cash and cash equivalents and short-term investment securities decreased by $320.4 million from $567.2 million at December 31, 2021 to $246.8 million at September 30, 2022. This decrease was primarily due to our use of existing cash balances to partially fund the Smiths Medical acquisition in January 2022, to replenish finished goods inventory levels for legacy Smiths Medical, increase safety stock of raw materials across the combined company and to respond to supply chain constraints. Our short-term investment portfolio consists of investment-grade corporate and federal bonds and U.S. treasury securities and is primarily intended to facilitate capital preservation.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 and Access to Capital</w:t>
      </w:r>
    </w:p>
    <w:p>
      <w:pPr>
        <w:spacing w:after="0" w:line="24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$1.7 billion as of September 30, 2022,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September 30, 2022. As part of entering into the Senior Secured Credit Facilities, we were assigned issuer and Term Loan B credit ratings. At the date of issuance of this report, our issuer and Term Loan B credit ratings assigned and outlook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4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Issuer/Term Loan B</w:t>
            </w:r>
          </w:p>
        </w:tc>
        <w:tc>
          <w:tcPr>
            <w:tcW w:w="20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Outlook</w:t>
            </w:r>
          </w:p>
        </w:tc>
        <w:tc>
          <w:tcPr>
            <w:tcW w:w="0" w:type="dxa"/>
            <w:vAlign w:val="bottom"/>
          </w:tcPr>
          <w:p>
            <w:pPr>
              <w:spacing w:after="0"/>
              <w:rPr>
                <w:sz w:val="1"/>
                <w:szCs w:val="1"/>
                <w:color w:val="auto"/>
              </w:rPr>
            </w:pPr>
          </w:p>
        </w:tc>
      </w:tr>
      <w:tr>
        <w:trPr>
          <w:trHeight w:val="232"/>
        </w:trPr>
        <w:tc>
          <w:tcPr>
            <w:tcW w:w="678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Credit Ratings</w:t>
            </w:r>
          </w:p>
        </w:tc>
        <w:tc>
          <w:tcPr>
            <w:tcW w:w="2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Ba3/Ba3</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Stable</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Fitch</w:t>
            </w:r>
          </w:p>
        </w:tc>
        <w:tc>
          <w:tcPr>
            <w:tcW w:w="24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BB/BBB-</w:t>
            </w:r>
          </w:p>
        </w:tc>
        <w:tc>
          <w:tcPr>
            <w:tcW w:w="202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Standard &amp; Poor's</w:t>
            </w:r>
          </w:p>
        </w:tc>
        <w:tc>
          <w:tcPr>
            <w:tcW w:w="24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Stable</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greater detail in Note 17: Long-Term Debt to our accompanying condensed consolidated financial statements). We were in compliance with these financial covenants as of September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2017 Credit Facility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November 8, 2017, we entered into a five-year revolving credit facility with various lenders for $150.0 million (the "Prior Credit Facility"). The Prior Credit Facility, which was set to expire in November 2022, was terminated upon entering into the new Senior Secured Credit Facilities. There were no outstanding borrowings under the Prior Credit Facility at the time of its termination.</w:t>
      </w:r>
    </w:p>
    <w:p>
      <w:pPr>
        <w:spacing w:after="0" w:line="191"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We believe that our existing cash and cash equivalents along with cash flows expected to be generated from future operations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2021 Annual Report on Form 10-K for discussion of the risks and uncertainties associated with our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Liquidity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47"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At September 30, 2022, there have been no material changes to our estimate for 2022 planned capital expenditures, as previously disclosed in our 2021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principal commitments at September 30, 2022 include both short and long-term future obligations.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47" w:lineRule="exact"/>
        <w:rPr>
          <w:sz w:val="20"/>
          <w:szCs w:val="20"/>
          <w:color w:val="auto"/>
        </w:rPr>
      </w:pPr>
    </w:p>
    <w:p>
      <w:pPr>
        <w:ind w:right="340" w:firstLine="619"/>
        <w:spacing w:after="0" w:line="270" w:lineRule="auto"/>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6: Leases to our accompanying condensed consolidated financial statements).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47"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As discussed above, 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initial applicable margin of 1.75% for Term Loan A and 2.50% for Term Loan B and the revolver commitment fees were estimated using the initial rate of 0.25%. The applicable margin rate and commitment fee rate will change from time to time in accordance with a preset pricing grid based on the leverage ratio (see Note 17: Long-Term Debt to our accompanying condensed consolidated financial statements for pricing grids related to the Senior Secured Credit Facilities). We expect to fund these obligations with our existing cash and cash equivalents and cash generated from our future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Remainder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2027</w:t>
            </w:r>
          </w:p>
        </w:tc>
        <w:tc>
          <w:tcPr>
            <w:tcW w:w="180" w:type="dxa"/>
            <w:vAlign w:val="bottom"/>
          </w:tcPr>
          <w:p>
            <w:pPr>
              <w:spacing w:after="0"/>
              <w:rPr>
                <w:sz w:val="14"/>
                <w:szCs w:val="14"/>
                <w:color w:val="auto"/>
              </w:rPr>
            </w:pPr>
          </w:p>
        </w:tc>
        <w:tc>
          <w:tcPr>
            <w:tcW w:w="10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 Interest Payments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Interest Payments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Minimum Purchase Obligations</w:t>
      </w:r>
    </w:p>
    <w:p>
      <w:pPr>
        <w:spacing w:after="0" w:line="247"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On February 1, 2022, effective as of January 1, 2022, upon our request, Pfizer executed a Product Addendum (the "Product Addendum") to our Manufacturing and Supply Agreements to supply us with additional product subject to certain time and pricing terms and conditions (see Note 20: Collaborative and Other Arrangements to our accompanying condensed consolidated financial statements for additional information). As of September 30, 2022, we had satisfied the minimum purchase obligations under the Product Addendum. The Product Addendum expires on November 30, 2022.</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Future Capital Investments</w:t>
      </w:r>
    </w:p>
    <w:p>
      <w:pPr>
        <w:spacing w:after="0" w:line="247" w:lineRule="exact"/>
        <w:rPr>
          <w:sz w:val="20"/>
          <w:szCs w:val="20"/>
          <w:color w:val="auto"/>
        </w:rPr>
      </w:pPr>
    </w:p>
    <w:p>
      <w:pPr>
        <w:jc w:val="both"/>
        <w:ind w:right="300" w:firstLine="619"/>
        <w:spacing w:after="0" w:line="287" w:lineRule="auto"/>
        <w:rPr>
          <w:sz w:val="20"/>
          <w:szCs w:val="20"/>
          <w:color w:val="auto"/>
        </w:rPr>
      </w:pPr>
      <w:r>
        <w:rPr>
          <w:rFonts w:ascii="Times New Roman" w:cs="Times New Roman" w:eastAsia="Times New Roman" w:hAnsi="Times New Roman"/>
          <w:sz w:val="17"/>
          <w:szCs w:val="17"/>
          <w:color w:val="auto"/>
        </w:rPr>
        <w:t>At September 30, 2022, there have been no material changes to our estimate for restructuring and integration expenses along with spending to support quality systems and quality compliance objectives, as previously disclosed in our 2021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247" w:lineRule="exact"/>
        <w:rPr>
          <w:sz w:val="20"/>
          <w:szCs w:val="20"/>
          <w:color w:val="auto"/>
        </w:rPr>
      </w:pPr>
    </w:p>
    <w:p>
      <w:pPr>
        <w:jc w:val="both"/>
        <w:ind w:right="320"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Historical Cash Flows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49"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net cash used in operations for the nine months ended September 30, 2022 was $60.4 million. Net income plus adjustments for non-cash net expenses contributed $173.6 million. Net cash used in operations as a result of changes in operating assets and liabilities was $234.0 million. The changes in operating assets and liabilities included a $151.8 million increase in inventories, a $22.6 million increase in other assets, a $38.1 million decrease in accrued liabilities, $63.0 million in net changes in income taxes, including excess tax benefits and deferred income taxes and a $9.0 million increase in accounts receivable. Offsetting these amounts was a $20.1 million decrease in prepaid expenses and other current assets and a $30.4 million increase in accounts payable. The increase in inventory was primarily to build inventory safety stock levels. The increase in other assets was due to the purchase of spare parts and the capitalization of debt issuance costs allocated to the revolving credit facility. The decrease in accrued liabilities was primarily due to the payout of annual bonuses. The net changes in income taxes was a result of recording the current deferred provision and the timing of payments. The increase in accounts receivable was primarily due to the net impact of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spacing w:after="0" w:line="201"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Our net cash provided by operations for the nine months ended September 30, 2021 was $184.9 million. Net income plus adjustments for non-cash net expenses contributed $195.2 million. Net cash used in operations as a result of changes in operating assets and liabilities was $10.3 million. The changes in operating assets and liabilities included a $13.6 million increase in other assets, a $10.4 million decrease in accounts payable, a $8.3 million decrease in accrued liabilities and $1.9 million in net changes in income taxes, including excess tax benefits and deferred income taxes. Offsetting these amounts was a</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$16.5 million decrease in inventories, a $3.8 million decrease in accounts receivables and a $3.6 million decrease in prepaid expenses and other assets. The increase in other assets was due to the purchase of spare parts. The decrease in accounts payable was due to the timing of payments. The decrease in accrued liabilities was primarily due to the payment of operating lease liabilities and annual bonuses. The net changes in income taxes was a result of the timing of payments. The decrease in inventory was primarily due to the timing of production and customer purchases combined with the reduction in capitalized manufacturing variances. The decrease in accounts receivable is primarily due to collection efforts. The net decrease in prepaid expenses and other current assets was primarily due to a decrease in prepaid insurance and property taxes, decreased sales tax receivables and a decrease in deferred costs, offset partially by an increase in annual software and service contract renewals.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8"/>
        </w:trPr>
        <w:tc>
          <w:tcPr>
            <w:tcW w:w="6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(68,715)</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(46,464)</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(22,251) (1)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400" w:type="dxa"/>
            <w:vAlign w:val="bottom"/>
            <w:shd w:val="clear" w:color="auto" w:fill="CCEEFF"/>
          </w:tcPr>
          <w:p>
            <w:pPr>
              <w:spacing w:after="0"/>
              <w:rPr>
                <w:sz w:val="19"/>
                <w:szCs w:val="19"/>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Business acquisitions, net of cash acquired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(1,844,164)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(1,844,164) (2)</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 additions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non-marketable equity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Proceeds from sale of investment securities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24,433</w:t>
            </w:r>
          </w:p>
        </w:tc>
        <w:tc>
          <w:tcPr>
            <w:tcW w:w="4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(6)</w:t>
            </w:r>
          </w:p>
        </w:tc>
      </w:tr>
      <w:tr>
        <w:trPr>
          <w:trHeight w:val="237"/>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(1,885,470)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(1,827,724)</w:t>
            </w:r>
          </w:p>
        </w:tc>
        <w:tc>
          <w:tcPr>
            <w:tcW w:w="400" w:type="dxa"/>
            <w:vAlign w:val="bottom"/>
            <w:tcBorders>
              <w:bottom w:val="single" w:sz="8" w:color="CCEEFF"/>
            </w:tcBorders>
            <w:shd w:val="clear" w:color="auto" w:fill="CCEEFF"/>
          </w:tcPr>
          <w:p>
            <w:pPr>
              <w:spacing w:after="0"/>
              <w:rPr>
                <w:sz w:val="20"/>
                <w:szCs w:val="20"/>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180" w:hanging="317"/>
        <w:spacing w:after="0" w:line="229" w:lineRule="auto"/>
        <w:tabs>
          <w:tab w:leader="none" w:pos="183"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property, plant and equipment increased during the quarter due to the acquisition of Smiths Medical and will also vary from period to period based on additional investments needed to support new and existing products and expansion of our manufacturing facilities.</w:t>
      </w:r>
    </w:p>
    <w:p>
      <w:pPr>
        <w:spacing w:after="0" w:line="36" w:lineRule="exact"/>
        <w:rPr>
          <w:rFonts w:ascii="Times New Roman" w:cs="Times New Roman" w:eastAsia="Times New Roman" w:hAnsi="Times New Roman"/>
          <w:sz w:val="22"/>
          <w:szCs w:val="22"/>
          <w:color w:val="auto"/>
          <w:vertAlign w:val="superscript"/>
        </w:rPr>
      </w:pPr>
    </w:p>
    <w:p>
      <w:pPr>
        <w:ind w:left="320" w:right="200" w:hanging="317"/>
        <w:spacing w:after="0" w:line="236" w:lineRule="auto"/>
        <w:tabs>
          <w:tab w:leader="none" w:pos="183"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business acquisitions will vary from period to period based upon our current growth strategy and our ability to execute on desirable target companies. On January 6, 2022, we completed the acquisition of Smiths Medical. The cash consideration for the transaction was $1.9 billion, which was financed with existing cash balances and borrowings under the Credit Agreement. Acquired cash was $78.8 million.</w:t>
      </w:r>
    </w:p>
    <w:p>
      <w:pPr>
        <w:spacing w:after="0" w:line="37" w:lineRule="exact"/>
        <w:rPr>
          <w:rFonts w:ascii="Times New Roman" w:cs="Times New Roman" w:eastAsia="Times New Roman" w:hAnsi="Times New Roman"/>
          <w:sz w:val="22"/>
          <w:szCs w:val="22"/>
          <w:color w:val="auto"/>
          <w:vertAlign w:val="superscript"/>
        </w:rPr>
      </w:pPr>
    </w:p>
    <w:p>
      <w:pPr>
        <w:ind w:left="320" w:hanging="317"/>
        <w:spacing w:after="0" w:line="229" w:lineRule="auto"/>
        <w:tabs>
          <w:tab w:leader="none" w:pos="31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September 2021, we recorded a $7.1 million intangible asset related to a three-year non-compete agreement, of which $3.1 million was non-cash offset with a contingent earn-out (see Note 8: Fair Value Measurements).</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September 2021, we paid $3.3 million to acquire approximately a 20% non-marketable equity interest in a non-public company.</w:t>
      </w:r>
    </w:p>
    <w:p>
      <w:pPr>
        <w:spacing w:after="0" w:line="52" w:lineRule="exact"/>
        <w:rPr>
          <w:rFonts w:ascii="Times New Roman" w:cs="Times New Roman" w:eastAsia="Times New Roman" w:hAnsi="Times New Roman"/>
          <w:sz w:val="22"/>
          <w:szCs w:val="22"/>
          <w:color w:val="auto"/>
          <w:vertAlign w:val="superscript"/>
        </w:rPr>
      </w:pPr>
    </w:p>
    <w:p>
      <w:pPr>
        <w:ind w:left="320" w:right="80" w:hanging="317"/>
        <w:spacing w:after="0" w:line="220" w:lineRule="auto"/>
        <w:tabs>
          <w:tab w:leader="none" w:pos="25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investment securities will vary from period to period based on current cash needs, planning for known future transactions and changes in our investment strategy.</w:t>
      </w:r>
    </w:p>
    <w:p>
      <w:pPr>
        <w:spacing w:after="0" w:line="35" w:lineRule="exact"/>
        <w:rPr>
          <w:rFonts w:ascii="Times New Roman" w:cs="Times New Roman" w:eastAsia="Times New Roman" w:hAnsi="Times New Roman"/>
          <w:sz w:val="22"/>
          <w:szCs w:val="22"/>
          <w:color w:val="auto"/>
          <w:vertAlign w:val="superscript"/>
        </w:rPr>
      </w:pPr>
    </w:p>
    <w:p>
      <w:pPr>
        <w:ind w:left="320" w:right="200" w:hanging="317"/>
        <w:spacing w:after="0" w:line="229" w:lineRule="auto"/>
        <w:tabs>
          <w:tab w:leader="none" w:pos="31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sale of our investment securities will vary from period to period based on the maturity dates of the investments. Includes $19.0 million in proceeds received during the second quarter of 2022 from a promissory note related to an acquired investment as part of the Smiths Medical acquisition.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financing cash flows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long-term debt, net of lender debt issuance costs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1,672,631</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1,672,631</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third-party debt issuance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withholding payments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1,647,417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1,649,008</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180" w:hanging="317"/>
        <w:spacing w:after="0" w:line="236" w:lineRule="auto"/>
        <w:tabs>
          <w:tab w:leader="none" w:pos="25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January 2022, we borrowed an aggregate of $1.7 billion under Senior Secured Credit Facilities contained in the Credit Agreement to partially finance our acquisition of Smiths Medical (see Note 17: Long-Term Debt to our accompanying condensed consolidated financial statements for additional information). The proceeds are net of $27.3 million in payments of lender debt issuance costs.</w:t>
      </w:r>
    </w:p>
    <w:p>
      <w:pPr>
        <w:spacing w:after="0" w:line="7"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 of $20.3 million of principal payments on the Senior Secured Credit Facilities and $1.9 million in third-party debt issuance costs.</w:t>
      </w:r>
    </w:p>
    <w:p>
      <w:pPr>
        <w:spacing w:after="0" w:line="52" w:lineRule="exact"/>
        <w:rPr>
          <w:rFonts w:ascii="Times New Roman" w:cs="Times New Roman" w:eastAsia="Times New Roman" w:hAnsi="Times New Roman"/>
          <w:sz w:val="22"/>
          <w:szCs w:val="22"/>
          <w:color w:val="auto"/>
          <w:vertAlign w:val="superscript"/>
        </w:rPr>
      </w:pPr>
    </w:p>
    <w:p>
      <w:pPr>
        <w:ind w:left="320" w:right="320" w:hanging="317"/>
        <w:spacing w:after="0" w:line="220" w:lineRule="auto"/>
        <w:tabs>
          <w:tab w:leader="none" w:pos="31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spacing w:after="0" w:line="35" w:lineRule="exact"/>
        <w:rPr>
          <w:rFonts w:ascii="Times New Roman" w:cs="Times New Roman" w:eastAsia="Times New Roman" w:hAnsi="Times New Roman"/>
          <w:sz w:val="22"/>
          <w:szCs w:val="22"/>
          <w:color w:val="auto"/>
          <w:vertAlign w:val="superscript"/>
        </w:rPr>
      </w:pPr>
    </w:p>
    <w:p>
      <w:pPr>
        <w:ind w:left="320" w:right="100" w:hanging="317"/>
        <w:spacing w:after="0" w:line="259" w:lineRule="auto"/>
        <w:tabs>
          <w:tab w:leader="none" w:pos="16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nine months ended September 30, 2022, our employees surrendered 45,370 shares of our common stock from vested restricted stock awards as consideration for approximately $10.5 million in minimum statutory withholding obligations paid on their behalf. During the nine months ended September 30, 2021, our employees surrendered 39,371 shares of our common stock from vested restricted stock awards as consideration for approximately $8.1 million in minimum statutory withholding obligations paid on their behalf.</w:t>
      </w:r>
    </w:p>
    <w:p>
      <w:pPr>
        <w:spacing w:after="0" w:line="20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common stock purchase plan, which authorized the repurchase of up to $100.0 million of our common stock, was approved by our Board of Directors in August 2019. This plan has no expiration date. As of September 30, 2022, all of the $100.0 million available for purchase was remaining under the plan.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our 2021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2021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 New Accounting Pronouncements in Part I, Item 1.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1"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forward-looking statements are based on the information currently available to us and assumptions that we believe are reasonable, but we do not intend the statements to be representations as to future results. They include, without limitation, statements about:</w:t>
      </w:r>
    </w:p>
    <w:p>
      <w:pPr>
        <w:spacing w:after="0" w:line="205" w:lineRule="exact"/>
        <w:rPr>
          <w:sz w:val="20"/>
          <w:szCs w:val="20"/>
          <w:color w:val="auto"/>
        </w:rPr>
      </w:pPr>
    </w:p>
    <w:p>
      <w:pPr>
        <w:ind w:left="1240" w:hanging="309"/>
        <w:spacing w:after="0" w:line="260" w:lineRule="auto"/>
        <w:tabs>
          <w:tab w:leader="none" w:pos="12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9" w:lineRule="exact"/>
        <w:rPr>
          <w:rFonts w:ascii="Times New Roman" w:cs="Times New Roman" w:eastAsia="Times New Roman" w:hAnsi="Times New Roman"/>
          <w:sz w:val="17"/>
          <w:szCs w:val="17"/>
          <w:color w:val="auto"/>
        </w:rPr>
      </w:pPr>
    </w:p>
    <w:p>
      <w:pPr>
        <w:ind w:left="1240" w:right="20" w:hanging="309"/>
        <w:spacing w:after="0" w:line="256" w:lineRule="auto"/>
        <w:tabs>
          <w:tab w:leader="none" w:pos="12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Smiths Medical);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202" w:lineRule="exact"/>
        <w:rPr>
          <w:rFonts w:ascii="Times New Roman" w:cs="Times New Roman" w:eastAsia="Times New Roman" w:hAnsi="Times New Roman"/>
          <w:sz w:val="17"/>
          <w:szCs w:val="17"/>
          <w:color w:val="auto"/>
        </w:rPr>
      </w:pPr>
    </w:p>
    <w:p>
      <w:pPr>
        <w:ind w:left="1240" w:right="20" w:hanging="309"/>
        <w:spacing w:after="0" w:line="256" w:lineRule="auto"/>
        <w:tabs>
          <w:tab w:leader="none" w:pos="12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or extended contracts with manufacturers and buying organizations; dependence on a small number of customers; loss of larger distributors and the ability to locate other distributors; impact of our recently completed acquisition of the Smiths Medical business; the outcome of our strategic initiatives; regulatory approvals and compliance; including the work necessary to achieve regulatory clearance with respect to the Smiths Medical Warning Letter;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207" w:lineRule="exact"/>
        <w:rPr>
          <w:sz w:val="20"/>
          <w:szCs w:val="20"/>
          <w:color w:val="auto"/>
        </w:rPr>
      </w:pPr>
    </w:p>
    <w:p>
      <w:pPr>
        <w:jc w:val="both"/>
        <w:ind w:right="40" w:firstLine="662"/>
        <w:spacing w:after="0" w:line="270" w:lineRule="auto"/>
        <w:rPr>
          <w:sz w:val="20"/>
          <w:szCs w:val="20"/>
          <w:color w:val="auto"/>
        </w:rPr>
      </w:pPr>
      <w:r>
        <w:rPr>
          <w:rFonts w:ascii="Times New Roman" w:cs="Times New Roman" w:eastAsia="Times New Roman" w:hAnsi="Times New Roman"/>
          <w:sz w:val="17"/>
          <w:szCs w:val="17"/>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5" w:name="page56"/>
    <w:bookmarkEnd w:id="55"/>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Second, investors should read the forward-looking statements in conjunction with the Risk Factors discussed in Part I, Item 1A of our Annual Report on Form 10-K for the year ended December 31, 2021, Part II, Item 1A of this Quarterly Report on Form 10-Q and our other reports filed with the Securities and Exchange Commission ("SEC"). Also, actual future operating results are subject to other important factors and risks that we cannot predict or control, including without limitation, the following:</w:t>
      </w:r>
    </w:p>
    <w:p>
      <w:pPr>
        <w:spacing w:after="0" w:line="197"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the COVID-19 pandemic on us, our business and on domestic and global economies generally;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integration of Smiths Medical being more difficult, time-consuming or costly than expected;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business conditions, both in the U.S. and internationally;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our arrangements with Pfizer or our other large customers;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outcome of litigation;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 and other risks of doing business internationally;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for skilled workers;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availability of the raw materials needed to manufacture our products;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price and safety considerations on the healthcare industry;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factors, such as product innovation, new technologies, marketing and distribution strength and price erosion;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development and marketing of new products;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market shifts and trends;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legislation affecting government reimbursement of healthcare costs;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by our major customers and independent distributors in their strategies that might affect their efforts to market our products;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additional governmental regulations;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production problems;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and integration expenses (including as it relates to the Smiths Medical acquisition);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patent protection and the cost of enforcing and of defending patent claims;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outbreak of disease or illness;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constraints or disruptions;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inflation on raw materials, freight charges and labor, especially in the U.S.;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increases.</w:t>
      </w:r>
    </w:p>
    <w:p>
      <w:pPr>
        <w:spacing w:after="0" w:line="114"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forward-looking statements in this report are subject to additional risks and uncertainties, including those detailed from time to time in our other filings with the SEC.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7" w:lineRule="exact"/>
        <w:rPr>
          <w:sz w:val="20"/>
          <w:szCs w:val="20"/>
          <w:color w:val="auto"/>
        </w:rPr>
      </w:pPr>
    </w:p>
    <w:p>
      <w:pPr>
        <w:jc w:val="both"/>
        <w:ind w:right="180" w:firstLine="172"/>
        <w:spacing w:after="0" w:line="270" w:lineRule="auto"/>
        <w:rPr>
          <w:sz w:val="20"/>
          <w:szCs w:val="20"/>
          <w:color w:val="auto"/>
        </w:rPr>
      </w:pPr>
      <w:r>
        <w:rPr>
          <w:rFonts w:ascii="Times New Roman" w:cs="Times New Roman" w:eastAsia="Times New Roman" w:hAnsi="Times New Roman"/>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191"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The term loan A facility currently bears interest based on Adjusted Term SOFR plus an initial applicable margin of 1.75% per year. The term loan B facility currently bears interest based on Adjusted Term SOFR subject to a 0.50% floor plus an initial applicable margin of 2.5%. We used a sensitivity analysis to measure our interest rate risk exposure. If the SOFR rate increases or decreases 1% from September 30, 2022, the additional annual interest expense or savings related to the term loans would amount to approximately $16.8 million.</w:t>
      </w:r>
    </w:p>
    <w:p>
      <w:pPr>
        <w:spacing w:after="0" w:line="197"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excluding its final maturity on March 30, 2027 and we will pay a fixed rate of 1.32% and will receive the greater of 3-month USD SOFR or (0.15)%. The term loan B swap has an initial notional amount of $750.0 million, reducing to $46.9 million evenly on a quarterly basis excluding its final maturity on March 30, 2026 and we will pay a fixed rate of 1.17% and will receive the greater of 3-month USD SOFR or 0.35%. See Note 8: Derivatives and Hedging Activities to the condensed consolidated financial statements in Part I, Item 1 of this Form 10-Q.</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7" w:lineRule="exact"/>
        <w:rPr>
          <w:sz w:val="20"/>
          <w:szCs w:val="20"/>
          <w:color w:val="auto"/>
        </w:rPr>
      </w:pPr>
    </w:p>
    <w:p>
      <w:pPr>
        <w:ind w:firstLine="169"/>
        <w:spacing w:after="0" w:line="258" w:lineRule="auto"/>
        <w:rPr>
          <w:sz w:val="20"/>
          <w:szCs w:val="20"/>
          <w:color w:val="auto"/>
        </w:rPr>
      </w:pPr>
      <w:r>
        <w:rPr>
          <w:rFonts w:ascii="Times New Roman" w:cs="Times New Roman" w:eastAsia="Times New Roman" w:hAnsi="Times New Roman"/>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spacing w:after="0" w:line="205"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foreign currency exchange forward contracts hedge a portion of our forecasted foreign currency-denominated revenues and expenses (principally Mexican Pesos, Euros, Czech Koruna, Japanese Yen, U.S. Dollar, Chinese Renminbi, Canadian Dollar and Australian Dollar) that differ from the functional currency of the operating unit. These derivative contracts are designated and qualify as cash flow hedges (see Note 8: Derivatives and Hedging Activities to the condensed consolidated financial statements in Part I, Item 1 of this Form 10-Q). We performed a sensitivity analysis to estimate changes in the fair value of our foreign exchange derivatives due to potential changes in near-term foreign currency exchange rates. At September 30, 2022, the effect of a hypothetical 10% weakening in the actual foreign currency exchange rates used for the applicable currencies did not result in a material impact on the fair value of these outstanding derivatives contracts.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on Effectiveness of Controls and Procedures</w:t>
      </w:r>
    </w:p>
    <w:p>
      <w:pPr>
        <w:spacing w:after="0" w:line="247" w:lineRule="exact"/>
        <w:rPr>
          <w:sz w:val="20"/>
          <w:szCs w:val="20"/>
          <w:color w:val="auto"/>
        </w:rPr>
      </w:pPr>
    </w:p>
    <w:p>
      <w:pPr>
        <w:ind w:right="3040" w:firstLine="619"/>
        <w:spacing w:after="0" w:line="261"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47" w:right="379" w:bottom="1440" w:gutter="0" w:footer="0" w:header="0"/>
        </w:sectPr>
      </w:pPr>
    </w:p>
    <w:bookmarkStart w:id="57" w:name="page58"/>
    <w:bookmarkEnd w:id="57"/>
    <w:p>
      <w:pPr>
        <w:ind w:right="200" w:firstLine="619"/>
        <w:spacing w:after="0" w:line="258" w:lineRule="auto"/>
        <w:rPr>
          <w:sz w:val="20"/>
          <w:szCs w:val="20"/>
          <w:color w:val="auto"/>
        </w:rPr>
      </w:pPr>
      <w:r>
        <w:rPr>
          <w:rFonts w:ascii="Times New Roman" w:cs="Times New Roman" w:eastAsia="Times New Roman" w:hAnsi="Times New Roman"/>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at a reasonable assurance level. As permitted by related SEC staff interpretive guidance for newly acquired</w:t>
      </w:r>
    </w:p>
    <w:p>
      <w:pPr>
        <w:spacing w:after="0" w:line="1" w:lineRule="exact"/>
        <w:rPr>
          <w:sz w:val="20"/>
          <w:szCs w:val="20"/>
          <w:color w:val="auto"/>
        </w:rPr>
      </w:pPr>
    </w:p>
    <w:p>
      <w:pPr>
        <w:ind w:right="2700"/>
        <w:spacing w:after="0" w:line="257" w:lineRule="auto"/>
        <w:rPr>
          <w:sz w:val="20"/>
          <w:szCs w:val="20"/>
          <w:color w:val="auto"/>
        </w:rPr>
      </w:pPr>
      <w:r>
        <w:rPr>
          <w:rFonts w:ascii="Times New Roman" w:cs="Times New Roman" w:eastAsia="Times New Roman" w:hAnsi="Times New Roman"/>
          <w:sz w:val="17"/>
          <w:szCs w:val="17"/>
          <w:color w:val="auto"/>
        </w:rPr>
        <w:t>businesses, the internal control over financial reporting of Smiths Medical was excluded from the evaluation of the effectiveness of our disclosure controls and procedures as of September 30, 2022. Smiths Medical, which we acquired in January 2022, represented approximately 40% of our consolidated total assets as of September 30, 2022, and 44% and 41% of our consolidated total revenue for the three and nine months ended September 30, 2022,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during the quarter ended September 30, 2022 that has materially affected or is reasonably likely to materially affect our internal control over financial reporting, except as mentioned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Legal Proceedings</w:t>
      </w:r>
    </w:p>
    <w:p>
      <w:pPr>
        <w:spacing w:after="0" w:line="221" w:lineRule="exact"/>
        <w:rPr>
          <w:sz w:val="20"/>
          <w:szCs w:val="20"/>
          <w:color w:val="auto"/>
        </w:rPr>
      </w:pPr>
    </w:p>
    <w:p>
      <w:pPr>
        <w:ind w:right="340" w:firstLine="172"/>
        <w:spacing w:after="0" w:line="287" w:lineRule="auto"/>
        <w:rPr>
          <w:sz w:val="20"/>
          <w:szCs w:val="20"/>
          <w:color w:val="auto"/>
        </w:rPr>
      </w:pPr>
      <w:r>
        <w:rPr>
          <w:rFonts w:ascii="Times New Roman" w:cs="Times New Roman" w:eastAsia="Times New Roman" w:hAnsi="Times New Roman"/>
          <w:sz w:val="17"/>
          <w:szCs w:val="17"/>
          <w:color w:val="auto"/>
        </w:rPr>
        <w:t>Certain legal proceedings in which we are involved are discussed in Part I, Item 1. "Financial Statements" of this Form 10-Q in Note 19. Commitments and Contingencies to the Condensed Consolidated Financial Statements, and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1A.  Risk Factors</w:t>
      </w:r>
    </w:p>
    <w:p>
      <w:pPr>
        <w:spacing w:after="0" w:line="221" w:lineRule="exact"/>
        <w:rPr>
          <w:sz w:val="20"/>
          <w:szCs w:val="20"/>
          <w:color w:val="auto"/>
        </w:rPr>
      </w:pPr>
    </w:p>
    <w:p>
      <w:pPr>
        <w:jc w:val="both"/>
        <w:ind w:right="180" w:firstLine="172"/>
        <w:spacing w:after="0" w:line="270" w:lineRule="auto"/>
        <w:rPr>
          <w:sz w:val="20"/>
          <w:szCs w:val="20"/>
          <w:color w:val="auto"/>
        </w:rPr>
      </w:pPr>
      <w:r>
        <w:rPr>
          <w:rFonts w:ascii="Times New Roman" w:cs="Times New Roman" w:eastAsia="Times New Roman" w:hAnsi="Times New Roman"/>
          <w:sz w:val="17"/>
          <w:szCs w:val="17"/>
          <w:color w:val="auto"/>
        </w:rPr>
        <w:t>In evaluating an investment in our common stock, investors should consider carefully, among other things, the risk factors previously disclosed in Part I, Item 1A of our Annual Report on Form 10-K filed with the SEC for the year ended December 31, 2021, as well as the information contained in this Quarterly Report and our other reports and registration statements filed with the SEC.</w:t>
      </w:r>
    </w:p>
    <w:p>
      <w:pPr>
        <w:spacing w:after="0" w:line="187" w:lineRule="exact"/>
        <w:rPr>
          <w:sz w:val="20"/>
          <w:szCs w:val="20"/>
          <w:color w:val="auto"/>
        </w:rPr>
      </w:pPr>
    </w:p>
    <w:p>
      <w:pPr>
        <w:ind w:right="6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The Smiths Medical acquisition completed in January 2022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190"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The Smiths Medical acquisition has resulted in significant growth in our personnel and operations, adding approximately 6,700 employees to our headcount, bringing our total headcount as of September 30, 2022 to approximately 15,300 employees. We will continue to incur significant expenditures and the allocation of management time to assimilate the Smiths Medical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19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Smiths Medical acquisition is a significant acquisition for us and the product offerings within Smiths Medical are not product offerings that we previously offered. The success of our business will depend, in part, on our ability to realize our anticipated benefits, opportunities and synergies from combining our legacy businesses and Smiths Medical. We can provide no assurance that the anticipated benefits of the Smiths Medical acquisition will be fully realized in the time frame anticipated or at all. Integrating the operations of Smiths Medical with that of our legacy business will be a complex, costly and time-consuming process.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spacing w:after="0" w:line="201"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preserving important strategic customer and other third-party relationships of both businesses;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management’s attention to integration matters;</w:t>
      </w: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maintaining employee morale and retaining or attracting key employees;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sectPr>
      </w:pPr>
    </w:p>
    <w:bookmarkStart w:id="58" w:name="page59"/>
    <w:bookmarkEnd w:id="58"/>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incompatibility of corporate cultures;</w:t>
      </w:r>
    </w:p>
    <w:p>
      <w:pPr>
        <w:spacing w:after="0" w:line="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combined business due to potential divestitures or requirements imposed by antitrust regulators;</w:t>
      </w:r>
    </w:p>
    <w:p>
      <w:pPr>
        <w:spacing w:after="0" w:line="9" w:lineRule="exact"/>
        <w:rPr>
          <w:rFonts w:ascii="Times New Roman" w:cs="Times New Roman" w:eastAsia="Times New Roman" w:hAnsi="Times New Roman"/>
          <w:sz w:val="17"/>
          <w:szCs w:val="17"/>
          <w:color w:val="auto"/>
        </w:rPr>
      </w:pPr>
    </w:p>
    <w:p>
      <w:pPr>
        <w:ind w:left="620" w:right="420" w:hanging="307"/>
        <w:spacing w:after="0" w:line="238"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delays and other difficulties consolidating corporate and administrative infrastructures and information systems and in implementing common systems and procedures including, in particular, our internal controls over financial reporting; and</w:t>
      </w: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and integrating a geographically dispersed organization, including operations in jurisdictions we currently do not operate in.</w:t>
      </w:r>
    </w:p>
    <w:p>
      <w:pPr>
        <w:spacing w:after="0" w:line="22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integrate the Smiths Medical business with that of our own could have a material adverse impact on our business, financial condition and results of operations.</w:t>
      </w:r>
    </w:p>
    <w:p>
      <w:pPr>
        <w:spacing w:after="0" w:line="18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i w:val="1"/>
          <w:iCs w:val="1"/>
          <w:color w:val="auto"/>
        </w:rPr>
        <w:t>Prolonged periods of inflation as a result of the current Global Macroeconomic and Geopolitical Conditions could have a material adverse effect on our results of operations.</w:t>
      </w:r>
    </w:p>
    <w:p>
      <w:pPr>
        <w:spacing w:after="0" w:line="16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Global supply chain disruptions as a result of COVID-19 and more recently the war in the Ukraine has resulted in, and may continue to result in, higher interest rates and capital costs, increased raw material costs, higher shipping costs, and the negative impacts from weakening foreign exchange rates. We have experienced and may continue to experience these inflationary increases in our manufacturing costs and operating expenses as well as negative impacts on our operating results from weakening exchange rates. Prolonged inflation may also reduce or delay orders for our products and for certain products we may be unable to satisfy demand, both of which could have a material adverse impact on our sales and results of operations.</w:t>
      </w:r>
    </w:p>
    <w:p>
      <w:pPr>
        <w:spacing w:after="0" w:line="214"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There have been no other material changes in the risk factors other than those mentioned above from those previously disclosed under “Risk Factors” in Part I, Item 1A of our Annual Report on Form 10-K with the SEC for the year ended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Sales of Unregistered Securities</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On January 6, 2022, as part of the consideration for the acquisition of Smiths Medical, we issued 2.5 million unregistered shares of our common stock to Smiths Group International Holdings Limited.</w:t>
      </w:r>
    </w:p>
    <w:p>
      <w:pPr>
        <w:spacing w:after="0" w:line="177"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The issuance of these shares to Smiths Medical in accordance with the terms and subject to the conditions set forth in a shareholders agreement was made in reliance on the private offering exemption of Section 4(a)(2) of the Securities Act and/or the private offering safe harbor provision of Rule 506 of Regulation D promulgated thereunder, as transactions not involving a public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of Equity Securities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is a summary of our stock repurchasing activity during the third quarter of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part of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w w:val="97"/>
              </w:rPr>
              <w:t>dollar value that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w w:val="99"/>
              </w:rPr>
              <w:t>may yet be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 under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gridSpan w:val="2"/>
            <w:vMerge w:val="continue"/>
          </w:tcPr>
          <w:p>
            <w:pPr>
              <w:spacing w:after="0"/>
              <w:rPr>
                <w:sz w:val="16"/>
                <w:szCs w:val="16"/>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84"/>
              <w:spacing w:after="0" w:line="194" w:lineRule="exact"/>
              <w:rPr>
                <w:sz w:val="20"/>
                <w:szCs w:val="20"/>
                <w:color w:val="auto"/>
              </w:rPr>
            </w:pPr>
            <w:r>
              <w:rPr>
                <w:rFonts w:ascii="Times New Roman" w:cs="Times New Roman" w:eastAsia="Times New Roman" w:hAnsi="Times New Roman"/>
                <w:sz w:val="14"/>
                <w:szCs w:val="14"/>
                <w:b w:val="1"/>
                <w:bCs w:val="1"/>
                <w:color w:val="auto"/>
                <w:w w:val="95"/>
              </w:rPr>
              <w:t>the program</w:t>
            </w:r>
            <w:r>
              <w:rPr>
                <w:rFonts w:ascii="Times New Roman" w:cs="Times New Roman" w:eastAsia="Times New Roman" w:hAnsi="Times New Roman"/>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07/01/2022 — 07/31/2022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08/01/2022 — 08/31/2022</w:t>
            </w:r>
          </w:p>
        </w:tc>
        <w:tc>
          <w:tcPr>
            <w:tcW w:w="14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09/01/2022 — 09/30/2022</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Third quarter of 2022 total</w:t>
            </w: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78"/>
              <w:spacing w:after="0"/>
              <w:rPr>
                <w:sz w:val="20"/>
                <w:szCs w:val="20"/>
                <w:color w:val="auto"/>
              </w:rPr>
            </w:pPr>
            <w:r>
              <w:rPr>
                <w:rFonts w:ascii="Times New Roman" w:cs="Times New Roman" w:eastAsia="Times New Roman" w:hAnsi="Times New Roman"/>
                <w:sz w:val="19"/>
                <w:szCs w:val="19"/>
                <w:color w:val="auto"/>
                <w:w w:val="9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59" w:name="page60"/>
    <w:bookmarkEnd w:id="59"/>
    <w:p>
      <w:pPr>
        <w:ind w:left="317" w:hanging="317"/>
        <w:spacing w:after="0"/>
        <w:tabs>
          <w:tab w:leader="none" w:pos="226"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35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17"/>
          </w:cols>
          <w:pgMar w:left="323" w:top="105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Index</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Exhibit </w:t>
            </w:r>
            <w:r>
              <w:rPr>
                <w:rFonts w:ascii="Times New Roman" w:cs="Times New Roman" w:eastAsia="Times New Roman" w:hAnsi="Times New Roman"/>
                <w:sz w:val="17"/>
                <w:szCs w:val="17"/>
                <w:color w:val="0000FF"/>
              </w:rPr>
              <w:t>31.1</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Certification of Chief Executive Officer pursuant to Section 302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Exhibit </w:t>
            </w:r>
            <w:r>
              <w:rPr>
                <w:rFonts w:ascii="Times New Roman" w:cs="Times New Roman" w:eastAsia="Times New Roman" w:hAnsi="Times New Roman"/>
                <w:sz w:val="17"/>
                <w:szCs w:val="17"/>
                <w:color w:val="0000FF"/>
              </w:rPr>
              <w:t>31.2</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302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Exhibit </w:t>
            </w:r>
            <w:r>
              <w:rPr>
                <w:rFonts w:ascii="Times New Roman" w:cs="Times New Roman" w:eastAsia="Times New Roman" w:hAnsi="Times New Roman"/>
                <w:sz w:val="17"/>
                <w:szCs w:val="17"/>
                <w:color w:val="0000FF"/>
              </w:rPr>
              <w:t>32.1</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Certifications of Chief Executive Officer and Chief Financial Officer pursuant to Section 906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3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XBRL Instance Document - this instance document does not appear in the Interactive Data File because its XBRL tags are</w:t>
            </w:r>
          </w:p>
        </w:tc>
      </w:t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embedded within the Inline XBRL document.</w:t>
            </w:r>
          </w:p>
        </w:tc>
      </w:tr>
      <w:tr>
        <w:trPr>
          <w:trHeight w:val="280"/>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71"/>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71"/>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71"/>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71"/>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71"/>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104</w:t>
            </w:r>
          </w:p>
        </w:tc>
        <w:tc>
          <w:tcPr>
            <w:tcW w:w="9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279" w:right="759" w:bottom="1440" w:gutter="0" w:footer="0" w:header="0"/>
        </w:sectPr>
      </w:pPr>
    </w:p>
    <w:bookmarkStart w:id="61" w:name="page62"/>
    <w:bookmarkEnd w:id="61"/>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(Registrant)</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c>
          <w:tcPr>
            <w:tcW w:w="1000" w:type="dxa"/>
            <w:vAlign w:val="bottom"/>
            <w:tcBorders>
              <w:bottom w:val="single" w:sz="8" w:color="auto"/>
            </w:tcBorders>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 November 7, 2022</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Authorized Officer)</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812"/>
        </w:trPr>
        <w:tc>
          <w:tcPr>
            <w:tcW w:w="4580" w:type="dxa"/>
            <w:vAlign w:val="bottom"/>
          </w:tcPr>
          <w:p>
            <w:pPr>
              <w:spacing w:after="0"/>
              <w:rPr>
                <w:sz w:val="24"/>
                <w:szCs w:val="24"/>
                <w:color w:val="auto"/>
              </w:rPr>
            </w:pPr>
          </w:p>
        </w:tc>
        <w:tc>
          <w:tcPr>
            <w:tcW w:w="2960" w:type="dxa"/>
            <w:vAlign w:val="bottom"/>
            <w:gridSpan w:val="2"/>
          </w:tcPr>
          <w:p>
            <w:pPr>
              <w:jc w:val="right"/>
              <w:ind w:right="1754"/>
              <w:spacing w:after="0"/>
              <w:rPr>
                <w:sz w:val="20"/>
                <w:szCs w:val="20"/>
                <w:color w:val="auto"/>
              </w:rPr>
            </w:pPr>
            <w:r>
              <w:rPr>
                <w:rFonts w:ascii="Times New Roman" w:cs="Times New Roman" w:eastAsia="Times New Roman" w:hAnsi="Times New Roman"/>
                <w:sz w:val="17"/>
                <w:szCs w:val="17"/>
                <w:color w:val="auto"/>
              </w:rPr>
              <w:t>62</w:t>
            </w:r>
          </w:p>
        </w:tc>
      </w:tr>
    </w:tbl>
    <w:p>
      <w:pPr>
        <w:sectPr>
          <w:pgSz w:w="11900" w:h="16838" w:orient="portrait"/>
          <w:cols w:equalWidth="0" w:num="1">
            <w:col w:w="10500"/>
          </w:cols>
          <w:pgMar w:left="320" w:top="854" w:right="10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240" w:right="220" w:hanging="618"/>
        <w:spacing w:after="0" w:line="287"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240" w:hanging="618"/>
        <w:spacing w:after="0" w:line="270"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240" w:right="260" w:hanging="618"/>
        <w:spacing w:after="0" w:line="270" w:lineRule="auto"/>
        <w:tabs>
          <w:tab w:leader="none" w:pos="123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2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2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240" w:right="140" w:hanging="618"/>
        <w:spacing w:after="0" w:line="287"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240" w:right="160" w:hanging="618"/>
        <w:spacing w:after="0" w:line="287" w:lineRule="auto"/>
        <w:tabs>
          <w:tab w:leader="none" w:pos="123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618"/>
        <w:spacing w:after="0" w:line="276" w:lineRule="auto"/>
        <w:tabs>
          <w:tab w:leader="none" w:pos="122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40"/>
        <w:spacing w:after="0"/>
        <w:tabs>
          <w:tab w:leader="none" w:pos="6340" w:val="left"/>
        </w:tabs>
        <w:rPr>
          <w:sz w:val="20"/>
          <w:szCs w:val="20"/>
          <w:color w:val="auto"/>
        </w:rPr>
      </w:pPr>
      <w:r>
        <w:rPr>
          <w:rFonts w:ascii="Times New Roman" w:cs="Times New Roman" w:eastAsia="Times New Roman" w:hAnsi="Times New Roman"/>
          <w:sz w:val="17"/>
          <w:szCs w:val="17"/>
          <w:color w:val="auto"/>
        </w:rPr>
        <w:t>Date: November 7, 2022</w:t>
      </w:r>
      <w:r>
        <w:rPr>
          <w:sz w:val="20"/>
          <w:szCs w:val="20"/>
          <w:color w:val="auto"/>
        </w:rPr>
        <w:tab/>
      </w:r>
      <w:r>
        <w:rPr>
          <w:rFonts w:ascii="Times New Roman" w:cs="Times New Roman" w:eastAsia="Times New Roman" w:hAnsi="Times New Roman"/>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17145</wp:posOffset>
            </wp:positionV>
            <wp:extent cx="30943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wp:posOffset>
            </wp:positionV>
            <wp:extent cx="712216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080" w:right="160" w:hanging="535"/>
        <w:spacing w:after="0" w:line="270" w:lineRule="auto"/>
        <w:tabs>
          <w:tab w:leader="none" w:pos="10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080" w:right="80" w:hanging="535"/>
        <w:spacing w:after="0" w:line="287" w:lineRule="auto"/>
        <w:tabs>
          <w:tab w:leader="none" w:pos="112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080" w:right="160" w:hanging="535"/>
        <w:spacing w:after="0" w:line="270" w:lineRule="auto"/>
        <w:tabs>
          <w:tab w:leader="none" w:pos="10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080" w:right="420" w:hanging="535"/>
        <w:spacing w:after="0" w:line="270" w:lineRule="auto"/>
        <w:tabs>
          <w:tab w:leader="none" w:pos="107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080" w:right="860" w:hanging="535"/>
        <w:spacing w:after="0" w:line="287" w:lineRule="auto"/>
        <w:tabs>
          <w:tab w:leader="none" w:pos="107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080" w:hanging="535"/>
        <w:spacing w:after="0" w:line="287" w:lineRule="auto"/>
        <w:tabs>
          <w:tab w:leader="none" w:pos="112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080" w:right="320" w:hanging="535"/>
        <w:spacing w:after="0" w:line="287" w:lineRule="auto"/>
        <w:tabs>
          <w:tab w:leader="none" w:pos="10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080" w:right="280" w:hanging="535"/>
        <w:spacing w:after="0" w:line="287" w:lineRule="auto"/>
        <w:tabs>
          <w:tab w:leader="none" w:pos="106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880"/>
        <w:spacing w:after="0"/>
        <w:tabs>
          <w:tab w:leader="none" w:pos="5920" w:val="left"/>
        </w:tabs>
        <w:rPr>
          <w:sz w:val="20"/>
          <w:szCs w:val="20"/>
          <w:color w:val="auto"/>
        </w:rPr>
      </w:pPr>
      <w:r>
        <w:rPr>
          <w:rFonts w:ascii="Times New Roman" w:cs="Times New Roman" w:eastAsia="Times New Roman" w:hAnsi="Times New Roman"/>
          <w:sz w:val="17"/>
          <w:szCs w:val="17"/>
          <w:color w:val="auto"/>
        </w:rPr>
        <w:t>Date: November 7, 2022</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4410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4106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107315</wp:posOffset>
            </wp:positionV>
            <wp:extent cx="68059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September 30, 2022 as filed with the Securities and Exchange Commission on the date hereof (the “Report”), I, Vivek Jain, Chief Executive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49" w:lineRule="exact"/>
        <w:rPr>
          <w:sz w:val="20"/>
          <w:szCs w:val="20"/>
          <w:color w:val="auto"/>
        </w:rPr>
      </w:pPr>
    </w:p>
    <w:p>
      <w:pPr>
        <w:ind w:left="340"/>
        <w:spacing w:after="0"/>
        <w:tabs>
          <w:tab w:leader="none" w:pos="5700" w:val="left"/>
        </w:tabs>
        <w:rPr>
          <w:sz w:val="20"/>
          <w:szCs w:val="20"/>
          <w:color w:val="auto"/>
        </w:rPr>
      </w:pPr>
      <w:r>
        <w:rPr>
          <w:rFonts w:ascii="Times New Roman" w:cs="Times New Roman" w:eastAsia="Times New Roman" w:hAnsi="Times New Roman"/>
          <w:sz w:val="17"/>
          <w:szCs w:val="17"/>
          <w:color w:val="auto"/>
        </w:rPr>
        <w:t>November 7, 2022</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17145</wp:posOffset>
            </wp:positionV>
            <wp:extent cx="33153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Vivek Jain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September 30, 2022 as filed with the Securities and Exchange Commission on the date hereof (the “Report”), I, Brian M. Bonnell, Chief Financial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7"/>
          <w:szCs w:val="17"/>
          <w:color w:val="auto"/>
        </w:rPr>
        <w:t>November 7, 2022</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17145</wp:posOffset>
            </wp:positionV>
            <wp:extent cx="35039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wp:posOffset>
            </wp:positionV>
            <wp:extent cx="71221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2022-11-07T17:31:36Z</dcterms:created>
  <dcterms:modified xsi:type="dcterms:W3CDTF">2022-11-07T17:31:36Z</dcterms:modified>
</cp:coreProperties>
</file>