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5"/>
          <w:szCs w:val="15"/>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FORM 10-Q</w:t>
      </w:r>
    </w:p>
    <w:p>
      <w:pPr>
        <w:spacing w:after="0" w:line="176" w:lineRule="exact"/>
        <w:rPr>
          <w:sz w:val="24"/>
          <w:szCs w:val="24"/>
          <w:color w:val="auto"/>
        </w:rPr>
      </w:pPr>
    </w:p>
    <w:p>
      <w:pPr>
        <w:ind w:left="520" w:hanging="500"/>
        <w:spacing w:after="0"/>
        <w:tabs>
          <w:tab w:leader="none" w:pos="5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92"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5"/>
          <w:szCs w:val="15"/>
          <w:b w:val="1"/>
          <w:bCs w:val="1"/>
          <w:color w:val="auto"/>
        </w:rPr>
        <w:t>For the quarterly period ended: March 31, 2024</w:t>
      </w:r>
    </w:p>
    <w:p>
      <w:pPr>
        <w:spacing w:after="0" w:line="31"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39" w:lineRule="exact"/>
        <w:rPr>
          <w:sz w:val="24"/>
          <w:szCs w:val="24"/>
          <w:color w:val="auto"/>
        </w:rPr>
      </w:pPr>
    </w:p>
    <w:p>
      <w:pPr>
        <w:ind w:left="520" w:hanging="500"/>
        <w:spacing w:after="0"/>
        <w:tabs>
          <w:tab w:leader="none" w:pos="5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286" w:lineRule="exact"/>
        <w:rPr>
          <w:sz w:val="24"/>
          <w:szCs w:val="24"/>
          <w:color w:val="auto"/>
        </w:rPr>
      </w:pPr>
    </w:p>
    <w:tbl>
      <w:tblPr>
        <w:tblLayout w:type="fixed"/>
        <w:tblInd w:w="720" w:type="dxa"/>
        <w:tblCellMar>
          <w:top w:w="0" w:type="dxa"/>
          <w:left w:w="0" w:type="dxa"/>
          <w:bottom w:w="0" w:type="dxa"/>
          <w:right w:w="0" w:type="dxa"/>
        </w:tblCellMar>
      </w:tblPr>
      <w:tr>
        <w:trPr>
          <w:trHeight w:val="204"/>
        </w:trPr>
        <w:tc>
          <w:tcPr>
            <w:tcW w:w="6060" w:type="dxa"/>
            <w:vAlign w:val="bottom"/>
          </w:tcPr>
          <w:p>
            <w:pPr>
              <w:ind w:left="3540"/>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tc>
        <w:tc>
          <w:tcPr>
            <w:tcW w:w="224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to</w:t>
            </w:r>
          </w:p>
        </w:tc>
      </w:tr>
      <w:tr>
        <w:trPr>
          <w:trHeight w:val="361"/>
        </w:trPr>
        <w:tc>
          <w:tcPr>
            <w:tcW w:w="6060" w:type="dxa"/>
            <w:vAlign w:val="bottom"/>
          </w:tcPr>
          <w:p>
            <w:pPr>
              <w:jc w:val="center"/>
              <w:ind w:left="3663"/>
              <w:spacing w:after="0"/>
              <w:rPr>
                <w:sz w:val="20"/>
                <w:szCs w:val="20"/>
                <w:color w:val="auto"/>
              </w:rPr>
            </w:pPr>
            <w:r>
              <w:rPr>
                <w:rFonts w:ascii="Times New Roman" w:cs="Times New Roman" w:eastAsia="Times New Roman" w:hAnsi="Times New Roman"/>
                <w:sz w:val="15"/>
                <w:szCs w:val="15"/>
                <w:b w:val="1"/>
                <w:bCs w:val="1"/>
                <w:color w:val="auto"/>
              </w:rPr>
              <w:t>Commission File No.: 001-34634</w:t>
            </w:r>
          </w:p>
        </w:tc>
        <w:tc>
          <w:tcPr>
            <w:tcW w:w="2240" w:type="dxa"/>
            <w:vAlign w:val="bottom"/>
          </w:tcPr>
          <w:p>
            <w:pPr>
              <w:spacing w:after="0"/>
              <w:rPr>
                <w:sz w:val="24"/>
                <w:szCs w:val="24"/>
                <w:color w:val="auto"/>
              </w:rPr>
            </w:pPr>
          </w:p>
        </w:tc>
      </w:tr>
      <w:tr>
        <w:trPr>
          <w:trHeight w:val="277"/>
        </w:trPr>
        <w:tc>
          <w:tcPr>
            <w:tcW w:w="6060" w:type="dxa"/>
            <w:vAlign w:val="bottom"/>
          </w:tcPr>
          <w:p>
            <w:pPr>
              <w:jc w:val="center"/>
              <w:ind w:left="3703"/>
              <w:spacing w:after="0"/>
              <w:rPr>
                <w:sz w:val="20"/>
                <w:szCs w:val="20"/>
                <w:color w:val="auto"/>
              </w:rPr>
            </w:pPr>
            <w:r>
              <w:rPr>
                <w:rFonts w:ascii="Times New Roman" w:cs="Times New Roman" w:eastAsia="Times New Roman" w:hAnsi="Times New Roman"/>
                <w:sz w:val="15"/>
                <w:szCs w:val="15"/>
                <w:b w:val="1"/>
                <w:bCs w:val="1"/>
                <w:color w:val="auto"/>
              </w:rPr>
              <w:t>ICU MEDICAL, INC.</w:t>
            </w:r>
          </w:p>
        </w:tc>
        <w:tc>
          <w:tcPr>
            <w:tcW w:w="2240" w:type="dxa"/>
            <w:vAlign w:val="bottom"/>
          </w:tcPr>
          <w:p>
            <w:pPr>
              <w:spacing w:after="0"/>
              <w:rPr>
                <w:sz w:val="24"/>
                <w:szCs w:val="24"/>
                <w:color w:val="auto"/>
              </w:rPr>
            </w:pPr>
          </w:p>
        </w:tc>
      </w:tr>
      <w:tr>
        <w:trPr>
          <w:trHeight w:val="200"/>
        </w:trPr>
        <w:tc>
          <w:tcPr>
            <w:tcW w:w="8300" w:type="dxa"/>
            <w:vAlign w:val="bottom"/>
            <w:gridSpan w:val="2"/>
          </w:tcPr>
          <w:p>
            <w:pPr>
              <w:jc w:val="center"/>
              <w:ind w:left="1383"/>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tc>
      </w:tr>
      <w:tr>
        <w:trPr>
          <w:trHeight w:val="335"/>
        </w:trPr>
        <w:tc>
          <w:tcPr>
            <w:tcW w:w="6060" w:type="dxa"/>
            <w:vAlign w:val="bottom"/>
          </w:tcPr>
          <w:p>
            <w:pPr>
              <w:jc w:val="center"/>
              <w:ind w:right="1843"/>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2240" w:type="dxa"/>
            <w:vAlign w:val="bottom"/>
          </w:tcPr>
          <w:p>
            <w:pPr>
              <w:jc w:val="center"/>
              <w:ind w:left="1023"/>
              <w:spacing w:after="0"/>
              <w:rPr>
                <w:sz w:val="20"/>
                <w:szCs w:val="20"/>
                <w:color w:val="auto"/>
              </w:rPr>
            </w:pPr>
            <w:r>
              <w:rPr>
                <w:rFonts w:ascii="Times New Roman" w:cs="Times New Roman" w:eastAsia="Times New Roman" w:hAnsi="Times New Roman"/>
                <w:sz w:val="15"/>
                <w:szCs w:val="15"/>
                <w:b w:val="1"/>
                <w:bCs w:val="1"/>
                <w:color w:val="auto"/>
              </w:rPr>
              <w:t>33-0022692</w:t>
            </w:r>
          </w:p>
        </w:tc>
      </w:tr>
      <w:tr>
        <w:trPr>
          <w:trHeight w:val="206"/>
        </w:trPr>
        <w:tc>
          <w:tcPr>
            <w:tcW w:w="6060" w:type="dxa"/>
            <w:vAlign w:val="bottom"/>
          </w:tcPr>
          <w:p>
            <w:pPr>
              <w:jc w:val="center"/>
              <w:ind w:right="1823"/>
              <w:spacing w:after="0"/>
              <w:rPr>
                <w:sz w:val="20"/>
                <w:szCs w:val="20"/>
                <w:color w:val="auto"/>
              </w:rPr>
            </w:pPr>
            <w:r>
              <w:rPr>
                <w:rFonts w:ascii="Times New Roman" w:cs="Times New Roman" w:eastAsia="Times New Roman" w:hAnsi="Times New Roman"/>
                <w:sz w:val="15"/>
                <w:szCs w:val="15"/>
                <w:color w:val="auto"/>
              </w:rPr>
              <w:t>(State or other jurisdiction of</w:t>
            </w:r>
          </w:p>
        </w:tc>
        <w:tc>
          <w:tcPr>
            <w:tcW w:w="2240" w:type="dxa"/>
            <w:vAlign w:val="bottom"/>
          </w:tcPr>
          <w:p>
            <w:pPr>
              <w:jc w:val="center"/>
              <w:ind w:left="1023"/>
              <w:spacing w:after="0"/>
              <w:rPr>
                <w:sz w:val="20"/>
                <w:szCs w:val="20"/>
                <w:color w:val="auto"/>
              </w:rPr>
            </w:pPr>
            <w:r>
              <w:rPr>
                <w:rFonts w:ascii="Times New Roman" w:cs="Times New Roman" w:eastAsia="Times New Roman" w:hAnsi="Times New Roman"/>
                <w:sz w:val="15"/>
                <w:szCs w:val="15"/>
                <w:color w:val="auto"/>
              </w:rPr>
              <w:t>(I.R.S. Employer</w:t>
            </w:r>
          </w:p>
        </w:tc>
      </w:tr>
      <w:tr>
        <w:trPr>
          <w:trHeight w:val="206"/>
        </w:trPr>
        <w:tc>
          <w:tcPr>
            <w:tcW w:w="6060" w:type="dxa"/>
            <w:vAlign w:val="bottom"/>
          </w:tcPr>
          <w:p>
            <w:pPr>
              <w:jc w:val="center"/>
              <w:ind w:right="1843"/>
              <w:spacing w:after="0"/>
              <w:rPr>
                <w:sz w:val="20"/>
                <w:szCs w:val="20"/>
                <w:color w:val="auto"/>
              </w:rPr>
            </w:pPr>
            <w:r>
              <w:rPr>
                <w:rFonts w:ascii="Times New Roman" w:cs="Times New Roman" w:eastAsia="Times New Roman" w:hAnsi="Times New Roman"/>
                <w:sz w:val="15"/>
                <w:szCs w:val="15"/>
                <w:color w:val="auto"/>
              </w:rPr>
              <w:t>incorporation or organization)</w:t>
            </w:r>
          </w:p>
        </w:tc>
        <w:tc>
          <w:tcPr>
            <w:tcW w:w="2240" w:type="dxa"/>
            <w:vAlign w:val="bottom"/>
          </w:tcPr>
          <w:p>
            <w:pPr>
              <w:jc w:val="center"/>
              <w:ind w:left="1023"/>
              <w:spacing w:after="0"/>
              <w:rPr>
                <w:sz w:val="20"/>
                <w:szCs w:val="20"/>
                <w:color w:val="auto"/>
              </w:rPr>
            </w:pPr>
            <w:r>
              <w:rPr>
                <w:rFonts w:ascii="Times New Roman" w:cs="Times New Roman" w:eastAsia="Times New Roman" w:hAnsi="Times New Roman"/>
                <w:sz w:val="15"/>
                <w:szCs w:val="15"/>
                <w:color w:val="auto"/>
              </w:rPr>
              <w:t>Identification No.)</w:t>
            </w:r>
          </w:p>
        </w:tc>
      </w:tr>
      <w:tr>
        <w:trPr>
          <w:trHeight w:val="413"/>
        </w:trPr>
        <w:tc>
          <w:tcPr>
            <w:tcW w:w="60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951 Calle Amanecer ,   San Clemente   , California</w:t>
            </w:r>
          </w:p>
        </w:tc>
        <w:tc>
          <w:tcPr>
            <w:tcW w:w="2240" w:type="dxa"/>
            <w:vAlign w:val="bottom"/>
          </w:tcPr>
          <w:p>
            <w:pPr>
              <w:jc w:val="center"/>
              <w:ind w:left="1063"/>
              <w:spacing w:after="0"/>
              <w:rPr>
                <w:sz w:val="20"/>
                <w:szCs w:val="20"/>
                <w:color w:val="auto"/>
              </w:rPr>
            </w:pPr>
            <w:r>
              <w:rPr>
                <w:rFonts w:ascii="Times New Roman" w:cs="Times New Roman" w:eastAsia="Times New Roman" w:hAnsi="Times New Roman"/>
                <w:sz w:val="15"/>
                <w:szCs w:val="15"/>
                <w:b w:val="1"/>
                <w:bCs w:val="1"/>
                <w:color w:val="auto"/>
              </w:rPr>
              <w:t>92673</w:t>
            </w:r>
          </w:p>
        </w:tc>
      </w:tr>
      <w:tr>
        <w:trPr>
          <w:trHeight w:val="206"/>
        </w:trPr>
        <w:tc>
          <w:tcPr>
            <w:tcW w:w="6060" w:type="dxa"/>
            <w:vAlign w:val="bottom"/>
          </w:tcPr>
          <w:p>
            <w:pPr>
              <w:jc w:val="center"/>
              <w:ind w:right="1803"/>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2240" w:type="dxa"/>
            <w:vAlign w:val="bottom"/>
          </w:tcPr>
          <w:p>
            <w:pPr>
              <w:jc w:val="center"/>
              <w:ind w:left="1043"/>
              <w:spacing w:after="0"/>
              <w:rPr>
                <w:sz w:val="20"/>
                <w:szCs w:val="20"/>
                <w:color w:val="auto"/>
              </w:rPr>
            </w:pPr>
            <w:r>
              <w:rPr>
                <w:rFonts w:ascii="Times New Roman" w:cs="Times New Roman" w:eastAsia="Times New Roman" w:hAnsi="Times New Roman"/>
                <w:sz w:val="15"/>
                <w:szCs w:val="15"/>
                <w:color w:val="auto"/>
              </w:rPr>
              <w:t>(Zip Code)</w:t>
            </w:r>
          </w:p>
        </w:tc>
      </w:tr>
    </w:tbl>
    <w:p>
      <w:pPr>
        <w:spacing w:after="0" w:line="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(949) 366-2183</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N/A</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(Former name, former address and former fiscal year, if changed since last report)</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4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2240" w:type="dxa"/>
            <w:vAlign w:val="bottom"/>
          </w:tcPr>
          <w:p>
            <w:pPr>
              <w:spacing w:after="0"/>
              <w:rPr>
                <w:sz w:val="17"/>
                <w:szCs w:val="17"/>
                <w:color w:val="auto"/>
              </w:rPr>
            </w:pPr>
          </w:p>
        </w:tc>
        <w:tc>
          <w:tcPr>
            <w:tcW w:w="4380" w:type="dxa"/>
            <w:vAlign w:val="bottom"/>
          </w:tcPr>
          <w:p>
            <w:pPr>
              <w:spacing w:after="0"/>
              <w:rPr>
                <w:sz w:val="17"/>
                <w:szCs w:val="17"/>
                <w:color w:val="auto"/>
              </w:rPr>
            </w:pPr>
          </w:p>
        </w:tc>
      </w:tr>
      <w:tr>
        <w:trPr>
          <w:trHeight w:val="312"/>
        </w:trPr>
        <w:tc>
          <w:tcPr>
            <w:tcW w:w="340" w:type="dxa"/>
            <w:vAlign w:val="bottom"/>
          </w:tcPr>
          <w:p>
            <w:pPr>
              <w:spacing w:after="0"/>
              <w:rPr>
                <w:sz w:val="24"/>
                <w:szCs w:val="24"/>
                <w:color w:val="auto"/>
              </w:rPr>
            </w:pPr>
          </w:p>
        </w:tc>
        <w:tc>
          <w:tcPr>
            <w:tcW w:w="4280" w:type="dxa"/>
            <w:vAlign w:val="bottom"/>
            <w:tcBorders>
              <w:bottom w:val="single" w:sz="8" w:color="auto"/>
            </w:tcBorders>
          </w:tcPr>
          <w:p>
            <w:pPr>
              <w:jc w:val="center"/>
              <w:ind w:left="383"/>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240" w:type="dxa"/>
            <w:vAlign w:val="bottom"/>
            <w:tcBorders>
              <w:bottom w:val="single" w:sz="8" w:color="auto"/>
            </w:tcBorders>
          </w:tcPr>
          <w:p>
            <w:pPr>
              <w:jc w:val="center"/>
              <w:ind w:left="3"/>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4380" w:type="dxa"/>
            <w:vAlign w:val="bottom"/>
            <w:tcBorders>
              <w:bottom w:val="single" w:sz="8" w:color="auto"/>
            </w:tcBorders>
          </w:tcPr>
          <w:p>
            <w:pPr>
              <w:jc w:val="center"/>
              <w:ind w:right="323"/>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22"/>
        </w:trPr>
        <w:tc>
          <w:tcPr>
            <w:tcW w:w="3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380" w:type="dxa"/>
            <w:vAlign w:val="bottom"/>
          </w:tcPr>
          <w:p>
            <w:pPr>
              <w:jc w:val="center"/>
              <w:ind w:right="323"/>
              <w:spacing w:after="0"/>
              <w:rPr>
                <w:sz w:val="20"/>
                <w:szCs w:val="20"/>
                <w:color w:val="auto"/>
              </w:rPr>
            </w:pPr>
            <w:r>
              <w:rPr>
                <w:rFonts w:ascii="Times New Roman" w:cs="Times New Roman" w:eastAsia="Times New Roman" w:hAnsi="Times New Roman"/>
                <w:sz w:val="15"/>
                <w:szCs w:val="15"/>
                <w:color w:val="auto"/>
              </w:rPr>
              <w:t>The Nasdaq Stock Market LLC</w:t>
            </w:r>
          </w:p>
        </w:tc>
      </w:tr>
      <w:tr>
        <w:trPr>
          <w:trHeight w:val="245"/>
        </w:trPr>
        <w:tc>
          <w:tcPr>
            <w:tcW w:w="340" w:type="dxa"/>
            <w:vAlign w:val="bottom"/>
          </w:tcPr>
          <w:p>
            <w:pPr>
              <w:spacing w:after="0"/>
              <w:rPr>
                <w:sz w:val="21"/>
                <w:szCs w:val="21"/>
                <w:color w:val="auto"/>
              </w:rPr>
            </w:pPr>
          </w:p>
        </w:tc>
        <w:tc>
          <w:tcPr>
            <w:tcW w:w="4280" w:type="dxa"/>
            <w:vAlign w:val="bottom"/>
          </w:tcPr>
          <w:p>
            <w:pPr>
              <w:jc w:val="center"/>
              <w:ind w:left="383"/>
              <w:spacing w:after="0"/>
              <w:rPr>
                <w:sz w:val="20"/>
                <w:szCs w:val="20"/>
                <w:color w:val="auto"/>
              </w:rPr>
            </w:pPr>
            <w:r>
              <w:rPr>
                <w:rFonts w:ascii="Times New Roman" w:cs="Times New Roman" w:eastAsia="Times New Roman" w:hAnsi="Times New Roman"/>
                <w:sz w:val="15"/>
                <w:szCs w:val="15"/>
                <w:color w:val="auto"/>
              </w:rPr>
              <w:t>Common stock, par value $0.10 per share</w:t>
            </w:r>
          </w:p>
        </w:tc>
        <w:tc>
          <w:tcPr>
            <w:tcW w:w="2240" w:type="dxa"/>
            <w:vAlign w:val="bottom"/>
          </w:tcPr>
          <w:p>
            <w:pPr>
              <w:jc w:val="center"/>
              <w:ind w:left="3"/>
              <w:spacing w:after="0"/>
              <w:rPr>
                <w:sz w:val="20"/>
                <w:szCs w:val="20"/>
                <w:color w:val="auto"/>
              </w:rPr>
            </w:pPr>
            <w:r>
              <w:rPr>
                <w:rFonts w:ascii="Times New Roman" w:cs="Times New Roman" w:eastAsia="Times New Roman" w:hAnsi="Times New Roman"/>
                <w:sz w:val="15"/>
                <w:szCs w:val="15"/>
                <w:color w:val="auto"/>
              </w:rPr>
              <w:t>ICUI</w:t>
            </w:r>
          </w:p>
        </w:tc>
        <w:tc>
          <w:tcPr>
            <w:tcW w:w="4380" w:type="dxa"/>
            <w:vAlign w:val="bottom"/>
          </w:tcPr>
          <w:p>
            <w:pPr>
              <w:jc w:val="center"/>
              <w:ind w:right="323"/>
              <w:spacing w:after="0"/>
              <w:rPr>
                <w:sz w:val="20"/>
                <w:szCs w:val="20"/>
                <w:color w:val="auto"/>
              </w:rPr>
            </w:pPr>
            <w:r>
              <w:rPr>
                <w:rFonts w:ascii="Times New Roman" w:cs="Times New Roman" w:eastAsia="Times New Roman" w:hAnsi="Times New Roman"/>
                <w:sz w:val="15"/>
                <w:szCs w:val="15"/>
                <w:color w:val="auto"/>
              </w:rPr>
              <w:t>(Global Select Market)</w:t>
            </w:r>
          </w:p>
        </w:tc>
      </w:tr>
    </w:tbl>
    <w:p>
      <w:pPr>
        <w:spacing w:after="0" w:line="264" w:lineRule="exact"/>
        <w:rPr>
          <w:sz w:val="24"/>
          <w:szCs w:val="24"/>
          <w:color w:val="auto"/>
        </w:rPr>
      </w:pPr>
    </w:p>
    <w:p>
      <w:pPr>
        <w:jc w:val="both"/>
        <w:ind w:right="20" w:firstLine="309"/>
        <w:spacing w:after="0" w:line="289"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p>
    <w:p>
      <w:pPr>
        <w:spacing w:after="0" w:line="139" w:lineRule="exact"/>
        <w:rPr>
          <w:sz w:val="24"/>
          <w:szCs w:val="24"/>
          <w:color w:val="auto"/>
        </w:rPr>
      </w:pPr>
    </w:p>
    <w:p>
      <w:pPr>
        <w:ind w:right="580" w:firstLine="309"/>
        <w:spacing w:after="0" w:line="289"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p>
    <w:p>
      <w:pPr>
        <w:spacing w:after="0" w:line="139" w:lineRule="exact"/>
        <w:rPr>
          <w:sz w:val="24"/>
          <w:szCs w:val="24"/>
          <w:color w:val="auto"/>
        </w:rPr>
      </w:pPr>
    </w:p>
    <w:p>
      <w:pPr>
        <w:ind w:right="340" w:firstLine="309"/>
        <w:spacing w:after="0" w:line="289"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 w:lineRule="exact"/>
        <w:rPr>
          <w:sz w:val="24"/>
          <w:szCs w:val="24"/>
          <w:color w:val="auto"/>
        </w:rPr>
      </w:pPr>
    </w:p>
    <w:tbl>
      <w:tblPr>
        <w:tblLayout w:type="fixed"/>
        <w:tblInd w:w="840" w:type="dxa"/>
        <w:tblCellMar>
          <w:top w:w="0" w:type="dxa"/>
          <w:left w:w="0" w:type="dxa"/>
          <w:bottom w:w="0" w:type="dxa"/>
          <w:right w:w="0" w:type="dxa"/>
        </w:tblCellMar>
      </w:tblPr>
      <w:tr>
        <w:trPr>
          <w:trHeight w:val="271"/>
        </w:trPr>
        <w:tc>
          <w:tcPr>
            <w:tcW w:w="2020" w:type="dxa"/>
            <w:vAlign w:val="bottom"/>
          </w:tcPr>
          <w:p>
            <w:pPr>
              <w:jc w:val="center"/>
              <w:ind w:right="543"/>
              <w:spacing w:after="0"/>
              <w:rPr>
                <w:sz w:val="20"/>
                <w:szCs w:val="20"/>
                <w:color w:val="auto"/>
              </w:rPr>
            </w:pPr>
            <w:r>
              <w:rPr>
                <w:rFonts w:ascii="Times New Roman" w:cs="Times New Roman" w:eastAsia="Times New Roman" w:hAnsi="Times New Roman"/>
                <w:sz w:val="15"/>
                <w:szCs w:val="15"/>
                <w:color w:val="auto"/>
              </w:rPr>
              <w:t>Large accelerated filer</w:t>
            </w:r>
          </w:p>
        </w:tc>
        <w:tc>
          <w:tcPr>
            <w:tcW w:w="2740" w:type="dxa"/>
            <w:vAlign w:val="bottom"/>
          </w:tcPr>
          <w:p>
            <w:pPr>
              <w:ind w:left="620"/>
              <w:spacing w:after="0"/>
              <w:rPr>
                <w:sz w:val="20"/>
                <w:szCs w:val="20"/>
                <w:color w:val="auto"/>
              </w:rPr>
            </w:pPr>
            <w:r>
              <w:rPr>
                <w:rFonts w:ascii="Wingdings" w:cs="Wingdings" w:eastAsia="Wingdings" w:hAnsi="Wingdings"/>
                <w:sz w:val="15"/>
                <w:szCs w:val="15"/>
                <w:b w:val="1"/>
                <w:bCs w:val="1"/>
                <w:color w:val="auto"/>
              </w:rPr>
              <w:t>x</w:t>
            </w:r>
          </w:p>
        </w:tc>
        <w:tc>
          <w:tcPr>
            <w:tcW w:w="4380" w:type="dxa"/>
            <w:vAlign w:val="bottom"/>
          </w:tcPr>
          <w:p>
            <w:pPr>
              <w:jc w:val="center"/>
              <w:ind w:left="1143"/>
              <w:spacing w:after="0"/>
              <w:rPr>
                <w:sz w:val="20"/>
                <w:szCs w:val="20"/>
                <w:color w:val="auto"/>
              </w:rPr>
            </w:pPr>
            <w:r>
              <w:rPr>
                <w:rFonts w:ascii="Times New Roman" w:cs="Times New Roman" w:eastAsia="Times New Roman" w:hAnsi="Times New Roman"/>
                <w:sz w:val="15"/>
                <w:szCs w:val="15"/>
                <w:color w:val="auto"/>
              </w:rPr>
              <w:t>Accelerated filer</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2020" w:type="dxa"/>
            <w:vAlign w:val="bottom"/>
          </w:tcPr>
          <w:p>
            <w:pPr>
              <w:jc w:val="center"/>
              <w:ind w:right="543"/>
              <w:spacing w:after="0"/>
              <w:rPr>
                <w:sz w:val="20"/>
                <w:szCs w:val="20"/>
                <w:color w:val="auto"/>
              </w:rPr>
            </w:pPr>
            <w:r>
              <w:rPr>
                <w:rFonts w:ascii="Times New Roman" w:cs="Times New Roman" w:eastAsia="Times New Roman" w:hAnsi="Times New Roman"/>
                <w:sz w:val="15"/>
                <w:szCs w:val="15"/>
                <w:color w:val="auto"/>
              </w:rPr>
              <w:t>Non-accelerated filer</w:t>
            </w:r>
          </w:p>
        </w:tc>
        <w:tc>
          <w:tcPr>
            <w:tcW w:w="2740" w:type="dxa"/>
            <w:vAlign w:val="bottom"/>
          </w:tcPr>
          <w:p>
            <w:pPr>
              <w:ind w:left="620"/>
              <w:spacing w:after="0" w:line="171" w:lineRule="exact"/>
              <w:rPr>
                <w:sz w:val="20"/>
                <w:szCs w:val="20"/>
                <w:color w:val="auto"/>
              </w:rPr>
            </w:pPr>
            <w:r>
              <w:rPr>
                <w:rFonts w:ascii="MS PGothic" w:cs="MS PGothic" w:eastAsia="MS PGothic" w:hAnsi="MS PGothic"/>
                <w:sz w:val="17"/>
                <w:szCs w:val="17"/>
                <w:color w:val="auto"/>
              </w:rPr>
              <w:t>☐</w:t>
            </w:r>
          </w:p>
        </w:tc>
        <w:tc>
          <w:tcPr>
            <w:tcW w:w="4380" w:type="dxa"/>
            <w:vAlign w:val="bottom"/>
          </w:tcPr>
          <w:p>
            <w:pPr>
              <w:jc w:val="center"/>
              <w:ind w:left="1123"/>
              <w:spacing w:after="0"/>
              <w:rPr>
                <w:sz w:val="20"/>
                <w:szCs w:val="20"/>
                <w:color w:val="auto"/>
              </w:rPr>
            </w:pPr>
            <w:r>
              <w:rPr>
                <w:rFonts w:ascii="Times New Roman" w:cs="Times New Roman" w:eastAsia="Times New Roman" w:hAnsi="Times New Roman"/>
                <w:sz w:val="15"/>
                <w:szCs w:val="15"/>
                <w:color w:val="auto"/>
              </w:rPr>
              <w:t>Smaller reporting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9"/>
        </w:trPr>
        <w:tc>
          <w:tcPr>
            <w:tcW w:w="2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380" w:type="dxa"/>
            <w:vAlign w:val="bottom"/>
          </w:tcPr>
          <w:p>
            <w:pPr>
              <w:jc w:val="center"/>
              <w:ind w:left="1143"/>
              <w:spacing w:after="0"/>
              <w:rPr>
                <w:sz w:val="20"/>
                <w:szCs w:val="20"/>
                <w:color w:val="auto"/>
              </w:rPr>
            </w:pPr>
            <w:r>
              <w:rPr>
                <w:rFonts w:ascii="Times New Roman" w:cs="Times New Roman" w:eastAsia="Times New Roman" w:hAnsi="Times New Roman"/>
                <w:sz w:val="15"/>
                <w:szCs w:val="15"/>
                <w:color w:val="auto"/>
              </w:rPr>
              <w:t>Emerging growth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52" w:lineRule="exact"/>
        <w:rPr>
          <w:sz w:val="24"/>
          <w:szCs w:val="24"/>
          <w:color w:val="auto"/>
        </w:rPr>
      </w:pPr>
    </w:p>
    <w:p>
      <w:pPr>
        <w:ind w:right="140" w:firstLine="348"/>
        <w:spacing w:after="0" w:line="289"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146" w:lineRule="exact"/>
        <w:rPr>
          <w:sz w:val="24"/>
          <w:szCs w:val="24"/>
          <w:color w:val="auto"/>
        </w:rPr>
      </w:pPr>
    </w:p>
    <w:p>
      <w:pPr>
        <w:ind w:left="320"/>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x</w:t>
      </w:r>
    </w:p>
    <w:p>
      <w:pPr>
        <w:spacing w:after="0" w:line="37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5"/>
          <w:szCs w:val="15"/>
          <w:color w:val="auto"/>
        </w:rPr>
        <w:t>Indicate the number of shares outstanding of each of the issuer’s classes of common stock, as of the latest practicable date:</w:t>
      </w:r>
    </w:p>
    <w:p>
      <w:pPr>
        <w:spacing w:after="0" w:line="31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Class</w:t>
            </w:r>
          </w:p>
        </w:tc>
        <w:tc>
          <w:tcPr>
            <w:tcW w:w="1380" w:type="dxa"/>
            <w:vAlign w:val="bottom"/>
          </w:tcPr>
          <w:p>
            <w:pPr>
              <w:spacing w:after="0"/>
              <w:rPr>
                <w:sz w:val="17"/>
                <w:szCs w:val="17"/>
                <w:color w:val="auto"/>
              </w:rPr>
            </w:pPr>
          </w:p>
        </w:tc>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Outstanding at April 30, 2024</w:t>
            </w:r>
          </w:p>
        </w:tc>
        <w:tc>
          <w:tcPr>
            <w:tcW w:w="16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6140" w:type="dxa"/>
            <w:vAlign w:val="bottom"/>
            <w:gridSpan w:val="2"/>
          </w:tcPr>
          <w:p>
            <w:pPr>
              <w:jc w:val="center"/>
              <w:ind w:right="1400"/>
              <w:spacing w:after="0"/>
              <w:rPr>
                <w:sz w:val="20"/>
                <w:szCs w:val="20"/>
                <w:color w:val="auto"/>
              </w:rPr>
            </w:pPr>
            <w:r>
              <w:rPr>
                <w:rFonts w:ascii="Times New Roman" w:cs="Times New Roman" w:eastAsia="Times New Roman" w:hAnsi="Times New Roman"/>
                <w:sz w:val="15"/>
                <w:szCs w:val="15"/>
                <w:color w:val="auto"/>
              </w:rPr>
              <w:t>Common</w:t>
            </w:r>
          </w:p>
        </w:tc>
        <w:tc>
          <w:tcPr>
            <w:tcW w:w="4760" w:type="dxa"/>
            <w:vAlign w:val="bottom"/>
          </w:tcPr>
          <w:p>
            <w:pPr>
              <w:jc w:val="right"/>
              <w:ind w:right="1963"/>
              <w:spacing w:after="0"/>
              <w:rPr>
                <w:sz w:val="20"/>
                <w:szCs w:val="20"/>
                <w:color w:val="auto"/>
              </w:rPr>
            </w:pPr>
            <w:r>
              <w:rPr>
                <w:rFonts w:ascii="Times New Roman" w:cs="Times New Roman" w:eastAsia="Times New Roman" w:hAnsi="Times New Roman"/>
                <w:sz w:val="15"/>
                <w:szCs w:val="15"/>
                <w:color w:val="auto"/>
              </w:rPr>
              <w:t>24,365,990</w:t>
            </w:r>
          </w:p>
        </w:tc>
        <w:tc>
          <w:tcPr>
            <w:tcW w:w="160" w:type="dxa"/>
            <w:vAlign w:val="bottom"/>
          </w:tcPr>
          <w:p>
            <w:pPr>
              <w:spacing w:after="0"/>
              <w:rPr>
                <w:sz w:val="17"/>
                <w:szCs w:val="17"/>
                <w:color w:val="auto"/>
              </w:rPr>
            </w:pPr>
          </w:p>
        </w:tc>
      </w:tr>
      <w:tr>
        <w:trPr>
          <w:trHeight w:val="875"/>
        </w:trPr>
        <w:tc>
          <w:tcPr>
            <w:tcW w:w="1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2024</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40" w:type="dxa"/>
            <w:vAlign w:val="bottom"/>
          </w:tcPr>
          <w:p>
            <w:pPr>
              <w:spacing w:after="0"/>
              <w:rPr>
                <w:sz w:val="15"/>
                <w:szCs w:val="15"/>
                <w:color w:val="auto"/>
              </w:rPr>
            </w:pPr>
          </w:p>
        </w:tc>
        <w:tc>
          <w:tcPr>
            <w:tcW w:w="15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Page Number</w:t>
            </w: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Forward Looking Statements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188"/>
        </w:trPr>
        <w:tc>
          <w:tcPr>
            <w:tcW w:w="40" w:type="dxa"/>
            <w:vAlign w:val="bottom"/>
          </w:tcPr>
          <w:p>
            <w:pPr>
              <w:spacing w:after="0"/>
              <w:rPr>
                <w:sz w:val="16"/>
                <w:szCs w:val="16"/>
                <w:color w:val="auto"/>
              </w:rPr>
            </w:pPr>
          </w:p>
        </w:tc>
        <w:tc>
          <w:tcPr>
            <w:tcW w:w="600" w:type="dxa"/>
            <w:vAlign w:val="bottom"/>
            <w:tcBorders>
              <w:bottom w:val="single" w:sz="8" w:color="auto"/>
            </w:tcBorders>
          </w:tcPr>
          <w:p>
            <w:pPr>
              <w:spacing w:after="0" w:line="188" w:lineRule="exact"/>
              <w:rPr>
                <w:sz w:val="20"/>
                <w:szCs w:val="20"/>
                <w:color w:val="auto"/>
              </w:rPr>
            </w:pPr>
            <w:r>
              <w:rPr>
                <w:rFonts w:ascii="Times New Roman" w:cs="Times New Roman" w:eastAsia="Times New Roman" w:hAnsi="Times New Roman"/>
                <w:sz w:val="17"/>
                <w:szCs w:val="17"/>
                <w:b w:val="1"/>
                <w:bCs w:val="1"/>
                <w:color w:val="auto"/>
                <w:w w:val="94"/>
              </w:rPr>
              <w:t>PART I.</w:t>
            </w:r>
          </w:p>
        </w:tc>
        <w:tc>
          <w:tcPr>
            <w:tcW w:w="640" w:type="dxa"/>
            <w:vAlign w:val="bottom"/>
            <w:gridSpan w:val="2"/>
          </w:tcPr>
          <w:p>
            <w:pPr>
              <w:spacing w:after="0"/>
              <w:rPr>
                <w:sz w:val="16"/>
                <w:szCs w:val="16"/>
                <w:color w:val="auto"/>
              </w:rPr>
            </w:pPr>
          </w:p>
        </w:tc>
        <w:tc>
          <w:tcPr>
            <w:tcW w:w="8440" w:type="dxa"/>
            <w:vAlign w:val="bottom"/>
          </w:tcPr>
          <w:p>
            <w:pPr>
              <w:ind w:left="580"/>
              <w:spacing w:after="0" w:line="188" w:lineRule="exact"/>
              <w:rPr>
                <w:sz w:val="20"/>
                <w:szCs w:val="20"/>
                <w:color w:val="auto"/>
              </w:rPr>
            </w:pPr>
            <w:r>
              <w:rPr>
                <w:rFonts w:ascii="Times New Roman" w:cs="Times New Roman" w:eastAsia="Times New Roman" w:hAnsi="Times New Roman"/>
                <w:sz w:val="17"/>
                <w:szCs w:val="17"/>
                <w:b w:val="1"/>
                <w:bCs w:val="1"/>
                <w:color w:val="auto"/>
              </w:rPr>
              <w:t>Financial Information</w:t>
            </w:r>
          </w:p>
        </w:tc>
        <w:tc>
          <w:tcPr>
            <w:tcW w:w="1520" w:type="dxa"/>
            <w:vAlign w:val="bottom"/>
          </w:tcPr>
          <w:p>
            <w:pPr>
              <w:spacing w:after="0"/>
              <w:rPr>
                <w:sz w:val="16"/>
                <w:szCs w:val="16"/>
                <w:color w:val="auto"/>
              </w:rPr>
            </w:pPr>
          </w:p>
        </w:tc>
      </w:tr>
      <w:tr>
        <w:trPr>
          <w:trHeight w:val="238"/>
        </w:trPr>
        <w:tc>
          <w:tcPr>
            <w:tcW w:w="4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1.</w:t>
            </w:r>
          </w:p>
        </w:tc>
        <w:tc>
          <w:tcPr>
            <w:tcW w:w="8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Financial Statements (Unaudited)</w:t>
            </w:r>
          </w:p>
        </w:tc>
        <w:tc>
          <w:tcPr>
            <w:tcW w:w="1520" w:type="dxa"/>
            <w:vAlign w:val="bottom"/>
          </w:tcPr>
          <w:p>
            <w:pPr>
              <w:spacing w:after="0"/>
              <w:rPr>
                <w:sz w:val="20"/>
                <w:szCs w:val="20"/>
                <w:color w:val="auto"/>
              </w:rPr>
            </w:pPr>
          </w:p>
        </w:tc>
      </w:tr>
      <w:tr>
        <w:trPr>
          <w:trHeight w:val="438"/>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Condensed Consolidated Balance Sheets at March 31, 2024 and December 31, 2023</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438"/>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Condensed Consolidated Statements of Operations for the Three Months Ended March 31, 2024 and 2023</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386"/>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Condensed Consolidated Statements of Comprehensive (Loss) Income for the Three Months Ended</w:t>
            </w:r>
          </w:p>
        </w:tc>
        <w:tc>
          <w:tcPr>
            <w:tcW w:w="1520" w:type="dxa"/>
            <w:vAlign w:val="bottom"/>
          </w:tcPr>
          <w:p>
            <w:pPr>
              <w:spacing w:after="0"/>
              <w:rPr>
                <w:sz w:val="24"/>
                <w:szCs w:val="24"/>
                <w:color w:val="auto"/>
              </w:rPr>
            </w:pPr>
          </w:p>
        </w:tc>
      </w:tr>
      <w:tr>
        <w:trPr>
          <w:trHeight w:val="232"/>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March 31, 2024 and 2023</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9"/>
        </w:trPr>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Condensed Consolidated Statements of Stockholders' Equity for the Three Months Ended March 31, 2024</w:t>
            </w:r>
          </w:p>
        </w:tc>
        <w:tc>
          <w:tcPr>
            <w:tcW w:w="1520" w:type="dxa"/>
            <w:vAlign w:val="bottom"/>
          </w:tcPr>
          <w:p>
            <w:pPr>
              <w:spacing w:after="0"/>
              <w:rPr>
                <w:sz w:val="19"/>
                <w:szCs w:val="19"/>
                <w:color w:val="auto"/>
              </w:rPr>
            </w:pPr>
          </w:p>
        </w:tc>
      </w:tr>
      <w:tr>
        <w:trPr>
          <w:trHeight w:val="232"/>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and 2023</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71"/>
        </w:trPr>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Condensed Consolidated Statements of Cash Flows for the Three Months Ended March 31, 2024 and 2023</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71"/>
        </w:trPr>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Notes to Condensed Consolidated Financial Statements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71"/>
        </w:trPr>
        <w:tc>
          <w:tcPr>
            <w:tcW w:w="4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2.</w:t>
            </w:r>
          </w:p>
        </w:tc>
        <w:tc>
          <w:tcPr>
            <w:tcW w:w="8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71"/>
        </w:trPr>
        <w:tc>
          <w:tcPr>
            <w:tcW w:w="4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3.</w:t>
            </w:r>
          </w:p>
        </w:tc>
        <w:tc>
          <w:tcPr>
            <w:tcW w:w="8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71"/>
        </w:trPr>
        <w:tc>
          <w:tcPr>
            <w:tcW w:w="4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4.</w:t>
            </w:r>
          </w:p>
        </w:tc>
        <w:tc>
          <w:tcPr>
            <w:tcW w:w="8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Controls and Procedures</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32"/>
        </w:trPr>
        <w:tc>
          <w:tcPr>
            <w:tcW w:w="4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8440" w:type="dxa"/>
            <w:vAlign w:val="bottom"/>
          </w:tcPr>
          <w:p>
            <w:pPr>
              <w:ind w:left="580"/>
              <w:spacing w:after="0"/>
              <w:rPr>
                <w:sz w:val="20"/>
                <w:szCs w:val="20"/>
                <w:color w:val="auto"/>
              </w:rPr>
            </w:pPr>
            <w:r>
              <w:rPr>
                <w:rFonts w:ascii="Times New Roman" w:cs="Times New Roman" w:eastAsia="Times New Roman" w:hAnsi="Times New Roman"/>
                <w:sz w:val="17"/>
                <w:szCs w:val="17"/>
                <w:b w:val="1"/>
                <w:bCs w:val="1"/>
                <w:color w:val="auto"/>
              </w:rPr>
              <w:t>Other Information</w:t>
            </w:r>
          </w:p>
        </w:tc>
        <w:tc>
          <w:tcPr>
            <w:tcW w:w="1520" w:type="dxa"/>
            <w:vAlign w:val="bottom"/>
          </w:tcPr>
          <w:p>
            <w:pPr>
              <w:spacing w:after="0"/>
              <w:rPr>
                <w:sz w:val="20"/>
                <w:szCs w:val="20"/>
                <w:color w:val="auto"/>
              </w:rPr>
            </w:pPr>
          </w:p>
        </w:tc>
      </w:tr>
      <w:tr>
        <w:trPr>
          <w:trHeight w:val="238"/>
        </w:trPr>
        <w:tc>
          <w:tcPr>
            <w:tcW w:w="40" w:type="dxa"/>
            <w:vAlign w:val="bottom"/>
          </w:tcPr>
          <w:p>
            <w:pPr>
              <w:spacing w:after="0"/>
              <w:rPr>
                <w:sz w:val="20"/>
                <w:szCs w:val="20"/>
                <w:color w:val="auto"/>
              </w:rPr>
            </w:pPr>
          </w:p>
        </w:tc>
        <w:tc>
          <w:tcPr>
            <w:tcW w:w="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580" w:type="dxa"/>
            <w:vAlign w:val="bottom"/>
          </w:tcPr>
          <w:p>
            <w:pPr>
              <w:spacing w:after="0"/>
              <w:rPr>
                <w:sz w:val="20"/>
                <w:szCs w:val="20"/>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Legal Proceedings</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71"/>
        </w:trPr>
        <w:tc>
          <w:tcPr>
            <w:tcW w:w="4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Item1A.</w:t>
            </w:r>
          </w:p>
        </w:tc>
        <w:tc>
          <w:tcPr>
            <w:tcW w:w="8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Risk Factors</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71"/>
        </w:trPr>
        <w:tc>
          <w:tcPr>
            <w:tcW w:w="4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2.</w:t>
            </w:r>
          </w:p>
        </w:tc>
        <w:tc>
          <w:tcPr>
            <w:tcW w:w="8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Unregistered Sales of Equity Securities and Use of Proceeds</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71"/>
        </w:trPr>
        <w:tc>
          <w:tcPr>
            <w:tcW w:w="4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5.</w:t>
            </w:r>
          </w:p>
        </w:tc>
        <w:tc>
          <w:tcPr>
            <w:tcW w:w="8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Other Information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71"/>
        </w:trPr>
        <w:tc>
          <w:tcPr>
            <w:tcW w:w="4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6.</w:t>
            </w:r>
          </w:p>
        </w:tc>
        <w:tc>
          <w:tcPr>
            <w:tcW w:w="8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Exhibits</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71"/>
        </w:trPr>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Signature</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921"/>
        </w:trPr>
        <w:tc>
          <w:tcPr>
            <w:tcW w:w="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4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47"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present and historical fact, contained in this Quarterly Report on Form 10-Q, including, without limitation, statements regarding our future results of operations and financial position, business strategy and approach, expected capital expenditures; expected impacts from new accounting and tax regulations; as well as plans and objectives of management for future operations may be forward-looking statements. Without limiting the foregoing, in some cases, you can identify forward-looking statements by terms such as “aim,”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spacing w:after="0" w:line="201" w:lineRule="exact"/>
        <w:rPr>
          <w:sz w:val="20"/>
          <w:szCs w:val="20"/>
          <w:color w:val="auto"/>
        </w:rPr>
      </w:pPr>
    </w:p>
    <w:p>
      <w:pPr>
        <w:ind w:right="200" w:firstLine="619"/>
        <w:spacing w:after="0" w:line="264" w:lineRule="auto"/>
        <w:rPr>
          <w:sz w:val="20"/>
          <w:szCs w:val="20"/>
          <w:color w:val="auto"/>
        </w:rPr>
      </w:pPr>
      <w:r>
        <w:rPr>
          <w:rFonts w:ascii="Times New Roman" w:cs="Times New Roman" w:eastAsia="Times New Roman" w:hAnsi="Times New Roman"/>
          <w:sz w:val="17"/>
          <w:szCs w:val="17"/>
          <w:color w:val="auto"/>
        </w:rPr>
        <w:t>The forward 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including without limitation, the following:</w:t>
      </w:r>
    </w:p>
    <w:p>
      <w:pPr>
        <w:spacing w:after="0" w:line="197"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compete successfully with our competitors and maintain market share;</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decline in demand for our products;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fund substantial investment in product development and recover such investment through commercial product sales;</w:t>
      </w:r>
    </w:p>
    <w:p>
      <w:pPr>
        <w:spacing w:after="0" w:line="10" w:lineRule="exact"/>
        <w:rPr>
          <w:rFonts w:ascii="Times New Roman" w:cs="Times New Roman" w:eastAsia="Times New Roman" w:hAnsi="Times New Roman"/>
          <w:sz w:val="17"/>
          <w:szCs w:val="17"/>
          <w:color w:val="auto"/>
        </w:rPr>
      </w:pPr>
    </w:p>
    <w:p>
      <w:pPr>
        <w:ind w:left="620" w:right="8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prolonged periods of inflation, rising interest rates and the impact of foreign currency exchange rates as a result of the current global macroeconomic and geopolitical conditions, for example, armed conflicts between Ukraine and Russia and in Israel;</w:t>
      </w: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exposure to risks related to foreign currency exchange rates;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pressures to reduce healthcare costs and inadequate coverage and reimbursement;</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at the FDA, other government agencies or notified bodies caused by funding shortages or global health concerns;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our information technology systems against security breaches, service interruptions, or misappropriation of data;</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 to any of our manufacturing facilities or disruption to our supply chain network;</w:t>
      </w:r>
    </w:p>
    <w:p>
      <w:pPr>
        <w:spacing w:after="0" w:line="10" w:lineRule="exact"/>
        <w:rPr>
          <w:rFonts w:ascii="Times New Roman" w:cs="Times New Roman" w:eastAsia="Times New Roman" w:hAnsi="Times New Roman"/>
          <w:sz w:val="17"/>
          <w:szCs w:val="17"/>
          <w:color w:val="auto"/>
        </w:rPr>
      </w:pPr>
    </w:p>
    <w:p>
      <w:pPr>
        <w:ind w:left="620" w:right="44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single and limited source third-party suppliers, which subjects our business and results of operations to risks of supplier business interruptions, and a loss or degradation in performance in our suppliers;</w:t>
      </w: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achieve expected operating efficiencies or expense reductions associated with cost reduction and restructuring efforts;</w:t>
      </w: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sales through our distributors;</w:t>
      </w:r>
    </w:p>
    <w:p>
      <w:pPr>
        <w:spacing w:after="0" w:line="9" w:lineRule="exact"/>
        <w:rPr>
          <w:rFonts w:ascii="Times New Roman" w:cs="Times New Roman" w:eastAsia="Times New Roman" w:hAnsi="Times New Roman"/>
          <w:sz w:val="17"/>
          <w:szCs w:val="17"/>
          <w:color w:val="auto"/>
        </w:rPr>
      </w:pPr>
    </w:p>
    <w:p>
      <w:pPr>
        <w:ind w:left="620" w:right="400" w:hanging="307"/>
        <w:spacing w:after="0" w:line="246"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risks from international sales, related to competition with larger international companies and established local companies and our possibly higher cost structure;</w:t>
      </w:r>
    </w:p>
    <w:p>
      <w:pPr>
        <w:ind w:left="620" w:hanging="307"/>
        <w:spacing w:after="0" w:line="237"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significant changes in U.S. trade, tax or other policies that restrict imports or increase import tariffs;</w:t>
      </w:r>
    </w:p>
    <w:p>
      <w:pPr>
        <w:ind w:left="620" w:right="60" w:hanging="307"/>
        <w:spacing w:after="0" w:line="245"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perceived failures to comply with foreign, federal, and state data privacy and security laws, regulations and standards, or certain fraud and abuse and transparency laws;</w:t>
      </w:r>
    </w:p>
    <w:p>
      <w:pPr>
        <w:ind w:left="620" w:right="560" w:hanging="307"/>
        <w:spacing w:after="0" w:line="244"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defend and enforce our patents or other proprietary rights and the cost of enforcing and of defending patent claims or claims of other proprietary rights; and expiration of our patents;</w:t>
      </w:r>
    </w:p>
    <w:p>
      <w:pPr>
        <w:spacing w:after="0" w:line="1" w:lineRule="exact"/>
        <w:rPr>
          <w:rFonts w:ascii="Times New Roman" w:cs="Times New Roman" w:eastAsia="Times New Roman" w:hAnsi="Times New Roman"/>
          <w:sz w:val="17"/>
          <w:szCs w:val="17"/>
          <w:color w:val="auto"/>
        </w:rPr>
      </w:pPr>
    </w:p>
    <w:p>
      <w:pPr>
        <w:ind w:left="620" w:right="240" w:hanging="307"/>
        <w:spacing w:after="0" w:line="230"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effectively manage our growth and change to our business resulting from the Smiths Medical acquisition or any other future acquisitions; and</w:t>
      </w:r>
    </w:p>
    <w:p>
      <w:pPr>
        <w:ind w:left="620" w:right="260" w:hanging="307"/>
        <w:spacing w:after="0" w:line="24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actual impact of the Smiths Medical acquisition on our financial results and our use of a significant portion of our cash on hand and incurrence of a substantial amount of debt to finance the Smiths Medical acquisition, which could adversely affect our business, including by restricting our ability to engage in additional transactions or incur additional indebtedness.</w:t>
      </w:r>
    </w:p>
    <w:p>
      <w:pPr>
        <w:spacing w:after="0" w:line="213" w:lineRule="exact"/>
        <w:rPr>
          <w:sz w:val="20"/>
          <w:szCs w:val="20"/>
          <w:color w:val="auto"/>
        </w:rPr>
      </w:pPr>
    </w:p>
    <w:p>
      <w:pPr>
        <w:jc w:val="both"/>
        <w:ind w:right="180" w:firstLine="619"/>
        <w:spacing w:after="0" w:line="264" w:lineRule="auto"/>
        <w:rPr>
          <w:sz w:val="20"/>
          <w:szCs w:val="20"/>
          <w:color w:val="auto"/>
        </w:rPr>
      </w:pPr>
      <w:r>
        <w:rPr>
          <w:rFonts w:ascii="Times New Roman" w:cs="Times New Roman" w:eastAsia="Times New Roman" w:hAnsi="Times New Roman"/>
          <w:sz w:val="17"/>
          <w:szCs w:val="17"/>
          <w:color w:val="auto"/>
        </w:rPr>
        <w:t>For a more detailed discussion of these factors, see the information under the sections entitled “Summary Risk Factors,” Part I. Item 1A. “Risk Factors” and Part II. Item 7 “Management’s Discussion and Analysis of Financial Condition and Results of Operations” in our Annual Report on Form 10-K for the fiscal year ended December 31, 2023 (the “2023 Annual Report on Form 10-K”) filed with the Securities and Exchange Commission (the “SEC”), and the sections in this Quarterly</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3" w:name="page4"/>
    <w:bookmarkEnd w:id="3"/>
    <w:p>
      <w:pPr>
        <w:ind w:right="180"/>
        <w:spacing w:after="0" w:line="287" w:lineRule="auto"/>
        <w:rPr>
          <w:sz w:val="20"/>
          <w:szCs w:val="20"/>
          <w:color w:val="auto"/>
        </w:rPr>
      </w:pPr>
      <w:r>
        <w:rPr>
          <w:rFonts w:ascii="Times New Roman" w:cs="Times New Roman" w:eastAsia="Times New Roman" w:hAnsi="Times New Roman"/>
          <w:sz w:val="17"/>
          <w:szCs w:val="17"/>
          <w:color w:val="auto"/>
        </w:rPr>
        <w:t>Report on Form 10-Q entitled Part II. Item 1A “Risk Factors” and Part I. Item 2 “Management’s Discussion and Analysis of Financial Condition and Results of Operations,” in each case as updated by our periodic filings with the SEC.</w:t>
      </w:r>
    </w:p>
    <w:p>
      <w:pPr>
        <w:spacing w:after="0" w:line="164"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858"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Item1.  Financial Statements (Unaudited)</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ICU MEDICAL, INC. AND SUBSIDIARIES</w:t>
      </w:r>
    </w:p>
    <w:p>
      <w:pPr>
        <w:spacing w:after="0" w:line="2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SHEETS</w:t>
      </w:r>
    </w:p>
    <w:p>
      <w:pPr>
        <w:spacing w:after="0" w:line="1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5"/>
          <w:szCs w:val="15"/>
          <w:color w:val="auto"/>
        </w:rPr>
        <w:t>(In thousands, except par value data and treasury shares)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200" w:type="dxa"/>
            <w:vAlign w:val="bottom"/>
          </w:tcPr>
          <w:p>
            <w:pPr>
              <w:spacing w:after="0"/>
              <w:rPr>
                <w:sz w:val="13"/>
                <w:szCs w:val="13"/>
                <w:color w:val="auto"/>
              </w:rPr>
            </w:pPr>
          </w:p>
        </w:tc>
        <w:tc>
          <w:tcPr>
            <w:tcW w:w="12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6"/>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ind w:left="388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251,423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254,222</w:t>
            </w: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Short-term investment securities</w:t>
            </w:r>
          </w:p>
        </w:tc>
        <w:tc>
          <w:tcPr>
            <w:tcW w:w="2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93"/>
        </w:trPr>
        <w:tc>
          <w:tcPr>
            <w:tcW w:w="82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CASH, CASH EQUIVALENTS AND SHORT-TERM INVESTMENT SECURITIES</w:t>
            </w:r>
          </w:p>
        </w:tc>
        <w:tc>
          <w:tcPr>
            <w:tcW w:w="2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251,423</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254,723</w:t>
            </w: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$11,626 at March 31, 2024 and $11,064 at December 31, 2023</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161,566</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693,006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709,360</w:t>
            </w: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income taxes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21,983</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82,636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73,640</w:t>
            </w:r>
          </w:p>
        </w:tc>
        <w:tc>
          <w:tcPr>
            <w:tcW w:w="0" w:type="dxa"/>
            <w:vAlign w:val="bottom"/>
          </w:tcPr>
          <w:p>
            <w:pPr>
              <w:spacing w:after="0"/>
              <w:rPr>
                <w:sz w:val="1"/>
                <w:szCs w:val="1"/>
                <w:color w:val="auto"/>
              </w:rPr>
            </w:pPr>
          </w:p>
        </w:tc>
      </w:tr>
      <w:tr>
        <w:trPr>
          <w:trHeight w:val="179"/>
        </w:trPr>
        <w:tc>
          <w:tcPr>
            <w:tcW w:w="8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1,187,727</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1,221,272</w:t>
            </w:r>
          </w:p>
        </w:tc>
        <w:tc>
          <w:tcPr>
            <w:tcW w:w="0" w:type="dxa"/>
            <w:vAlign w:val="bottom"/>
          </w:tcPr>
          <w:p>
            <w:pPr>
              <w:spacing w:after="0"/>
              <w:rPr>
                <w:sz w:val="1"/>
                <w:szCs w:val="1"/>
                <w:color w:val="auto"/>
              </w:rPr>
            </w:pPr>
          </w:p>
        </w:tc>
      </w:tr>
      <w:tr>
        <w:trPr>
          <w:trHeight w:val="142"/>
        </w:trPr>
        <w:tc>
          <w:tcPr>
            <w:tcW w:w="8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602,617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612,909</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69,909</w:t>
            </w: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1,459,368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1,472,446</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836,904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870,588</w:t>
            </w: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37,295</w:t>
            </w:r>
          </w:p>
        </w:tc>
        <w:tc>
          <w:tcPr>
            <w:tcW w:w="0" w:type="dxa"/>
            <w:vAlign w:val="bottom"/>
          </w:tcPr>
          <w:p>
            <w:pPr>
              <w:spacing w:after="0"/>
              <w:rPr>
                <w:sz w:val="1"/>
                <w:szCs w:val="1"/>
                <w:color w:val="auto"/>
              </w:rPr>
            </w:pPr>
          </w:p>
        </w:tc>
      </w:tr>
      <w:tr>
        <w:trPr>
          <w:trHeight w:val="19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96,651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94,020</w:t>
            </w:r>
          </w:p>
        </w:tc>
        <w:tc>
          <w:tcPr>
            <w:tcW w:w="0" w:type="dxa"/>
            <w:vAlign w:val="bottom"/>
          </w:tcPr>
          <w:p>
            <w:pPr>
              <w:spacing w:after="0"/>
              <w:rPr>
                <w:sz w:val="1"/>
                <w:szCs w:val="1"/>
                <w:color w:val="auto"/>
              </w:rPr>
            </w:pPr>
          </w:p>
        </w:tc>
      </w:tr>
      <w:tr>
        <w:trPr>
          <w:trHeight w:val="193"/>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4,288,398</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4,378,439</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2700"/>
              <w:spacing w:after="0"/>
              <w:rPr>
                <w:sz w:val="20"/>
                <w:szCs w:val="20"/>
                <w:color w:val="auto"/>
              </w:rPr>
            </w:pPr>
            <w:r>
              <w:rPr>
                <w:rFonts w:ascii="Times New Roman" w:cs="Times New Roman" w:eastAsia="Times New Roman" w:hAnsi="Times New Roman"/>
                <w:sz w:val="14"/>
                <w:szCs w:val="14"/>
                <w:color w:val="auto"/>
              </w:rPr>
              <w:t>LIABILITIES AND STOCKHOLDERS’ EQUITY</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152,480</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150,030</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liabilities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247,896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268,215</w:t>
            </w: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51,000</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tax payable</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7,714</w:t>
            </w:r>
          </w:p>
        </w:tc>
        <w:tc>
          <w:tcPr>
            <w:tcW w:w="0" w:type="dxa"/>
            <w:vAlign w:val="bottom"/>
          </w:tcPr>
          <w:p>
            <w:pPr>
              <w:spacing w:after="0"/>
              <w:rPr>
                <w:sz w:val="1"/>
                <w:szCs w:val="1"/>
                <w:color w:val="auto"/>
              </w:rPr>
            </w:pPr>
          </w:p>
        </w:tc>
      </w:tr>
      <w:tr>
        <w:trPr>
          <w:trHeight w:val="186"/>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Contingent earn-out liability</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4,879</w:t>
            </w:r>
          </w:p>
        </w:tc>
        <w:tc>
          <w:tcPr>
            <w:tcW w:w="0" w:type="dxa"/>
            <w:vAlign w:val="bottom"/>
          </w:tcPr>
          <w:p>
            <w:pPr>
              <w:spacing w:after="0"/>
              <w:rPr>
                <w:sz w:val="1"/>
                <w:szCs w:val="1"/>
                <w:color w:val="auto"/>
              </w:rPr>
            </w:pPr>
          </w:p>
        </w:tc>
      </w:tr>
      <w:tr>
        <w:trPr>
          <w:trHeight w:val="186"/>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455,360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481,838</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EARN-OUT LIABILITY</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3,991</w:t>
            </w: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1,566,298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1,577,770</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100,497</w:t>
            </w: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55,873</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LIABILITY</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35,060</w:t>
            </w: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18)</w:t>
            </w:r>
          </w:p>
        </w:tc>
        <w:tc>
          <w:tcPr>
            <w:tcW w:w="2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Convertible preferred stock, $1.00 par value; Authorized — 500 shares; Issued and outstanding — none</w:t>
            </w:r>
          </w:p>
        </w:tc>
        <w:tc>
          <w:tcPr>
            <w:tcW w:w="2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8240" w:type="dxa"/>
            <w:vAlign w:val="bottom"/>
            <w:shd w:val="clear" w:color="auto" w:fill="CCEEFF"/>
          </w:tcPr>
          <w:p>
            <w:pPr>
              <w:ind w:left="120"/>
              <w:spacing w:after="0" w:line="137" w:lineRule="exact"/>
              <w:rPr>
                <w:sz w:val="20"/>
                <w:szCs w:val="20"/>
                <w:color w:val="auto"/>
              </w:rPr>
            </w:pPr>
            <w:r>
              <w:rPr>
                <w:rFonts w:ascii="Times New Roman" w:cs="Times New Roman" w:eastAsia="Times New Roman" w:hAnsi="Times New Roman"/>
                <w:sz w:val="14"/>
                <w:szCs w:val="14"/>
                <w:color w:val="auto"/>
              </w:rPr>
              <w:t>Common stock, $0.10 par value; Authorized — 80,000 shares; Issued — 24,412 shares at March 31, 2024 and 24,144 shares at December 31,</w:t>
            </w:r>
          </w:p>
        </w:tc>
        <w:tc>
          <w:tcPr>
            <w:tcW w:w="24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w:t>
            </w:r>
          </w:p>
        </w:tc>
        <w:tc>
          <w:tcPr>
            <w:tcW w:w="0" w:type="dxa"/>
            <w:vAlign w:val="bottom"/>
          </w:tcPr>
          <w:p>
            <w:pPr>
              <w:spacing w:after="0"/>
              <w:rPr>
                <w:sz w:val="1"/>
                <w:szCs w:val="1"/>
                <w:color w:val="auto"/>
              </w:rPr>
            </w:pPr>
          </w:p>
        </w:tc>
      </w:tr>
      <w:tr>
        <w:trPr>
          <w:trHeight w:val="193"/>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2023; and outstanding — 24,365 shares at March 31, 2024 and 24,141 shares at December 31, 2023</w:t>
            </w:r>
          </w:p>
        </w:tc>
        <w:tc>
          <w:tcPr>
            <w:tcW w:w="24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1,371,244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1,366,493</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Treasury stock, at cost (46,420 and 2,428 shares, respectively)</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768,375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807,846</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(69,538)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(53,081)</w:t>
            </w:r>
          </w:p>
        </w:tc>
        <w:tc>
          <w:tcPr>
            <w:tcW w:w="0" w:type="dxa"/>
            <w:vAlign w:val="bottom"/>
          </w:tcPr>
          <w:p>
            <w:pPr>
              <w:spacing w:after="0"/>
              <w:rPr>
                <w:sz w:val="1"/>
                <w:szCs w:val="1"/>
                <w:color w:val="auto"/>
              </w:rPr>
            </w:pPr>
          </w:p>
        </w:tc>
      </w:tr>
      <w:tr>
        <w:trPr>
          <w:trHeight w:val="179"/>
        </w:trPr>
        <w:tc>
          <w:tcPr>
            <w:tcW w:w="8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2,067,830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2,123,410</w:t>
            </w:r>
          </w:p>
        </w:tc>
        <w:tc>
          <w:tcPr>
            <w:tcW w:w="0" w:type="dxa"/>
            <w:vAlign w:val="bottom"/>
          </w:tcPr>
          <w:p>
            <w:pPr>
              <w:spacing w:after="0"/>
              <w:rPr>
                <w:sz w:val="1"/>
                <w:szCs w:val="1"/>
                <w:color w:val="auto"/>
              </w:rPr>
            </w:pPr>
          </w:p>
        </w:tc>
      </w:tr>
      <w:tr>
        <w:trPr>
          <w:trHeight w:val="21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4,288,398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4,378,439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December 31, 2023 balances were derived from audited consolidated financial statements.</w:t>
      </w:r>
    </w:p>
    <w:p>
      <w:pPr>
        <w:spacing w:after="0" w:line="11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39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4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3"/>
        </w:trPr>
        <w:tc>
          <w:tcPr>
            <w:tcW w:w="24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2700" w:type="dxa"/>
            <w:vAlign w:val="bottom"/>
          </w:tcPr>
          <w:p>
            <w:pPr>
              <w:spacing w:after="0"/>
              <w:rPr>
                <w:sz w:val="24"/>
                <w:szCs w:val="24"/>
                <w:color w:val="auto"/>
              </w:rPr>
            </w:pPr>
          </w:p>
        </w:tc>
        <w:tc>
          <w:tcPr>
            <w:tcW w:w="4760" w:type="dxa"/>
            <w:vAlign w:val="bottom"/>
            <w:gridSpan w:val="2"/>
          </w:tcPr>
          <w:p>
            <w:pPr>
              <w:jc w:val="center"/>
              <w:ind w:right="1254"/>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60" w:type="dxa"/>
            <w:vAlign w:val="bottom"/>
            <w:gridSpan w:val="3"/>
          </w:tcPr>
          <w:p>
            <w:pPr>
              <w:jc w:val="center"/>
              <w:ind w:left="125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(Unaudited)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760" w:type="dxa"/>
            <w:vAlign w:val="bottom"/>
            <w:gridSpan w:val="2"/>
          </w:tcPr>
          <w:p>
            <w:pPr>
              <w:jc w:val="center"/>
              <w:ind w:right="1274"/>
              <w:spacing w:after="0"/>
              <w:rPr>
                <w:sz w:val="20"/>
                <w:szCs w:val="20"/>
                <w:color w:val="auto"/>
              </w:rPr>
            </w:pPr>
            <w:r>
              <w:rPr>
                <w:rFonts w:ascii="Times New Roman" w:cs="Times New Roman" w:eastAsia="Times New Roman" w:hAnsi="Times New Roman"/>
                <w:sz w:val="17"/>
                <w:szCs w:val="17"/>
                <w:color w:val="auto"/>
              </w:rPr>
              <w:t>(In thousands, except per share data)</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9"/>
        </w:trPr>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40" w:type="dxa"/>
            <w:vAlign w:val="bottom"/>
            <w:gridSpan w:val="4"/>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0" w:type="dxa"/>
            <w:vAlign w:val="bottom"/>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270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42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566,655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568,649</w:t>
            </w: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3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42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381,411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376,608</w:t>
            </w: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3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GROSS PROFIT</w:t>
            </w:r>
          </w:p>
        </w:tc>
        <w:tc>
          <w:tcPr>
            <w:tcW w:w="42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185,244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192,041</w:t>
            </w:r>
          </w:p>
        </w:tc>
        <w:tc>
          <w:tcPr>
            <w:tcW w:w="0" w:type="dxa"/>
            <w:vAlign w:val="bottom"/>
          </w:tcPr>
          <w:p>
            <w:pPr>
              <w:spacing w:after="0"/>
              <w:rPr>
                <w:sz w:val="1"/>
                <w:szCs w:val="1"/>
                <w:color w:val="auto"/>
              </w:rPr>
            </w:pPr>
          </w:p>
        </w:tc>
      </w:tr>
      <w:tr>
        <w:trPr>
          <w:trHeight w:val="199"/>
        </w:trPr>
        <w:tc>
          <w:tcPr>
            <w:tcW w:w="240" w:type="dxa"/>
            <w:vAlign w:val="bottom"/>
          </w:tcPr>
          <w:p>
            <w:pPr>
              <w:spacing w:after="0"/>
              <w:rPr>
                <w:sz w:val="17"/>
                <w:szCs w:val="17"/>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4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3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4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157,657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152,572</w:t>
            </w: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36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4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19,761</w:t>
            </w: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3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Restructuring, strategic transaction and integration</w:t>
            </w:r>
          </w:p>
        </w:tc>
        <w:tc>
          <w:tcPr>
            <w:tcW w:w="4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11,013</w:t>
            </w: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36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Change in fair value of contingent earn-out</w:t>
            </w:r>
          </w:p>
        </w:tc>
        <w:tc>
          <w:tcPr>
            <w:tcW w:w="42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42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195,899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182,646</w:t>
            </w: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(LOSS) INCOME FROM OPERATIONS</w:t>
            </w:r>
          </w:p>
        </w:tc>
        <w:tc>
          <w:tcPr>
            <w:tcW w:w="4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(10,655)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9,395</w:t>
            </w: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4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(22,515)</w:t>
            </w: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3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42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4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(36,768)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(13,389)</w:t>
            </w: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3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(PROVISION) BENEFIT FOR INCOME TAXES</w:t>
            </w:r>
          </w:p>
        </w:tc>
        <w:tc>
          <w:tcPr>
            <w:tcW w:w="42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3,577</w:t>
            </w: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42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(39,471)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6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NET LOSS PER SHARE</w:t>
            </w:r>
          </w:p>
        </w:tc>
        <w:tc>
          <w:tcPr>
            <w:tcW w:w="4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40" w:type="dxa"/>
            <w:vAlign w:val="bottom"/>
          </w:tcPr>
          <w:p>
            <w:pPr>
              <w:spacing w:after="0"/>
              <w:rPr>
                <w:sz w:val="14"/>
                <w:szCs w:val="14"/>
                <w:color w:val="auto"/>
              </w:rPr>
            </w:pPr>
          </w:p>
        </w:tc>
        <w:tc>
          <w:tcPr>
            <w:tcW w:w="3680" w:type="dxa"/>
            <w:vAlign w:val="bottom"/>
            <w:gridSpan w:val="2"/>
            <w:vMerge w:val="continue"/>
          </w:tcPr>
          <w:p>
            <w:pPr>
              <w:spacing w:after="0"/>
              <w:rPr>
                <w:sz w:val="14"/>
                <w:szCs w:val="14"/>
                <w:color w:val="auto"/>
              </w:rPr>
            </w:pPr>
          </w:p>
        </w:tc>
        <w:tc>
          <w:tcPr>
            <w:tcW w:w="4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3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4760" w:type="dxa"/>
            <w:vAlign w:val="bottom"/>
            <w:gridSpan w:val="2"/>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36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476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NUMBER OF SHARES</w:t>
            </w:r>
          </w:p>
        </w:tc>
        <w:tc>
          <w:tcPr>
            <w:tcW w:w="4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36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4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24,014</w:t>
            </w: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3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4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24,014</w:t>
            </w: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320" w:top="112" w:right="5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8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733"/>
        </w:trPr>
        <w:tc>
          <w:tcPr>
            <w:tcW w:w="8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7120" w:type="dxa"/>
            <w:vAlign w:val="bottom"/>
          </w:tcPr>
          <w:p>
            <w:pPr>
              <w:jc w:val="center"/>
              <w:ind w:left="1614"/>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0"/>
        </w:trPr>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0" w:type="dxa"/>
            <w:vAlign w:val="bottom"/>
            <w:gridSpan w:val="4"/>
          </w:tcPr>
          <w:p>
            <w:pPr>
              <w:jc w:val="center"/>
              <w:ind w:left="13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(LOSS) INCOME (Unaudited)</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3"/>
        </w:trPr>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120" w:type="dxa"/>
            <w:vAlign w:val="bottom"/>
          </w:tcPr>
          <w:p>
            <w:pPr>
              <w:jc w:val="center"/>
              <w:ind w:left="1614"/>
              <w:spacing w:after="0"/>
              <w:rPr>
                <w:sz w:val="20"/>
                <w:szCs w:val="20"/>
                <w:color w:val="auto"/>
              </w:rPr>
            </w:pPr>
            <w:r>
              <w:rPr>
                <w:rFonts w:ascii="Times New Roman" w:cs="Times New Roman" w:eastAsia="Times New Roman" w:hAnsi="Times New Roman"/>
                <w:sz w:val="17"/>
                <w:szCs w:val="17"/>
                <w:color w:val="auto"/>
              </w:rPr>
              <w:t>(In thousands)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89"/>
        </w:trPr>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4"/>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30"/>
        </w:trPr>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960" w:type="dxa"/>
            <w:vAlign w:val="bottom"/>
            <w:tcBorders>
              <w:bottom w:val="single" w:sz="8" w:color="auto"/>
            </w:tcBorders>
          </w:tcPr>
          <w:p>
            <w:pPr>
              <w:spacing w:after="0"/>
              <w:rPr>
                <w:sz w:val="19"/>
                <w:szCs w:val="19"/>
                <w:color w:val="auto"/>
              </w:rPr>
            </w:pPr>
          </w:p>
        </w:tc>
      </w:tr>
      <w:tr>
        <w:trPr>
          <w:trHeight w:val="215"/>
        </w:trPr>
        <w:tc>
          <w:tcPr>
            <w:tcW w:w="80" w:type="dxa"/>
            <w:vAlign w:val="bottom"/>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7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80" w:type="dxa"/>
            <w:vAlign w:val="bottom"/>
          </w:tcPr>
          <w:p>
            <w:pPr>
              <w:spacing w:after="0"/>
              <w:rPr>
                <w:sz w:val="18"/>
                <w:szCs w:val="18"/>
                <w:color w:val="auto"/>
              </w:rPr>
            </w:pPr>
          </w:p>
        </w:tc>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(39,471)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(9,812)</w:t>
            </w:r>
          </w:p>
        </w:tc>
      </w:tr>
      <w:tr>
        <w:trPr>
          <w:trHeight w:val="219"/>
        </w:trPr>
        <w:tc>
          <w:tcPr>
            <w:tcW w:w="80" w:type="dxa"/>
            <w:vAlign w:val="bottom"/>
          </w:tcPr>
          <w:p>
            <w:pPr>
              <w:spacing w:after="0"/>
              <w:rPr>
                <w:sz w:val="19"/>
                <w:szCs w:val="19"/>
                <w:color w:val="auto"/>
              </w:rPr>
            </w:pPr>
          </w:p>
        </w:tc>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8260" w:type="dxa"/>
            <w:vAlign w:val="bottom"/>
            <w:gridSpan w:val="2"/>
            <w:shd w:val="clear" w:color="auto" w:fill="CCEEFF"/>
          </w:tcPr>
          <w:p>
            <w:pPr>
              <w:ind w:left="120"/>
              <w:spacing w:after="0" w:line="167" w:lineRule="exact"/>
              <w:rPr>
                <w:sz w:val="20"/>
                <w:szCs w:val="20"/>
                <w:color w:val="auto"/>
              </w:rPr>
            </w:pPr>
            <w:r>
              <w:rPr>
                <w:rFonts w:ascii="Times New Roman" w:cs="Times New Roman" w:eastAsia="Times New Roman" w:hAnsi="Times New Roman"/>
                <w:sz w:val="17"/>
                <w:szCs w:val="17"/>
                <w:color w:val="auto"/>
              </w:rPr>
              <w:t>Cash flow hedge adjustments, net of tax of $2,029 and $1,744 for the three months ended March 31, 2024 and 2023,</w:t>
            </w: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32"/>
        </w:trPr>
        <w:tc>
          <w:tcPr>
            <w:tcW w:w="80" w:type="dxa"/>
            <w:vAlign w:val="bottom"/>
          </w:tcPr>
          <w:p>
            <w:pPr>
              <w:spacing w:after="0"/>
              <w:rPr>
                <w:sz w:val="20"/>
                <w:szCs w:val="20"/>
                <w:color w:val="auto"/>
              </w:rPr>
            </w:pPr>
          </w:p>
        </w:tc>
        <w:tc>
          <w:tcPr>
            <w:tcW w:w="8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respectively.</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(5,577)</w:t>
            </w:r>
          </w:p>
        </w:tc>
      </w:tr>
      <w:tr>
        <w:trPr>
          <w:trHeight w:val="219"/>
        </w:trPr>
        <w:tc>
          <w:tcPr>
            <w:tcW w:w="80" w:type="dxa"/>
            <w:vAlign w:val="bottom"/>
          </w:tcPr>
          <w:p>
            <w:pPr>
              <w:spacing w:after="0"/>
              <w:rPr>
                <w:sz w:val="19"/>
                <w:szCs w:val="19"/>
                <w:color w:val="auto"/>
              </w:rPr>
            </w:pPr>
          </w:p>
        </w:tc>
        <w:tc>
          <w:tcPr>
            <w:tcW w:w="82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Foreign currency translation adjustment, net of tax of $0 for all periods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24,983</w:t>
            </w:r>
          </w:p>
        </w:tc>
      </w:tr>
      <w:tr>
        <w:trPr>
          <w:trHeight w:val="219"/>
        </w:trPr>
        <w:tc>
          <w:tcPr>
            <w:tcW w:w="80" w:type="dxa"/>
            <w:vAlign w:val="bottom"/>
          </w:tcPr>
          <w:p>
            <w:pPr>
              <w:spacing w:after="0"/>
              <w:rPr>
                <w:sz w:val="19"/>
                <w:szCs w:val="19"/>
                <w:color w:val="auto"/>
              </w:rPr>
            </w:pPr>
          </w:p>
        </w:tc>
        <w:tc>
          <w:tcPr>
            <w:tcW w:w="8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adjustments, net of tax of $0 for all periods</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2"/>
        </w:trPr>
        <w:tc>
          <w:tcPr>
            <w:tcW w:w="80" w:type="dxa"/>
            <w:vAlign w:val="bottom"/>
          </w:tcPr>
          <w:p>
            <w:pPr>
              <w:spacing w:after="0"/>
              <w:rPr>
                <w:sz w:val="18"/>
                <w:szCs w:val="18"/>
                <w:color w:val="auto"/>
              </w:rPr>
            </w:pPr>
          </w:p>
        </w:tc>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(16,457)</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19,375</w:t>
            </w:r>
          </w:p>
        </w:tc>
      </w:tr>
      <w:tr>
        <w:trPr>
          <w:trHeight w:val="237"/>
        </w:trPr>
        <w:tc>
          <w:tcPr>
            <w:tcW w:w="80" w:type="dxa"/>
            <w:vAlign w:val="bottom"/>
          </w:tcPr>
          <w:p>
            <w:pPr>
              <w:spacing w:after="0"/>
              <w:rPr>
                <w:sz w:val="20"/>
                <w:szCs w:val="20"/>
                <w:color w:val="auto"/>
              </w:rPr>
            </w:pPr>
          </w:p>
        </w:tc>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(LOSS) INCOME</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(55,928)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9,563</w:t>
            </w:r>
          </w:p>
        </w:tc>
      </w:tr>
      <w:tr>
        <w:trPr>
          <w:trHeight w:val="20"/>
        </w:trPr>
        <w:tc>
          <w:tcPr>
            <w:tcW w:w="8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STOCKHOLDERS’ EQUITY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(Amounts in thousands)</w:t>
      </w: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440" w:type="dxa"/>
            <w:vAlign w:val="bottom"/>
          </w:tcPr>
          <w:p>
            <w:pPr>
              <w:spacing w:after="0"/>
              <w:rPr>
                <w:sz w:val="12"/>
                <w:szCs w:val="12"/>
                <w:color w:val="auto"/>
              </w:rPr>
            </w:pPr>
          </w:p>
        </w:tc>
        <w:tc>
          <w:tcPr>
            <w:tcW w:w="170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4440" w:type="dxa"/>
            <w:vAlign w:val="bottom"/>
          </w:tcPr>
          <w:p>
            <w:pPr>
              <w:spacing w:after="0"/>
              <w:rPr>
                <w:sz w:val="9"/>
                <w:szCs w:val="9"/>
                <w:color w:val="auto"/>
              </w:rPr>
            </w:pPr>
          </w:p>
        </w:tc>
        <w:tc>
          <w:tcPr>
            <w:tcW w:w="17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60" w:type="dxa"/>
            <w:vAlign w:val="bottom"/>
          </w:tcPr>
          <w:p>
            <w:pPr>
              <w:spacing w:after="0"/>
              <w:rPr>
                <w:sz w:val="9"/>
                <w:szCs w:val="9"/>
                <w:color w:val="auto"/>
              </w:rPr>
            </w:pPr>
          </w:p>
        </w:tc>
        <w:tc>
          <w:tcPr>
            <w:tcW w:w="86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w w:val="94"/>
              </w:rPr>
              <w:t>Treasury</w:t>
            </w:r>
          </w:p>
        </w:tc>
        <w:tc>
          <w:tcPr>
            <w:tcW w:w="140" w:type="dxa"/>
            <w:vAlign w:val="bottom"/>
          </w:tcPr>
          <w:p>
            <w:pPr>
              <w:spacing w:after="0"/>
              <w:rPr>
                <w:sz w:val="9"/>
                <w:szCs w:val="9"/>
                <w:color w:val="auto"/>
              </w:rPr>
            </w:pPr>
          </w:p>
        </w:tc>
        <w:tc>
          <w:tcPr>
            <w:tcW w:w="800" w:type="dxa"/>
            <w:vAlign w:val="bottom"/>
            <w:gridSpan w:val="2"/>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9"/>
                <w:szCs w:val="9"/>
                <w:color w:val="auto"/>
              </w:rPr>
            </w:pPr>
          </w:p>
        </w:tc>
        <w:tc>
          <w:tcPr>
            <w:tcW w:w="1100" w:type="dxa"/>
            <w:vAlign w:val="bottom"/>
            <w:gridSpan w:val="2"/>
            <w:vMerge w:val="restart"/>
          </w:tcPr>
          <w:p>
            <w:pPr>
              <w:jc w:val="center"/>
              <w:ind w:right="160"/>
              <w:spacing w:after="0" w:line="122"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4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1"/>
        </w:trPr>
        <w:tc>
          <w:tcPr>
            <w:tcW w:w="4440" w:type="dxa"/>
            <w:vAlign w:val="bottom"/>
          </w:tcPr>
          <w:p>
            <w:pPr>
              <w:spacing w:after="0"/>
              <w:rPr>
                <w:sz w:val="15"/>
                <w:szCs w:val="15"/>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6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(Loss) Income</w:t>
            </w: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4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January 1, 2024</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24,144</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2,414</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1,366,493</w:t>
            </w: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(262)</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807,846</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w w:val="96"/>
              </w:rPr>
              <w:t>(53,081)</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2,123,410</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and 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(6,847)</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0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withholding payments related to net share settlement of equity awards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(11,400)</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11,598</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11,598</w:t>
            </w:r>
          </w:p>
        </w:tc>
        <w:tc>
          <w:tcPr>
            <w:tcW w:w="0" w:type="dxa"/>
            <w:vAlign w:val="bottom"/>
          </w:tcPr>
          <w:p>
            <w:pPr>
              <w:spacing w:after="0"/>
              <w:rPr>
                <w:sz w:val="1"/>
                <w:szCs w:val="1"/>
                <w:color w:val="auto"/>
              </w:rPr>
            </w:pPr>
          </w:p>
        </w:tc>
      </w:tr>
      <w:tr>
        <w:trPr>
          <w:trHeight w:val="20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96"/>
              </w:rPr>
              <w:t>(16,457)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(16,457)</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(39,471)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(39,471)</w:t>
            </w:r>
          </w:p>
        </w:tc>
        <w:tc>
          <w:tcPr>
            <w:tcW w:w="0" w:type="dxa"/>
            <w:vAlign w:val="bottom"/>
          </w:tcPr>
          <w:p>
            <w:pPr>
              <w:spacing w:after="0"/>
              <w:rPr>
                <w:sz w:val="1"/>
                <w:szCs w:val="1"/>
                <w:color w:val="auto"/>
              </w:rPr>
            </w:pPr>
          </w:p>
        </w:tc>
      </w:tr>
      <w:tr>
        <w:trPr>
          <w:trHeight w:val="218"/>
        </w:trPr>
        <w:tc>
          <w:tcPr>
            <w:tcW w:w="4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24,412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1,371,244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768,375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w w:val="96"/>
              </w:rPr>
              <w:t>(69,538)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2,067,830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70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4440" w:type="dxa"/>
            <w:vAlign w:val="bottom"/>
          </w:tcPr>
          <w:p>
            <w:pPr>
              <w:spacing w:after="0"/>
              <w:rPr>
                <w:sz w:val="9"/>
                <w:szCs w:val="9"/>
                <w:color w:val="auto"/>
              </w:rPr>
            </w:pPr>
          </w:p>
        </w:tc>
        <w:tc>
          <w:tcPr>
            <w:tcW w:w="17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40" w:type="dxa"/>
            <w:vAlign w:val="bottom"/>
          </w:tcPr>
          <w:p>
            <w:pPr>
              <w:spacing w:after="0"/>
              <w:rPr>
                <w:sz w:val="9"/>
                <w:szCs w:val="9"/>
                <w:color w:val="auto"/>
              </w:rPr>
            </w:pPr>
          </w:p>
        </w:tc>
        <w:tc>
          <w:tcPr>
            <w:tcW w:w="84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9"/>
                <w:szCs w:val="9"/>
                <w:color w:val="auto"/>
              </w:rPr>
            </w:pPr>
          </w:p>
        </w:tc>
        <w:tc>
          <w:tcPr>
            <w:tcW w:w="840" w:type="dxa"/>
            <w:vAlign w:val="bottom"/>
            <w:gridSpan w:val="2"/>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9"/>
                <w:szCs w:val="9"/>
                <w:color w:val="auto"/>
              </w:rPr>
            </w:pPr>
          </w:p>
        </w:tc>
        <w:tc>
          <w:tcPr>
            <w:tcW w:w="1100" w:type="dxa"/>
            <w:vAlign w:val="bottom"/>
            <w:gridSpan w:val="2"/>
            <w:vMerge w:val="restart"/>
          </w:tcPr>
          <w:p>
            <w:pPr>
              <w:jc w:val="center"/>
              <w:ind w:right="160"/>
              <w:spacing w:after="0" w:line="122"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4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1"/>
        </w:trPr>
        <w:tc>
          <w:tcPr>
            <w:tcW w:w="4440" w:type="dxa"/>
            <w:vAlign w:val="bottom"/>
          </w:tcPr>
          <w:p>
            <w:pPr>
              <w:spacing w:after="0"/>
              <w:rPr>
                <w:sz w:val="15"/>
                <w:szCs w:val="15"/>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4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(Loss) Income</w:t>
            </w: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4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January 1, 2023</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23,995</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2,399</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1,331,249</w:t>
            </w: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(243)</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837,501</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(80,978)</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2,089,928</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and 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20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withholding payments related to net share settlement of equity awards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(8,425)</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9,158</w:t>
            </w:r>
          </w:p>
        </w:tc>
        <w:tc>
          <w:tcPr>
            <w:tcW w:w="0" w:type="dxa"/>
            <w:vAlign w:val="bottom"/>
          </w:tcPr>
          <w:p>
            <w:pPr>
              <w:spacing w:after="0"/>
              <w:rPr>
                <w:sz w:val="1"/>
                <w:szCs w:val="1"/>
                <w:color w:val="auto"/>
              </w:rPr>
            </w:pPr>
          </w:p>
        </w:tc>
      </w:tr>
      <w:tr>
        <w:trPr>
          <w:trHeight w:val="20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19,379</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(9,812)</w:t>
            </w:r>
          </w:p>
        </w:tc>
        <w:tc>
          <w:tcPr>
            <w:tcW w:w="0" w:type="dxa"/>
            <w:vAlign w:val="bottom"/>
          </w:tcPr>
          <w:p>
            <w:pPr>
              <w:spacing w:after="0"/>
              <w:rPr>
                <w:sz w:val="1"/>
                <w:szCs w:val="1"/>
                <w:color w:val="auto"/>
              </w:rPr>
            </w:pPr>
          </w:p>
        </w:tc>
      </w:tr>
      <w:tr>
        <w:trPr>
          <w:trHeight w:val="218"/>
        </w:trPr>
        <w:tc>
          <w:tcPr>
            <w:tcW w:w="4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March 31, 2023</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24,114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1,339,908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(8,006)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827,689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(61,603)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2,100,399</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 (Unaudited)</w:t>
      </w:r>
    </w:p>
    <w:p>
      <w:pPr>
        <w:spacing w:after="0" w:line="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(In thousands)</w:t>
      </w:r>
    </w:p>
    <w:p>
      <w:pPr>
        <w:spacing w:after="0" w:line="355"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94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9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(39,471)</w:t>
            </w:r>
          </w:p>
        </w:tc>
        <w:tc>
          <w:tcPr>
            <w:tcW w:w="100" w:type="dxa"/>
            <w:vAlign w:val="bottom"/>
          </w:tcPr>
          <w:p>
            <w:pPr>
              <w:spacing w:after="0"/>
              <w:rPr>
                <w:sz w:val="16"/>
                <w:szCs w:val="16"/>
                <w:color w:val="auto"/>
              </w:rPr>
            </w:pPr>
          </w:p>
        </w:tc>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(9,812)</w:t>
            </w: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55,744</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Noncash lease expense</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5,656</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 for warranty, returns and field action</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3,951</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compensation</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9,158</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loss on disposal of property, plant and equipment and other assets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Debt issuance costs amortization</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fair value of contingent earn-out liability</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Usage of spare parts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4,384</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 net of amounts acquired:</w:t>
            </w: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1"/>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Accounts receivable</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82,028</w:t>
            </w:r>
          </w:p>
        </w:tc>
      </w:tr>
      <w:tr>
        <w:trPr>
          <w:trHeight w:val="186"/>
        </w:trPr>
        <w:tc>
          <w:tcPr>
            <w:tcW w:w="8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Inventories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(49,370)</w:t>
            </w:r>
          </w:p>
        </w:tc>
      </w:tr>
      <w:tr>
        <w:trPr>
          <w:trHeight w:val="201"/>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w:t>
            </w:r>
          </w:p>
        </w:tc>
      </w:tr>
      <w:tr>
        <w:trPr>
          <w:trHeight w:val="186"/>
        </w:trPr>
        <w:tc>
          <w:tcPr>
            <w:tcW w:w="8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Other assets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(6,448)</w:t>
            </w:r>
          </w:p>
        </w:tc>
      </w:tr>
      <w:tr>
        <w:trPr>
          <w:trHeight w:val="201"/>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Accounts payable</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(27,525)</w:t>
            </w:r>
          </w:p>
        </w:tc>
      </w:tr>
      <w:tr>
        <w:trPr>
          <w:trHeight w:val="186"/>
        </w:trPr>
        <w:tc>
          <w:tcPr>
            <w:tcW w:w="8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Accrued liabilities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(21,099)</w:t>
            </w:r>
          </w:p>
        </w:tc>
      </w:tr>
      <w:tr>
        <w:trPr>
          <w:trHeight w:val="201"/>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Income taxes, including excess tax benefits and deferred income taxes</w:t>
            </w: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(9,328)</w:t>
            </w:r>
          </w:p>
        </w:tc>
      </w:tr>
      <w:tr>
        <w:trPr>
          <w:trHeight w:val="179"/>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45,791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41,245</w:t>
            </w:r>
          </w:p>
        </w:tc>
      </w:tr>
      <w:tr>
        <w:trPr>
          <w:trHeight w:val="17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(14,205)</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Intangible asset additions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 and maturities of investment securities</w:t>
            </w: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r>
      <w:tr>
        <w:trPr>
          <w:trHeight w:val="179"/>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(17,862)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(15,183)</w:t>
            </w:r>
          </w:p>
        </w:tc>
      </w:tr>
      <w:tr>
        <w:trPr>
          <w:trHeight w:val="17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Principal repayments of long-term debt</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(7,375)</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Payments on finance leases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Payments of contingent earn-out liability</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Tax withholding payments related to net share settlement of equity awards</w:t>
            </w: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(8,425)</w:t>
            </w:r>
          </w:p>
        </w:tc>
      </w:tr>
      <w:tr>
        <w:trPr>
          <w:trHeight w:val="193"/>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9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(15,837)</w:t>
            </w:r>
          </w:p>
        </w:tc>
      </w:tr>
      <w:tr>
        <w:trPr>
          <w:trHeight w:val="17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1,938</w:t>
            </w:r>
          </w:p>
        </w:tc>
      </w:tr>
      <w:tr>
        <w:trPr>
          <w:trHeight w:val="19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12,163</w:t>
            </w:r>
          </w:p>
        </w:tc>
      </w:tr>
      <w:tr>
        <w:trPr>
          <w:trHeight w:val="18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254,222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208,784</w:t>
            </w:r>
          </w:p>
        </w:tc>
      </w:tr>
      <w:tr>
        <w:trPr>
          <w:trHeight w:val="21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90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251,423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220,947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ICU MEDICAL, INC. AND SUBSIDIARIES</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 (Unaudited) - CONTINUED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(In thousands)</w:t>
      </w:r>
    </w:p>
    <w:p>
      <w:pPr>
        <w:spacing w:after="0" w:line="249"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8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4"/>
          </w:tcPr>
          <w:p>
            <w:pPr>
              <w:jc w:val="center"/>
              <w:ind w:right="283"/>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7"/>
        </w:trPr>
        <w:tc>
          <w:tcPr>
            <w:tcW w:w="8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558"/>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940" w:type="dxa"/>
            <w:vAlign w:val="bottom"/>
            <w:tcBorders>
              <w:bottom w:val="single" w:sz="8" w:color="auto"/>
            </w:tcBorders>
          </w:tcPr>
          <w:p>
            <w:pPr>
              <w:spacing w:after="0"/>
              <w:rPr>
                <w:sz w:val="19"/>
                <w:szCs w:val="19"/>
                <w:color w:val="auto"/>
              </w:rPr>
            </w:pPr>
          </w:p>
        </w:tc>
      </w:tr>
      <w:tr>
        <w:trPr>
          <w:trHeight w:val="198"/>
        </w:trPr>
        <w:tc>
          <w:tcPr>
            <w:tcW w:w="8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87"/>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SUPPLEMENTAL DISCLOSURE OF CASH FLOW INFORMATION:</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01"/>
        </w:trPr>
        <w:tc>
          <w:tcPr>
            <w:tcW w:w="83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Accounts payable for property, plant and equipment</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4,408</w:t>
            </w:r>
          </w:p>
        </w:tc>
        <w:tc>
          <w:tcPr>
            <w:tcW w:w="10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2,223</w:t>
            </w:r>
          </w:p>
        </w:tc>
      </w:tr>
    </w:tbl>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Basis of Presentation</w:t>
      </w:r>
    </w:p>
    <w:p>
      <w:pPr>
        <w:spacing w:after="0" w:line="221"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The accompanying unaudited interim condensed consolidated financial statements of ICU Medical, Inc., ("ICU" or the "Company"), a Delaware corporation, have been prepared in accordance with accounting principles generally accepted in the United States of America ("U.S.") and pursuant to the rules and regulations of the Securities and Exchange Commission (“SEC”) and reflect all adjustments, consisting of only normal recurring adjustments, which are, in the opinion of management, necessary for a fair statement of the consolidated results for the interim periods presented. Results for the interim period are not necessarily indicative of results for the full year. Certain information and footnote disclosures normally included in annual consolidated financial statements prepared in accordance with generally accepted accounting principles have been condensed or omitted pursuant to such rules and regulations. The condensed consolidated financial statements should be read in conjunction with the consolidated financial statements and notes thereto included in the Annual Report on Form 10-K of ICU for the year ended December 31, 2023.</w:t>
      </w:r>
    </w:p>
    <w:p>
      <w:pPr>
        <w:spacing w:after="0" w:line="175"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We develop, manufacture and sell innovative medical products used in infusion therapy, vascular access, and vital care applications. ICU's product portfolio includes ambulatory, syringe, and large volume IV pumps and safety software; dedicated and non-dedicated IV sets, needlefree IV connectors, peripheral IV catheters, and sterile IV solutions; closed system transfer devices and pharmacy compounding systems; as well as a range of respiratory, anesthesia, patient monitoring, and temperature management products. We sell the majority of our products globally through our direct sales force and through independent distributors throughout the U.S. and internationally. We also sell certain products on an original equipment manufacturer basis to other medical device manufacturers. All subsidiaries are wholly owned and are included in the condensed consolidated financial statements. All intercompany balances and transactions have been eliminated.</w:t>
      </w:r>
    </w:p>
    <w:p>
      <w:pPr>
        <w:spacing w:after="0" w:line="205" w:lineRule="exact"/>
        <w:rPr>
          <w:sz w:val="20"/>
          <w:szCs w:val="20"/>
          <w:color w:val="auto"/>
        </w:rPr>
      </w:pPr>
    </w:p>
    <w:p>
      <w:pPr>
        <w:jc w:val="both"/>
        <w:ind w:right="20" w:firstLine="619"/>
        <w:spacing w:after="0" w:line="270" w:lineRule="auto"/>
        <w:rPr>
          <w:sz w:val="20"/>
          <w:szCs w:val="20"/>
          <w:color w:val="auto"/>
        </w:rPr>
      </w:pPr>
      <w:r>
        <w:rPr>
          <w:rFonts w:ascii="Times New Roman" w:cs="Times New Roman" w:eastAsia="Times New Roman" w:hAnsi="Times New Roman"/>
          <w:sz w:val="17"/>
          <w:szCs w:val="17"/>
          <w:color w:val="auto"/>
        </w:rPr>
        <w:t>Certain reclassifications have been made to the prior year cash flows from operating activities within the condensed consolidated statements of cash flows to conform to the presentation used in the current year. We reclassified bond premium amortization to other. The reclassification had no impact on cash flows from operating activities as previously reported.</w:t>
      </w:r>
    </w:p>
    <w:p>
      <w:pPr>
        <w:spacing w:after="0" w:line="18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2:</w:t>
        <w:tab/>
        <w:t>New Accounting Pronouncements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Recently Issued Accounting Standards</w:t>
      </w:r>
    </w:p>
    <w:p>
      <w:pPr>
        <w:spacing w:after="0" w:line="234" w:lineRule="exact"/>
        <w:rPr>
          <w:sz w:val="20"/>
          <w:szCs w:val="20"/>
          <w:color w:val="auto"/>
        </w:rPr>
      </w:pPr>
    </w:p>
    <w:p>
      <w:pPr>
        <w:ind w:right="60" w:firstLine="619"/>
        <w:spacing w:after="0" w:line="243" w:lineRule="auto"/>
        <w:rPr>
          <w:sz w:val="20"/>
          <w:szCs w:val="20"/>
          <w:color w:val="auto"/>
        </w:rPr>
      </w:pPr>
      <w:r>
        <w:rPr>
          <w:rFonts w:ascii="Times New Roman" w:cs="Times New Roman" w:eastAsia="Times New Roman" w:hAnsi="Times New Roman"/>
          <w:sz w:val="17"/>
          <w:szCs w:val="17"/>
          <w:color w:val="auto"/>
        </w:rPr>
        <w:t>In October 2023, the FASB issued ASU 2023-06, Disclosure Improvements - Codification Amendments in Response to the SEC's Disclosure Update and Simplification Initiative. The amendments in this update modify the disclosure or presentation requirements of a variety of Topics in the Accounting Standards Codification ("ASC") in response to the SEC’s Release No. 33-10532, Disclosure Update and Simplification Initiative, and align the ASC’s requirements with the SEC’s regulations. For entities within the scope, the guidance will be applied prospectively with the effective date for each amendment to be the date on which the SEC's removal of that related disclosure from Regulation S-X or Regulation S-K becomes effective, with early adoption prohibited. If the SEC has not removed the related disclosure from its regulations by June 30, 2027, the amendments will be removed from the Codification and will not become effective. We are currently assessing what impact this guidance will have on the Company's consolidated financial statements and related disclosures.</w:t>
      </w:r>
    </w:p>
    <w:p>
      <w:pPr>
        <w:spacing w:after="0" w:line="187" w:lineRule="exact"/>
        <w:rPr>
          <w:sz w:val="20"/>
          <w:szCs w:val="20"/>
          <w:color w:val="auto"/>
        </w:rPr>
      </w:pPr>
    </w:p>
    <w:p>
      <w:pPr>
        <w:ind w:right="60" w:firstLine="619"/>
        <w:spacing w:after="0" w:line="243" w:lineRule="auto"/>
        <w:rPr>
          <w:sz w:val="20"/>
          <w:szCs w:val="20"/>
          <w:color w:val="auto"/>
        </w:rPr>
      </w:pPr>
      <w:r>
        <w:rPr>
          <w:rFonts w:ascii="Times New Roman" w:cs="Times New Roman" w:eastAsia="Times New Roman" w:hAnsi="Times New Roman"/>
          <w:sz w:val="17"/>
          <w:szCs w:val="17"/>
          <w:color w:val="auto"/>
        </w:rPr>
        <w:t>In November 2023, the FASB issued ASU 2023-07, Segment Reporting (Topic 280) - Improvements to Reportable Segment Disclosures. The amendments in this update expand disclosures about a public entity’s reportable segments and requires more enhanced information about a reportable segment’s significant expenses, interim segment profit or loss, and a description of how a public entity’s chief operating decision maker uses reported segment profit or loss information in assessing segment performance and allocating resources. The amendments clarify that a single reportable segment entity must apply ASC 280 in its entirety. The update will be effective for annual periods beginning after December 15, 2023, and for interim periods within fiscal years beginning after December 15, 2024. This ASU is applicable to our Annual Report on Form 10-K for the fiscal year ended December 31, 2024, and subsequent interim periods, with early application permitted. We are currently assessing the effect of this update on our consolidated financial statements and related disclosures.</w:t>
      </w:r>
    </w:p>
    <w:p>
      <w:pPr>
        <w:spacing w:after="0" w:line="200" w:lineRule="exact"/>
        <w:rPr>
          <w:sz w:val="20"/>
          <w:szCs w:val="20"/>
          <w:color w:val="auto"/>
        </w:rPr>
      </w:pPr>
    </w:p>
    <w:p>
      <w:pPr>
        <w:ind w:right="300" w:firstLine="619"/>
        <w:spacing w:after="0" w:line="248"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 Improvements to Income Tax Disclosures. The amendments in this update expand disclosures in an entity’s income tax rate reconciliation table and regarding cash taxes paid information. The update will be effective for annual periods beginning after December 15, 2024 and is applicable to our Annual Report on Form 10-K for the fiscal year December 31, 2025, with early application permitted. We are currently assessing the effect of this update on our consolidated financial statements and related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Restructuring, Strategic Transaction and Integration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580" w:firstLine="172"/>
        <w:spacing w:after="0" w:line="287" w:lineRule="auto"/>
        <w:rPr>
          <w:sz w:val="20"/>
          <w:szCs w:val="20"/>
          <w:color w:val="auto"/>
        </w:rPr>
      </w:pPr>
      <w:r>
        <w:rPr>
          <w:rFonts w:ascii="Times New Roman" w:cs="Times New Roman" w:eastAsia="Times New Roman" w:hAnsi="Times New Roman"/>
          <w:sz w:val="17"/>
          <w:szCs w:val="17"/>
          <w:color w:val="auto"/>
        </w:rPr>
        <w:t>Restructuring, strategic transaction and integration expenses were $16.1 million and $11.0 million for the three months ended March 31, 2024 and 2023,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Restructuring</w:t>
      </w:r>
    </w:p>
    <w:p>
      <w:pPr>
        <w:spacing w:after="0" w:line="247" w:lineRule="exact"/>
        <w:rPr>
          <w:sz w:val="20"/>
          <w:szCs w:val="20"/>
          <w:color w:val="auto"/>
        </w:rPr>
      </w:pPr>
    </w:p>
    <w:p>
      <w:pPr>
        <w:jc w:val="both"/>
        <w:ind w:right="200" w:firstLine="172"/>
        <w:spacing w:after="0" w:line="270" w:lineRule="auto"/>
        <w:rPr>
          <w:sz w:val="20"/>
          <w:szCs w:val="20"/>
          <w:color w:val="auto"/>
        </w:rPr>
      </w:pPr>
      <w:r>
        <w:rPr>
          <w:rFonts w:ascii="Times New Roman" w:cs="Times New Roman" w:eastAsia="Times New Roman" w:hAnsi="Times New Roman"/>
          <w:sz w:val="17"/>
          <w:szCs w:val="17"/>
          <w:color w:val="auto"/>
        </w:rPr>
        <w:t>During the three months ended March 31, 2024 and 2023, restructuring charges were $5.3 million and $2.7 million, respectively and were primarily related to severance costs for the periods. The restructuring charges for the three months ended March 31, 2023 is net of $0.9 million, related to facility closures costs and severance costs that were reversed during that period.</w:t>
      </w:r>
    </w:p>
    <w:p>
      <w:pPr>
        <w:spacing w:after="0" w:line="165" w:lineRule="exact"/>
        <w:rPr>
          <w:sz w:val="20"/>
          <w:szCs w:val="20"/>
          <w:color w:val="auto"/>
        </w:rPr>
      </w:pPr>
    </w:p>
    <w:p>
      <w:pPr>
        <w:ind w:right="400" w:firstLine="619"/>
        <w:spacing w:after="0" w:line="277" w:lineRule="auto"/>
        <w:rPr>
          <w:sz w:val="20"/>
          <w:szCs w:val="20"/>
          <w:color w:val="auto"/>
        </w:rPr>
      </w:pPr>
      <w:r>
        <w:rPr>
          <w:rFonts w:ascii="Times New Roman" w:cs="Times New Roman" w:eastAsia="Times New Roman" w:hAnsi="Times New Roman"/>
          <w:sz w:val="17"/>
          <w:szCs w:val="17"/>
          <w:color w:val="auto"/>
        </w:rPr>
        <w:t>The following table summarizes the activity in our restructuring-related accrual by major type of cost for the three months ended March 31, 2024 (in thousands):</w:t>
      </w:r>
    </w:p>
    <w:tbl>
      <w:tblPr>
        <w:tblLayout w:type="fixed"/>
        <w:tblInd w:w="0" w:type="dxa"/>
        <w:tblCellMar>
          <w:top w:w="0" w:type="dxa"/>
          <w:left w:w="0" w:type="dxa"/>
          <w:bottom w:w="0" w:type="dxa"/>
          <w:right w:w="0" w:type="dxa"/>
        </w:tblCellMar>
      </w:tblPr>
      <w:tr>
        <w:trPr>
          <w:trHeight w:val="158"/>
        </w:trPr>
        <w:tc>
          <w:tcPr>
            <w:tcW w:w="5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5"/>
                <w:szCs w:val="15"/>
                <w:b w:val="1"/>
                <w:bCs w:val="1"/>
                <w:color w:val="auto"/>
              </w:rPr>
              <w:t>Severance Pay and</w:t>
            </w:r>
          </w:p>
        </w:tc>
        <w:tc>
          <w:tcPr>
            <w:tcW w:w="120" w:type="dxa"/>
            <w:vAlign w:val="bottom"/>
          </w:tcPr>
          <w:p>
            <w:pPr>
              <w:spacing w:after="0"/>
              <w:rPr>
                <w:sz w:val="13"/>
                <w:szCs w:val="13"/>
                <w:color w:val="auto"/>
              </w:rPr>
            </w:pPr>
          </w:p>
        </w:tc>
        <w:tc>
          <w:tcPr>
            <w:tcW w:w="176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5"/>
                <w:szCs w:val="15"/>
                <w:b w:val="1"/>
                <w:bCs w:val="1"/>
                <w:color w:val="auto"/>
              </w:rPr>
              <w:t>Retention and Facility</w:t>
            </w:r>
          </w:p>
        </w:tc>
        <w:tc>
          <w:tcPr>
            <w:tcW w:w="400" w:type="dxa"/>
            <w:vAlign w:val="bottom"/>
          </w:tcPr>
          <w:p>
            <w:pPr>
              <w:spacing w:after="0"/>
              <w:rPr>
                <w:sz w:val="13"/>
                <w:szCs w:val="13"/>
                <w:color w:val="auto"/>
              </w:rPr>
            </w:pPr>
          </w:p>
        </w:tc>
        <w:tc>
          <w:tcPr>
            <w:tcW w:w="1380" w:type="dxa"/>
            <w:vAlign w:val="bottom"/>
            <w:vMerge w:val="restart"/>
          </w:tcPr>
          <w:p>
            <w:pPr>
              <w:jc w:val="right"/>
              <w:ind w:right="63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5"/>
        </w:trPr>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Benefits</w:t>
            </w:r>
          </w:p>
        </w:tc>
        <w:tc>
          <w:tcPr>
            <w:tcW w:w="120" w:type="dxa"/>
            <w:vAlign w:val="bottom"/>
          </w:tcPr>
          <w:p>
            <w:pPr>
              <w:spacing w:after="0"/>
              <w:rPr>
                <w:sz w:val="17"/>
                <w:szCs w:val="17"/>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Closure Costs</w:t>
            </w:r>
          </w:p>
        </w:tc>
        <w:tc>
          <w:tcPr>
            <w:tcW w:w="4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January 1,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3,568</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Charges incurred</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5,360</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(2,944)</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Currency translation</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2"/>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March 31,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5,062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5,923</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__________________________</w:t>
      </w:r>
    </w:p>
    <w:p>
      <w:pPr>
        <w:spacing w:after="0" w:line="118" w:lineRule="exact"/>
        <w:rPr>
          <w:sz w:val="20"/>
          <w:szCs w:val="20"/>
          <w:color w:val="auto"/>
        </w:rPr>
      </w:pPr>
    </w:p>
    <w:p>
      <w:pPr>
        <w:ind w:right="420" w:firstLine="3"/>
        <w:spacing w:after="0" w:line="245" w:lineRule="auto"/>
        <w:tabs>
          <w:tab w:leader="none" w:pos="173"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Relates to prior year accrued restructuring charges for estimated severances costs that will not be utilized and were reversed during the three months ended March 31, 2024.</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Strategic Transaction and Integration Expenses</w:t>
      </w:r>
    </w:p>
    <w:p>
      <w:pPr>
        <w:spacing w:after="0" w:line="247" w:lineRule="exact"/>
        <w:rPr>
          <w:sz w:val="20"/>
          <w:szCs w:val="20"/>
          <w:color w:val="auto"/>
        </w:rPr>
      </w:pPr>
    </w:p>
    <w:p>
      <w:pPr>
        <w:ind w:firstLine="169"/>
        <w:spacing w:after="0" w:line="264" w:lineRule="auto"/>
        <w:rPr>
          <w:sz w:val="20"/>
          <w:szCs w:val="20"/>
          <w:color w:val="auto"/>
        </w:rPr>
      </w:pPr>
      <w:r>
        <w:rPr>
          <w:rFonts w:ascii="Times New Roman" w:cs="Times New Roman" w:eastAsia="Times New Roman" w:hAnsi="Times New Roman"/>
          <w:sz w:val="17"/>
          <w:szCs w:val="17"/>
          <w:color w:val="auto"/>
        </w:rPr>
        <w:t>We incurred and expensed $10.8 million and $8.3 million in strategic transaction and integration expenses during the three months ended March 31, 2024 and 2023, respectively, which are included in restructuring, strategic transaction and integration expenses in our condensed consolidated statements of operations. The strategic transaction and integration expenses during the three months ended March 31, 2024 and 2023 were primarily related to consulting expenses and employee costs incurred to integrate our Smiths Medical business acquired in 2022.</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Related-party Transition Services Expenses</w:t>
      </w:r>
    </w:p>
    <w:p>
      <w:pPr>
        <w:spacing w:after="0" w:line="247" w:lineRule="exact"/>
        <w:rPr>
          <w:sz w:val="20"/>
          <w:szCs w:val="20"/>
          <w:color w:val="auto"/>
        </w:rPr>
      </w:pPr>
    </w:p>
    <w:p>
      <w:pPr>
        <w:ind w:right="180" w:firstLine="619"/>
        <w:spacing w:after="0" w:line="261" w:lineRule="auto"/>
        <w:rPr>
          <w:sz w:val="20"/>
          <w:szCs w:val="20"/>
          <w:color w:val="auto"/>
        </w:rPr>
      </w:pPr>
      <w:r>
        <w:rPr>
          <w:rFonts w:ascii="Times New Roman" w:cs="Times New Roman" w:eastAsia="Times New Roman" w:hAnsi="Times New Roman"/>
          <w:sz w:val="17"/>
          <w:szCs w:val="17"/>
          <w:color w:val="auto"/>
        </w:rPr>
        <w:t>Smiths Group plc ("Smiths") became a related party to us when we issued 2.5 million shares of our common stock as partial consideration to Smiths for the acquisition of Smiths Medical 2020 Limited ("Smiths Medical"). Additionally, we entered into a transition services agreement ("TSA") with certain Smiths legal entities. The TSA included certain information technology, human resource and tax support services for an initial term of twelve months with the option to extend up to 24 months. During the three months ended March 31, 2023, we expensed $4.0 million for services provided by Smiths under the TSA. Since December 31, 2023, there were no services being provided under the TSA and we had no remaining related-party open payables as of December 31, 2023.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Revenue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Recognition</w:t>
      </w:r>
    </w:p>
    <w:p>
      <w:pPr>
        <w:spacing w:after="0" w:line="247" w:lineRule="exact"/>
        <w:rPr>
          <w:sz w:val="20"/>
          <w:szCs w:val="20"/>
          <w:color w:val="auto"/>
        </w:rPr>
      </w:pPr>
    </w:p>
    <w:p>
      <w:pPr>
        <w:ind w:right="80" w:firstLine="172"/>
        <w:spacing w:after="0" w:line="264" w:lineRule="auto"/>
        <w:rPr>
          <w:sz w:val="20"/>
          <w:szCs w:val="20"/>
          <w:color w:val="auto"/>
        </w:rPr>
      </w:pPr>
      <w:r>
        <w:rPr>
          <w:rFonts w:ascii="Times New Roman" w:cs="Times New Roman" w:eastAsia="Times New Roman" w:hAnsi="Times New Roman"/>
          <w:sz w:val="17"/>
          <w:szCs w:val="17"/>
          <w:color w:val="auto"/>
        </w:rPr>
        <w:t>Our business units are Consumables, Infusion Systems and Vital Care. The vast majority of our sales of products within these business units are made on a stand-alone basis to hospitals and distributors. Revenue is typically recognized upon transfer of control of the products, which we deem to be at point of shipment. Our software license renewals are considered to be transferred to a customer at a point in time at the start of each renewal period, therefore revenue is recognized at that time.</w:t>
      </w:r>
    </w:p>
    <w:p>
      <w:pPr>
        <w:spacing w:after="0" w:line="197" w:lineRule="exact"/>
        <w:rPr>
          <w:sz w:val="20"/>
          <w:szCs w:val="20"/>
          <w:color w:val="auto"/>
        </w:rPr>
      </w:pPr>
    </w:p>
    <w:p>
      <w:pPr>
        <w:ind w:right="160" w:firstLine="172"/>
        <w:spacing w:after="0" w:line="287" w:lineRule="auto"/>
        <w:rPr>
          <w:sz w:val="20"/>
          <w:szCs w:val="20"/>
          <w:color w:val="auto"/>
        </w:rPr>
      </w:pPr>
      <w:r>
        <w:rPr>
          <w:rFonts w:ascii="Times New Roman" w:cs="Times New Roman" w:eastAsia="Times New Roman" w:hAnsi="Times New Roman"/>
          <w:sz w:val="17"/>
          <w:szCs w:val="17"/>
          <w:color w:val="auto"/>
        </w:rPr>
        <w:t>Payment is typically due in full within 30 days of delivery or the start of the contract term. Revenue is recorded in an amount that reflects the consideration we expect to be entitled to in exchange for those goods or services. We include variable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jc w:val="both"/>
        <w:ind w:right="480"/>
        <w:spacing w:after="0" w:line="270" w:lineRule="auto"/>
        <w:rPr>
          <w:sz w:val="20"/>
          <w:szCs w:val="20"/>
          <w:color w:val="auto"/>
        </w:rPr>
      </w:pPr>
      <w:r>
        <w:rPr>
          <w:rFonts w:ascii="Times New Roman" w:cs="Times New Roman" w:eastAsia="Times New Roman" w:hAnsi="Times New Roman"/>
          <w:sz w:val="17"/>
          <w:szCs w:val="17"/>
          <w:color w:val="auto"/>
        </w:rPr>
        <w:t>consideration in net sales only to the extent that a significant reversal in revenue is not probable when the uncertainty is resolved. Our variable consideration includes distributor chargebacks, product returns and end customer rebates with distributor chargebacks representing the majority and subject to the greatest judgment.</w:t>
      </w:r>
    </w:p>
    <w:p>
      <w:pPr>
        <w:spacing w:after="0" w:line="191"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7"/>
          <w:szCs w:val="17"/>
          <w:color w:val="auto"/>
        </w:rPr>
        <w:t>Chargebacks are the difference between the prices we charge our distribution customers at the time they purchase our products and the contracted prices we have with the end customer, most often in the U.S. and Canada. When a distributor sells our products to one of our contracted end customers, the distributor typically will claim a refund from us for the chargeback amount which we process as a credit to the distributor.</w:t>
      </w:r>
    </w:p>
    <w:p>
      <w:pPr>
        <w:spacing w:after="0" w:line="191"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In estimating the transaction price to present as net revenue for sales to distributors, we must estimate the expected chargeback amount that we will refund to the distributor after they sell our product to a contracted end customer. Determining the appropriate chargeback reserve requires judgment around the following assumptions:</w:t>
      </w:r>
    </w:p>
    <w:p>
      <w:pPr>
        <w:spacing w:after="0" w:line="191" w:lineRule="exact"/>
        <w:rPr>
          <w:sz w:val="20"/>
          <w:szCs w:val="20"/>
          <w:color w:val="auto"/>
        </w:rPr>
      </w:pPr>
    </w:p>
    <w:p>
      <w:pPr>
        <w:ind w:right="280" w:firstLine="622"/>
        <w:spacing w:after="0" w:line="287" w:lineRule="auto"/>
        <w:tabs>
          <w:tab w:leader="none" w:pos="82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estimated chargeback amount (the difference between the price we invoice the distributor and the contractually agreed price with specified end customers); and</w:t>
      </w:r>
    </w:p>
    <w:p>
      <w:pPr>
        <w:spacing w:after="0" w:line="177" w:lineRule="exact"/>
        <w:rPr>
          <w:rFonts w:ascii="Times New Roman" w:cs="Times New Roman" w:eastAsia="Times New Roman" w:hAnsi="Times New Roman"/>
          <w:sz w:val="17"/>
          <w:szCs w:val="17"/>
          <w:color w:val="auto"/>
        </w:rPr>
      </w:pPr>
    </w:p>
    <w:p>
      <w:pPr>
        <w:ind w:left="880" w:hanging="258"/>
        <w:spacing w:after="0"/>
        <w:tabs>
          <w:tab w:leader="none" w:pos="8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estimated period of time between the sale to the distributor and the receipt of a chargeback claim.</w:t>
      </w:r>
    </w:p>
    <w:p>
      <w:pPr>
        <w:spacing w:after="0" w:line="243" w:lineRule="exact"/>
        <w:rPr>
          <w:sz w:val="20"/>
          <w:szCs w:val="20"/>
          <w:color w:val="auto"/>
        </w:rPr>
      </w:pPr>
    </w:p>
    <w:p>
      <w:pPr>
        <w:ind w:right="280" w:firstLine="619"/>
        <w:spacing w:after="0" w:line="261" w:lineRule="auto"/>
        <w:rPr>
          <w:sz w:val="20"/>
          <w:szCs w:val="20"/>
          <w:color w:val="auto"/>
        </w:rPr>
      </w:pPr>
      <w:r>
        <w:rPr>
          <w:rFonts w:ascii="Times New Roman" w:cs="Times New Roman" w:eastAsia="Times New Roman" w:hAnsi="Times New Roman"/>
          <w:sz w:val="17"/>
          <w:szCs w:val="17"/>
          <w:color w:val="auto"/>
        </w:rPr>
        <w:t>For purposes of estimating the expected chargeback amount, we utilize actual recent historical chargebacks paid to the specific distributor for similar products as determined at either a product or product-family level. While individual chargeback rates can vary significantly depending on the product and contracted prices with distributors and end customers, our chargeback reserve estimate is not overly sensitive to those individual price changes due to the long-term nature of our distributor and end customer contracts as well as consistency in purchasing patterns. Additionally, the use of the actual chargeback history to calculate an average chargeback rate has historically resulted in a reasonable estimation of overall current contract rates.</w:t>
      </w:r>
    </w:p>
    <w:p>
      <w:pPr>
        <w:spacing w:after="0" w:line="200" w:lineRule="exact"/>
        <w:rPr>
          <w:sz w:val="20"/>
          <w:szCs w:val="20"/>
          <w:color w:val="auto"/>
        </w:rPr>
      </w:pPr>
    </w:p>
    <w:p>
      <w:pPr>
        <w:ind w:right="200" w:firstLine="619"/>
        <w:spacing w:after="0" w:line="259" w:lineRule="auto"/>
        <w:rPr>
          <w:sz w:val="20"/>
          <w:szCs w:val="20"/>
          <w:color w:val="auto"/>
        </w:rPr>
      </w:pPr>
      <w:r>
        <w:rPr>
          <w:rFonts w:ascii="Times New Roman" w:cs="Times New Roman" w:eastAsia="Times New Roman" w:hAnsi="Times New Roman"/>
          <w:sz w:val="17"/>
          <w:szCs w:val="17"/>
          <w:color w:val="auto"/>
        </w:rPr>
        <w:t>For purposes of estimating the period of time between the sale to the distributor and the receipt of a chargeback claim, we utilize several sources of information including actual inventory quantities of our products on hand at distributors. This inventory on hand information is received from the distributors or, when specific quantities are not provided, estimated by using the targeted days of inventory on hand for distributors. Historical experience of actual chargebacks paid has indicated that use of this information has reasonable predictive value of outstanding chargebacks and accounts for the variability of purchasing patterns and expected timing and volume of sales to end customers. The value of the chargeback reserve generally represents approximately two months of obligation due to the timing difference between the initial sale to a distributor and the processing of a chargeback claim after the product is sold to the end customer.</w:t>
      </w:r>
    </w:p>
    <w:p>
      <w:pPr>
        <w:spacing w:after="0" w:line="200" w:lineRule="exact"/>
        <w:rPr>
          <w:sz w:val="20"/>
          <w:szCs w:val="20"/>
          <w:color w:val="auto"/>
        </w:rPr>
      </w:pPr>
    </w:p>
    <w:p>
      <w:pPr>
        <w:spacing w:after="0" w:line="210"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The chargeback reserve estimates change from period-to-period primarily based on changes in revenue from/and the inventory levels of distributors. Our judgments regarding the information used to calculate the chargeback reserve are consistent from period to period; however, on a regular basis, we evaluate the adequacy of the chargeback reserve to reassess and ensure that the variable consideration is appropriately constrained, and the likelihood of future revenue reversal is not probable. We use metrics including chargeback provision as a percentage of gross revenue, movements in inventory on hand at distributors, trends in accrued versus paid chargebacks and impacts from price changes and similar metrics.</w:t>
      </w:r>
    </w:p>
    <w:p>
      <w:pPr>
        <w:spacing w:after="0" w:line="200"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The chargeback reserve reflects a reasonable estimate of the amount of consideration using the expected value method and is recorded as a reduction of accounts receivable, net on the consolidated balance sheets.</w:t>
      </w:r>
    </w:p>
    <w:p>
      <w:pPr>
        <w:spacing w:after="0" w:line="177" w:lineRule="exact"/>
        <w:rPr>
          <w:sz w:val="20"/>
          <w:szCs w:val="20"/>
          <w:color w:val="auto"/>
        </w:rPr>
      </w:pPr>
    </w:p>
    <w:p>
      <w:pPr>
        <w:ind w:right="320" w:firstLine="169"/>
        <w:spacing w:after="0" w:line="270" w:lineRule="auto"/>
        <w:rPr>
          <w:sz w:val="20"/>
          <w:szCs w:val="20"/>
          <w:color w:val="auto"/>
        </w:rPr>
      </w:pPr>
      <w:r>
        <w:rPr>
          <w:rFonts w:ascii="Times New Roman" w:cs="Times New Roman" w:eastAsia="Times New Roman" w:hAnsi="Times New Roman"/>
          <w:sz w:val="17"/>
          <w:szCs w:val="17"/>
          <w:color w:val="auto"/>
        </w:rPr>
        <w:t>We also offer certain volume-based rebates to both our distribution and end customers, which is recorded as variable consideration when calculating the transaction price. Rebates are offered on both a fixed and tiered/variable basis. In both cases, we use information available at the time, including current contractual requirements, our historical experience with each customer and forecasted customer purchasing patterns, to estimate the most likely rebate amount.</w:t>
      </w:r>
    </w:p>
    <w:p>
      <w:pPr>
        <w:spacing w:after="0" w:line="178" w:lineRule="exact"/>
        <w:rPr>
          <w:sz w:val="20"/>
          <w:szCs w:val="20"/>
          <w:color w:val="auto"/>
        </w:rPr>
      </w:pPr>
    </w:p>
    <w:p>
      <w:pPr>
        <w:ind w:right="80" w:firstLine="619"/>
        <w:spacing w:after="0" w:line="248" w:lineRule="auto"/>
        <w:rPr>
          <w:sz w:val="20"/>
          <w:szCs w:val="20"/>
          <w:color w:val="auto"/>
        </w:rPr>
      </w:pPr>
      <w:r>
        <w:rPr>
          <w:rFonts w:ascii="Times New Roman" w:cs="Times New Roman" w:eastAsia="Times New Roman" w:hAnsi="Times New Roman"/>
          <w:sz w:val="17"/>
          <w:szCs w:val="17"/>
          <w:color w:val="auto"/>
        </w:rPr>
        <w:t>We also warrant products against defects and have a policy permitting the return of defective products, for which we accrue and expense at the time of sale using information available at that time and our historical experience. We also provide for extended service-type warranties, which we consider to be separate performance obligations. We allocate a portion of the transaction price to the extended service-type warranty based on its estimated relative stand-alone selling price, and recognize revenue over the period the warranty service is provided.</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Arrangements with Multiple Performance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also enter into arrangements which include multiple performance obligations. The most significant judgments related to these arrangements include:</w:t>
      </w:r>
    </w:p>
    <w:p>
      <w:pPr>
        <w:spacing w:after="0" w:line="243" w:lineRule="exact"/>
        <w:rPr>
          <w:sz w:val="20"/>
          <w:szCs w:val="20"/>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the various performance obligations of these arrangements.</w:t>
      </w:r>
    </w:p>
    <w:p>
      <w:pPr>
        <w:spacing w:after="0" w:line="27" w:lineRule="exact"/>
        <w:rPr>
          <w:rFonts w:ascii="Times New Roman" w:cs="Times New Roman" w:eastAsia="Times New Roman" w:hAnsi="Times New Roman"/>
          <w:sz w:val="17"/>
          <w:szCs w:val="17"/>
          <w:color w:val="auto"/>
        </w:rPr>
      </w:pPr>
    </w:p>
    <w:p>
      <w:pPr>
        <w:ind w:left="620" w:right="160" w:hanging="307"/>
        <w:spacing w:after="0" w:line="266"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Estimating the relative standalone selling price of each performance obligation, typically using a directly observable method or calculated on a cost plus margin basis method.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Revenue Disaggregated</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38"/>
        </w:trPr>
        <w:tc>
          <w:tcPr>
            <w:tcW w:w="75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following table represents our revenues disaggregated by product line (in thousands):</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25"/>
        </w:trPr>
        <w:tc>
          <w:tcPr>
            <w:tcW w:w="7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80" w:type="dxa"/>
            <w:vAlign w:val="bottom"/>
            <w:gridSpan w:val="3"/>
          </w:tcPr>
          <w:p>
            <w:pPr>
              <w:jc w:val="center"/>
              <w:ind w:left="53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80" w:type="dxa"/>
            <w:vAlign w:val="bottom"/>
          </w:tcPr>
          <w:p>
            <w:pPr>
              <w:spacing w:after="0"/>
              <w:rPr>
                <w:sz w:val="24"/>
                <w:szCs w:val="24"/>
                <w:color w:val="auto"/>
              </w:rPr>
            </w:pPr>
          </w:p>
        </w:tc>
      </w:tr>
      <w:tr>
        <w:trPr>
          <w:trHeight w:val="227"/>
        </w:trPr>
        <w:tc>
          <w:tcPr>
            <w:tcW w:w="75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center"/>
              <w:ind w:left="57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80" w:type="dxa"/>
            <w:vAlign w:val="bottom"/>
            <w:tcBorders>
              <w:bottom w:val="single" w:sz="8" w:color="auto"/>
            </w:tcBorders>
          </w:tcPr>
          <w:p>
            <w:pPr>
              <w:spacing w:after="0"/>
              <w:rPr>
                <w:sz w:val="19"/>
                <w:szCs w:val="19"/>
                <w:color w:val="auto"/>
              </w:rPr>
            </w:pPr>
          </w:p>
        </w:tc>
      </w:tr>
      <w:tr>
        <w:trPr>
          <w:trHeight w:val="217"/>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Product line</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212"/>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Consumables</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244,039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236,122</w:t>
            </w:r>
          </w:p>
        </w:tc>
      </w:tr>
      <w:tr>
        <w:trPr>
          <w:trHeight w:val="219"/>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Infusion Systems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157,338</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161,713</w:t>
            </w:r>
          </w:p>
        </w:tc>
      </w:tr>
      <w:tr>
        <w:trPr>
          <w:trHeight w:val="21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Vital Care</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165,278</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170,814</w:t>
            </w:r>
          </w:p>
        </w:tc>
      </w:tr>
      <w:tr>
        <w:trPr>
          <w:trHeight w:val="212"/>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566,655</w:t>
            </w:r>
          </w:p>
        </w:tc>
        <w:tc>
          <w:tcPr>
            <w:tcW w:w="120" w:type="dxa"/>
            <w:vAlign w:val="bottom"/>
          </w:tcPr>
          <w:p>
            <w:pPr>
              <w:spacing w:after="0"/>
              <w:rPr>
                <w:sz w:val="18"/>
                <w:szCs w:val="18"/>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568,649</w:t>
            </w:r>
          </w:p>
        </w:tc>
      </w:tr>
      <w:tr>
        <w:trPr>
          <w:trHeight w:val="20"/>
        </w:trPr>
        <w:tc>
          <w:tcPr>
            <w:tcW w:w="7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For the three months ended March 31, 2024 and 2023, net sales to Medline made up approximately 17% and 15% of total revenues, respectively.</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5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The following table represents our revenues disaggregated by geography (in thousands):</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6"/>
        </w:trPr>
        <w:tc>
          <w:tcPr>
            <w:tcW w:w="7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100" w:type="dxa"/>
            <w:vAlign w:val="bottom"/>
          </w:tcPr>
          <w:p>
            <w:pPr>
              <w:spacing w:after="0"/>
              <w:rPr>
                <w:sz w:val="23"/>
                <w:szCs w:val="23"/>
                <w:color w:val="auto"/>
              </w:rPr>
            </w:pPr>
          </w:p>
        </w:tc>
      </w:tr>
      <w:tr>
        <w:trPr>
          <w:trHeight w:val="227"/>
        </w:trPr>
        <w:tc>
          <w:tcPr>
            <w:tcW w:w="75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00" w:type="dxa"/>
            <w:vAlign w:val="bottom"/>
            <w:tcBorders>
              <w:bottom w:val="single" w:sz="8" w:color="auto"/>
            </w:tcBorders>
          </w:tcPr>
          <w:p>
            <w:pPr>
              <w:spacing w:after="0"/>
              <w:rPr>
                <w:sz w:val="19"/>
                <w:szCs w:val="19"/>
                <w:color w:val="auto"/>
              </w:rPr>
            </w:pPr>
          </w:p>
        </w:tc>
      </w:tr>
      <w:tr>
        <w:trPr>
          <w:trHeight w:val="212"/>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Geography</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United States</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366,155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359,187</w:t>
            </w:r>
          </w:p>
        </w:tc>
      </w:tr>
      <w:tr>
        <w:trPr>
          <w:trHeight w:val="219"/>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Europe, the Middle East and Africa</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98,389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98,986</w:t>
            </w:r>
          </w:p>
        </w:tc>
      </w:tr>
      <w:tr>
        <w:trPr>
          <w:trHeight w:val="21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APAC</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51,853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58,624</w:t>
            </w:r>
          </w:p>
        </w:tc>
      </w:tr>
      <w:tr>
        <w:trPr>
          <w:trHeight w:val="219"/>
        </w:trPr>
        <w:tc>
          <w:tcPr>
            <w:tcW w:w="7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Foreign</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50,258</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51,852</w:t>
            </w:r>
          </w:p>
        </w:tc>
      </w:tr>
      <w:tr>
        <w:trPr>
          <w:trHeight w:val="237"/>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566,655</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568,649</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Balances</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presents the changes in our contract balances for the three months ended March 31, 2024 and 2023 (in thousands):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90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Contract Liabilities</w:t>
            </w:r>
          </w:p>
        </w:tc>
      </w:tr>
      <w:tr>
        <w:trPr>
          <w:trHeight w:val="212"/>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January 1, 2024</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(42,177)</w:t>
            </w:r>
          </w:p>
        </w:tc>
      </w:tr>
      <w:tr>
        <w:trPr>
          <w:trHeight w:val="219"/>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Equipment revenue recognized</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7,499</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Equipment revenue deferred due to implementation</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(9,340)</w:t>
            </w:r>
          </w:p>
        </w:tc>
      </w:tr>
      <w:tr>
        <w:trPr>
          <w:trHeight w:val="219"/>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Software revenue recognized</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4,677</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Software revenue deferred due to implementation</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(5,571)</w:t>
            </w:r>
          </w:p>
        </w:tc>
      </w:tr>
      <w:tr>
        <w:trPr>
          <w:trHeight w:val="258"/>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Government grant income recognized</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Government grant income deferred</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deferred revenue</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deferred revenue recognized</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w:t>
            </w:r>
          </w:p>
        </w:tc>
      </w:tr>
      <w:tr>
        <w:trPr>
          <w:trHeight w:val="212"/>
        </w:trPr>
        <w:tc>
          <w:tcPr>
            <w:tcW w:w="9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March 31, 2024</w:t>
            </w: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(43,357)</w:t>
            </w:r>
          </w:p>
        </w:tc>
      </w:tr>
      <w:tr>
        <w:trPr>
          <w:trHeight w:val="20"/>
        </w:trPr>
        <w:tc>
          <w:tcPr>
            <w:tcW w:w="9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24"/>
        </w:trPr>
        <w:tc>
          <w:tcPr>
            <w:tcW w:w="90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spacing w:after="0"/>
              <w:rPr>
                <w:sz w:val="19"/>
                <w:szCs w:val="19"/>
                <w:color w:val="auto"/>
              </w:rPr>
            </w:pPr>
          </w:p>
        </w:tc>
      </w:tr>
      <w:tr>
        <w:trPr>
          <w:trHeight w:val="212"/>
        </w:trPr>
        <w:tc>
          <w:tcPr>
            <w:tcW w:w="9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January 1, 2023</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(45,866)</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Equipment revenue recognized</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5,976</w:t>
            </w:r>
          </w:p>
        </w:tc>
      </w:tr>
      <w:tr>
        <w:trPr>
          <w:trHeight w:val="219"/>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Equipment revenue deferred due to implementation</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(7,236)</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Software revenue recognized</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4,108</w:t>
            </w:r>
          </w:p>
        </w:tc>
      </w:tr>
      <w:tr>
        <w:trPr>
          <w:trHeight w:val="219"/>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Software revenue deferred due to implementation</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(5,362)</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Government grant income deferred</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w:t>
            </w:r>
          </w:p>
        </w:tc>
      </w:tr>
      <w:tr>
        <w:trPr>
          <w:trHeight w:val="258"/>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Government grant income recognized</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deferred revenue</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w:t>
            </w:r>
          </w:p>
        </w:tc>
      </w:tr>
      <w:tr>
        <w:trPr>
          <w:trHeight w:val="219"/>
        </w:trPr>
        <w:tc>
          <w:tcPr>
            <w:tcW w:w="9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deferred revenue recognized</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1,915</w:t>
            </w:r>
          </w:p>
        </w:tc>
      </w:tr>
      <w:tr>
        <w:trPr>
          <w:trHeight w:val="237"/>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March 31, 2023</w:t>
            </w: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(47,511)</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w:t>
      </w:r>
    </w:p>
    <w:p>
      <w:pPr>
        <w:spacing w:after="0" w:line="84" w:lineRule="exact"/>
        <w:rPr>
          <w:sz w:val="20"/>
          <w:szCs w:val="20"/>
          <w:color w:val="auto"/>
        </w:rPr>
      </w:pPr>
    </w:p>
    <w:p>
      <w:pPr>
        <w:ind w:left="180" w:hanging="177"/>
        <w:spacing w:after="0"/>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government grant income deferred is amortized over the life of the related depreciable asset as a reduction to depreciation expense.</w:t>
      </w:r>
    </w:p>
    <w:p>
      <w:pPr>
        <w:spacing w:after="0" w:line="53" w:lineRule="exact"/>
        <w:rPr>
          <w:sz w:val="20"/>
          <w:szCs w:val="20"/>
          <w:color w:val="auto"/>
        </w:rPr>
      </w:pPr>
    </w:p>
    <w:p>
      <w:pPr>
        <w:ind w:right="120" w:firstLine="619"/>
        <w:spacing w:after="0" w:line="265" w:lineRule="auto"/>
        <w:rPr>
          <w:sz w:val="20"/>
          <w:szCs w:val="20"/>
          <w:color w:val="auto"/>
        </w:rPr>
      </w:pPr>
      <w:r>
        <w:rPr>
          <w:rFonts w:ascii="Times New Roman" w:cs="Times New Roman" w:eastAsia="Times New Roman" w:hAnsi="Times New Roman"/>
          <w:sz w:val="17"/>
          <w:szCs w:val="17"/>
          <w:color w:val="auto"/>
        </w:rPr>
        <w:t>Our contract liabilities are included in accrued liabilities or other long-term liabilities in our condensed consolidated balance sheet based on the expected timing of revenue recognition.</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March 31, 2024, revenue from remaining performance obligations is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5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7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Recognition Timing</w:t>
            </w:r>
          </w:p>
        </w:tc>
        <w:tc>
          <w:tcPr>
            <w:tcW w:w="1620" w:type="dxa"/>
            <w:vAlign w:val="bottom"/>
            <w:tcBorders>
              <w:bottom w:val="single" w:sz="8" w:color="auto"/>
            </w:tcBorders>
            <w:shd w:val="clear" w:color="auto" w:fill="CCEEFF"/>
          </w:tcPr>
          <w:p>
            <w:pPr>
              <w:spacing w:after="0"/>
              <w:rPr>
                <w:sz w:val="19"/>
                <w:szCs w:val="19"/>
                <w:color w:val="auto"/>
              </w:rPr>
            </w:pPr>
          </w:p>
        </w:tc>
      </w:tr>
      <w:tr>
        <w:trPr>
          <w:trHeight w:val="212"/>
        </w:trPr>
        <w:tc>
          <w:tcPr>
            <w:tcW w:w="65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400" w:type="dxa"/>
            <w:vAlign w:val="bottom"/>
          </w:tcPr>
          <w:p>
            <w:pPr>
              <w:spacing w:after="0"/>
              <w:rPr>
                <w:sz w:val="18"/>
                <w:szCs w:val="18"/>
                <w:color w:val="auto"/>
              </w:rPr>
            </w:pPr>
          </w:p>
        </w:tc>
        <w:tc>
          <w:tcPr>
            <w:tcW w:w="202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&lt; 12 Months</w:t>
            </w:r>
          </w:p>
        </w:tc>
        <w:tc>
          <w:tcPr>
            <w:tcW w:w="700" w:type="dxa"/>
            <w:vAlign w:val="bottom"/>
          </w:tcPr>
          <w:p>
            <w:pPr>
              <w:spacing w:after="0"/>
              <w:rPr>
                <w:sz w:val="18"/>
                <w:szCs w:val="18"/>
                <w:color w:val="auto"/>
              </w:rPr>
            </w:pPr>
          </w:p>
        </w:tc>
        <w:tc>
          <w:tcPr>
            <w:tcW w:w="1620" w:type="dxa"/>
            <w:vAlign w:val="bottom"/>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w w:val="98"/>
              </w:rPr>
              <w:t>&gt; 12 Months</w:t>
            </w:r>
          </w:p>
        </w:tc>
      </w:tr>
      <w:tr>
        <w:trPr>
          <w:trHeight w:val="212"/>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Equipment deferred revenue</w:t>
            </w: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(20,007)</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w:t>
            </w:r>
          </w:p>
        </w:tc>
      </w:tr>
      <w:tr>
        <w:trPr>
          <w:trHeight w:val="219"/>
        </w:trPr>
        <w:tc>
          <w:tcPr>
            <w:tcW w:w="6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 deferred revenue</w:t>
            </w:r>
          </w:p>
        </w:tc>
        <w:tc>
          <w:tcPr>
            <w:tcW w:w="4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(9,923)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w:t>
            </w:r>
          </w:p>
        </w:tc>
      </w:tr>
      <w:tr>
        <w:trPr>
          <w:trHeight w:val="219"/>
        </w:trPr>
        <w:tc>
          <w:tcPr>
            <w:tcW w:w="65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Government grant deferred income</w:t>
            </w:r>
            <w:r>
              <w:rPr>
                <w:rFonts w:ascii="Times New Roman" w:cs="Times New Roman" w:eastAsia="Times New Roman" w:hAnsi="Times New Roman"/>
                <w:sz w:val="22"/>
                <w:szCs w:val="22"/>
                <w:color w:val="auto"/>
                <w:vertAlign w:val="superscript"/>
              </w:rPr>
              <w:t>(1)</w:t>
            </w: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(8,900)</w:t>
            </w:r>
          </w:p>
        </w:tc>
      </w:tr>
      <w:tr>
        <w:trPr>
          <w:trHeight w:val="219"/>
        </w:trPr>
        <w:tc>
          <w:tcPr>
            <w:tcW w:w="650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Other deferred revenue</w:t>
            </w:r>
            <w:r>
              <w:rPr>
                <w:rFonts w:ascii="Times New Roman" w:cs="Times New Roman" w:eastAsia="Times New Roman" w:hAnsi="Times New Roman"/>
                <w:sz w:val="22"/>
                <w:szCs w:val="22"/>
                <w:color w:val="auto"/>
                <w:vertAlign w:val="superscript"/>
              </w:rPr>
              <w:t>(2)</w:t>
            </w:r>
          </w:p>
        </w:tc>
        <w:tc>
          <w:tcPr>
            <w:tcW w:w="4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w:t>
            </w:r>
          </w:p>
        </w:tc>
      </w:tr>
      <w:tr>
        <w:trPr>
          <w:trHeight w:val="237"/>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(32,752)</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(10,605)</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32" w:lineRule="exact"/>
        <w:rPr>
          <w:sz w:val="20"/>
          <w:szCs w:val="20"/>
          <w:color w:val="auto"/>
        </w:rPr>
      </w:pPr>
    </w:p>
    <w:p>
      <w:pPr>
        <w:ind w:left="180" w:hanging="177"/>
        <w:spacing w:after="0"/>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government grant deferred income is amortized over the life of the related depreciable asset as a reduction to depreciation expense.</w:t>
      </w:r>
    </w:p>
    <w:p>
      <w:pPr>
        <w:spacing w:after="0" w:line="52" w:lineRule="exact"/>
        <w:rPr>
          <w:rFonts w:ascii="Times New Roman" w:cs="Times New Roman" w:eastAsia="Times New Roman" w:hAnsi="Times New Roman"/>
          <w:sz w:val="22"/>
          <w:szCs w:val="22"/>
          <w:color w:val="auto"/>
          <w:vertAlign w:val="superscript"/>
        </w:rPr>
      </w:pPr>
    </w:p>
    <w:p>
      <w:pPr>
        <w:ind w:left="180" w:hanging="177"/>
        <w:spacing w:after="0" w:line="194" w:lineRule="auto"/>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deferred revenue includes pump development programs, purchased training and extended warranty.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Leases</w:t>
      </w:r>
    </w:p>
    <w:p>
      <w:pPr>
        <w:spacing w:after="0" w:line="199" w:lineRule="exact"/>
        <w:rPr>
          <w:sz w:val="20"/>
          <w:szCs w:val="20"/>
          <w:color w:val="auto"/>
        </w:rPr>
      </w:pPr>
    </w:p>
    <w:p>
      <w:pPr>
        <w:jc w:val="both"/>
        <w:ind w:right="220" w:firstLine="172"/>
        <w:spacing w:after="0" w:line="270" w:lineRule="auto"/>
        <w:rPr>
          <w:sz w:val="20"/>
          <w:szCs w:val="20"/>
          <w:color w:val="auto"/>
        </w:rPr>
      </w:pPr>
      <w:r>
        <w:rPr>
          <w:rFonts w:ascii="Times New Roman" w:cs="Times New Roman" w:eastAsia="Times New Roman" w:hAnsi="Times New Roman"/>
          <w:sz w:val="17"/>
          <w:szCs w:val="17"/>
          <w:color w:val="auto"/>
        </w:rPr>
        <w:t>We determine if an arrangement is a lease at inception. Our operating lease assets are separately stated in operating lease right-of-use ("ROU") assets and our financing lease assets are included in other assets on our condensed consolidated balance sheets. Our lease liabilities are included in accrued liabilities and other long-term liabilities on our condensed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balance sheets. We have elected not to recognize an ROU asset and lease liability for leases with terms of twelve months or less.</w:t>
      </w:r>
    </w:p>
    <w:p>
      <w:pPr>
        <w:spacing w:after="0" w:line="243" w:lineRule="exact"/>
        <w:rPr>
          <w:sz w:val="20"/>
          <w:szCs w:val="20"/>
          <w:color w:val="auto"/>
        </w:rPr>
      </w:pPr>
    </w:p>
    <w:p>
      <w:pPr>
        <w:ind w:firstLine="172"/>
        <w:spacing w:after="0" w:line="261" w:lineRule="auto"/>
        <w:rPr>
          <w:sz w:val="20"/>
          <w:szCs w:val="20"/>
          <w:color w:val="auto"/>
        </w:rPr>
      </w:pPr>
      <w:r>
        <w:rPr>
          <w:rFonts w:ascii="Times New Roman" w:cs="Times New Roman" w:eastAsia="Times New Roman" w:hAnsi="Times New Roman"/>
          <w:sz w:val="17"/>
          <w:szCs w:val="17"/>
          <w:color w:val="auto"/>
        </w:rPr>
        <w:t>Lease ROU assets and lease liabilities are recognized based on the present value of the future minimum lease payments over the lease term at commencement date. Most of our leases do not provide an implicit rate, therefore we use our incremental borrowing rate, which is the rate incurred to borrow on a collateralized basis over a similar term based on the information available at commencement date. Our lease ROU assets exclude lease incentives and initial direct costs incurred. Our lease terms include options to extend when it is reasonably certain that we will exercise that option. All of our leases have stated lease payments, which may include fixed rental increases. Lease expense for minimum lease payments is recognized on a straight-line basis over the lease term.</w:t>
      </w:r>
    </w:p>
    <w:p>
      <w:pPr>
        <w:spacing w:after="0" w:line="175" w:lineRule="exact"/>
        <w:rPr>
          <w:sz w:val="20"/>
          <w:szCs w:val="20"/>
          <w:color w:val="auto"/>
        </w:rPr>
      </w:pPr>
    </w:p>
    <w:p>
      <w:pPr>
        <w:ind w:firstLine="172"/>
        <w:spacing w:after="0" w:line="264" w:lineRule="auto"/>
        <w:rPr>
          <w:sz w:val="20"/>
          <w:szCs w:val="20"/>
          <w:color w:val="auto"/>
        </w:rPr>
      </w:pPr>
      <w:r>
        <w:rPr>
          <w:rFonts w:ascii="Times New Roman" w:cs="Times New Roman" w:eastAsia="Times New Roman" w:hAnsi="Times New Roman"/>
          <w:sz w:val="17"/>
          <w:szCs w:val="17"/>
          <w:color w:val="auto"/>
        </w:rPr>
        <w:t>Our leases are for corporate, research and development and sales and support offices, manufacturing and distribution facilities, device service centers and certain equipment. Our leases have original lease terms of one year to fifteen years, some of which include options to extend the leases for up to an additional five years. For all of our leases, we do not include optional periods of extension in our current lease terms because we determine the exercise of options to extend is not reasonably certain.</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components of our lease cost (in thousands):</w:t>
      </w:r>
    </w:p>
    <w:p>
      <w:pPr>
        <w:spacing w:after="0" w:line="130"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ind w:left="896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744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120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6,150</w:t>
            </w:r>
          </w:p>
        </w:tc>
      </w:tr>
      <w:tr>
        <w:trPr>
          <w:trHeight w:val="219"/>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cost — interest</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cost — reduction of ROU asset</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r>
      <w:tr>
        <w:trPr>
          <w:trHeight w:val="219"/>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12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37"/>
        </w:trPr>
        <w:tc>
          <w:tcPr>
            <w:tcW w:w="7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cost</w:t>
            </w:r>
          </w:p>
        </w:tc>
        <w:tc>
          <w:tcPr>
            <w:tcW w:w="1200" w:type="dxa"/>
            <w:vAlign w:val="bottom"/>
            <w:tcBorders>
              <w:top w:val="single" w:sz="8" w:color="auto"/>
              <w:bottom w:val="single" w:sz="8" w:color="auto"/>
            </w:tcBorders>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6,417</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ind w:right="220" w:firstLine="619"/>
        <w:spacing w:after="0" w:line="270" w:lineRule="auto"/>
        <w:rPr>
          <w:sz w:val="20"/>
          <w:szCs w:val="20"/>
          <w:color w:val="auto"/>
        </w:rPr>
      </w:pPr>
      <w:r>
        <w:rPr>
          <w:rFonts w:ascii="Times New Roman" w:cs="Times New Roman" w:eastAsia="Times New Roman" w:hAnsi="Times New Roman"/>
          <w:sz w:val="17"/>
          <w:szCs w:val="17"/>
          <w:color w:val="auto"/>
        </w:rPr>
        <w:t>Interest expense on our finance leases is included in interest expense, net in our condensed consolidated statements of operations. The reduction of the operating and finance ROU assets is included as noncash lease expense in costs of goods sold and selling, general and administrative expenses in our condensed consolidated statements of operations.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supplemental cash flow information related to our leases (in thousands):</w:t>
      </w:r>
    </w:p>
    <w:p>
      <w:pPr>
        <w:spacing w:after="0" w:line="130"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ind w:left="902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6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9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9"/>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5,884</w:t>
            </w:r>
          </w:p>
        </w:tc>
        <w:tc>
          <w:tcPr>
            <w:tcW w:w="12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6,051</w:t>
            </w:r>
          </w:p>
        </w:tc>
      </w:tr>
      <w:tr>
        <w:trPr>
          <w:trHeight w:val="21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cash flows from finance leases</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58"/>
        </w:trPr>
        <w:tc>
          <w:tcPr>
            <w:tcW w:w="7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lease obligations: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9"/>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leases</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2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8,979</w:t>
            </w:r>
          </w:p>
        </w:tc>
      </w:tr>
      <w:tr>
        <w:trPr>
          <w:trHeight w:val="21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Finance leases</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r>
    </w:tbl>
    <w:p>
      <w:pPr>
        <w:spacing w:after="0" w:line="2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supplemental balance sheet information related to our operating leases (in thousands, except lease term and discount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80" w:type="dxa"/>
            <w:vAlign w:val="bottom"/>
            <w:tcBorders>
              <w:bottom w:val="single" w:sz="8" w:color="auto"/>
            </w:tcBorders>
          </w:tcPr>
          <w:p>
            <w:pPr>
              <w:spacing w:after="0"/>
              <w:rPr>
                <w:sz w:val="17"/>
                <w:szCs w:val="17"/>
                <w:color w:val="auto"/>
              </w:rPr>
            </w:pPr>
          </w:p>
        </w:tc>
      </w:tr>
      <w:tr>
        <w:trPr>
          <w:trHeight w:val="201"/>
        </w:trPr>
        <w:tc>
          <w:tcPr>
            <w:tcW w:w="7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220" w:type="dxa"/>
            <w:vAlign w:val="bottom"/>
          </w:tcPr>
          <w:p>
            <w:pPr>
              <w:spacing w:after="0"/>
              <w:rPr>
                <w:sz w:val="17"/>
                <w:szCs w:val="17"/>
                <w:color w:val="auto"/>
              </w:rPr>
            </w:pPr>
          </w:p>
        </w:tc>
        <w:tc>
          <w:tcPr>
            <w:tcW w:w="1680" w:type="dxa"/>
            <w:vAlign w:val="bottom"/>
          </w:tcPr>
          <w:p>
            <w:pPr>
              <w:jc w:val="right"/>
              <w:ind w:right="235"/>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00"/>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2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19"/>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64,928</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69,909</w:t>
            </w:r>
          </w:p>
        </w:tc>
      </w:tr>
      <w:tr>
        <w:trPr>
          <w:trHeight w:val="258"/>
        </w:trPr>
        <w:tc>
          <w:tcPr>
            <w:tcW w:w="7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19"/>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18,532</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20,161</w:t>
            </w: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49,546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52,972</w:t>
            </w:r>
          </w:p>
        </w:tc>
      </w:tr>
      <w:tr>
        <w:trPr>
          <w:trHeight w:val="212"/>
        </w:trPr>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operating lease liabilities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68,078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73,133</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4"/>
        </w:trPr>
        <w:tc>
          <w:tcPr>
            <w:tcW w:w="7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9"/>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Remaining Lease Term</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9"/>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2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5.5 years</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 years</w:t>
            </w:r>
          </w:p>
        </w:tc>
      </w:tr>
      <w:tr>
        <w:trPr>
          <w:trHeight w:val="258"/>
        </w:trPr>
        <w:tc>
          <w:tcPr>
            <w:tcW w:w="7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Discount Rate</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3"/>
        </w:trPr>
        <w:tc>
          <w:tcPr>
            <w:tcW w:w="7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4.31 %</w:t>
            </w:r>
          </w:p>
        </w:tc>
      </w:tr>
    </w:tbl>
    <w:p>
      <w:pPr>
        <w:spacing w:after="0" w:line="2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supplemental balance sheet information related to our finance leases (in thousands, except lease term and discount rate):</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80" w:type="dxa"/>
            <w:vAlign w:val="bottom"/>
            <w:tcBorders>
              <w:bottom w:val="single" w:sz="8" w:color="auto"/>
            </w:tcBorders>
          </w:tcPr>
          <w:p>
            <w:pPr>
              <w:spacing w:after="0"/>
              <w:rPr>
                <w:sz w:val="17"/>
                <w:szCs w:val="17"/>
                <w:color w:val="auto"/>
              </w:rPr>
            </w:pPr>
          </w:p>
        </w:tc>
      </w:tr>
      <w:tr>
        <w:trPr>
          <w:trHeight w:val="201"/>
        </w:trPr>
        <w:tc>
          <w:tcPr>
            <w:tcW w:w="7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220" w:type="dxa"/>
            <w:vAlign w:val="bottom"/>
          </w:tcPr>
          <w:p>
            <w:pPr>
              <w:spacing w:after="0"/>
              <w:rPr>
                <w:sz w:val="17"/>
                <w:szCs w:val="17"/>
                <w:color w:val="auto"/>
              </w:rPr>
            </w:pPr>
          </w:p>
        </w:tc>
        <w:tc>
          <w:tcPr>
            <w:tcW w:w="1680" w:type="dxa"/>
            <w:vAlign w:val="bottom"/>
          </w:tcPr>
          <w:p>
            <w:pPr>
              <w:jc w:val="right"/>
              <w:ind w:right="255"/>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00"/>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Finance leases</w:t>
            </w:r>
          </w:p>
        </w:tc>
        <w:tc>
          <w:tcPr>
            <w:tcW w:w="2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19"/>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right-of-use assets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2,576</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2,707</w:t>
            </w:r>
          </w:p>
        </w:tc>
      </w:tr>
      <w:tr>
        <w:trPr>
          <w:trHeight w:val="258"/>
        </w:trPr>
        <w:tc>
          <w:tcPr>
            <w:tcW w:w="7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19"/>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819</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860</w:t>
            </w: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1,861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1,954</w:t>
            </w:r>
          </w:p>
        </w:tc>
      </w:tr>
      <w:tr>
        <w:trPr>
          <w:trHeight w:val="212"/>
        </w:trPr>
        <w:tc>
          <w:tcPr>
            <w:tcW w:w="7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finance lease liabilities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2,680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2,814</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4"/>
        </w:trPr>
        <w:tc>
          <w:tcPr>
            <w:tcW w:w="7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9"/>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Remaining Lease Term</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9"/>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Finance leases</w:t>
            </w:r>
          </w:p>
        </w:tc>
        <w:tc>
          <w:tcPr>
            <w:tcW w:w="2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4.0 years</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 years</w:t>
            </w:r>
          </w:p>
        </w:tc>
      </w:tr>
      <w:tr>
        <w:trPr>
          <w:trHeight w:val="258"/>
        </w:trPr>
        <w:tc>
          <w:tcPr>
            <w:tcW w:w="7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Discount Rate</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3"/>
        </w:trPr>
        <w:tc>
          <w:tcPr>
            <w:tcW w:w="7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Finance leases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420" w:firstLine="619"/>
        <w:spacing w:after="0" w:line="287" w:lineRule="auto"/>
        <w:rPr>
          <w:sz w:val="20"/>
          <w:szCs w:val="20"/>
          <w:color w:val="auto"/>
        </w:rPr>
      </w:pPr>
      <w:r>
        <w:rPr>
          <w:rFonts w:ascii="Times New Roman" w:cs="Times New Roman" w:eastAsia="Times New Roman" w:hAnsi="Times New Roman"/>
          <w:sz w:val="17"/>
          <w:szCs w:val="17"/>
          <w:color w:val="auto"/>
        </w:rPr>
        <w:t>As of March 31, 2024, the maturities of our operating and finance lease liabilities for each of the next five years and thereafter are approximately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220" w:type="dxa"/>
            <w:vAlign w:val="bottom"/>
          </w:tcPr>
          <w:p>
            <w:pPr>
              <w:spacing w:after="0"/>
              <w:rPr>
                <w:sz w:val="19"/>
                <w:szCs w:val="19"/>
                <w:color w:val="auto"/>
              </w:rPr>
            </w:pPr>
          </w:p>
        </w:tc>
        <w:tc>
          <w:tcPr>
            <w:tcW w:w="15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Finance Leases</w:t>
            </w:r>
          </w:p>
        </w:tc>
      </w:tr>
      <w:tr>
        <w:trPr>
          <w:trHeight w:val="212"/>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18,840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12"/>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Lease Payments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2,950</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r>
      <w:tr>
        <w:trPr>
          <w:trHeight w:val="212"/>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68,078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2,680</w:t>
            </w:r>
          </w:p>
        </w:tc>
      </w:tr>
      <w:tr>
        <w:trPr>
          <w:trHeight w:val="20"/>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6:</w:t>
        <w:tab/>
        <w:t>Net Loss Per Share</w:t>
      </w:r>
    </w:p>
    <w:p>
      <w:pPr>
        <w:spacing w:after="0" w:line="221" w:lineRule="exact"/>
        <w:rPr>
          <w:sz w:val="20"/>
          <w:szCs w:val="20"/>
          <w:color w:val="auto"/>
        </w:rPr>
      </w:pPr>
    </w:p>
    <w:p>
      <w:pPr>
        <w:ind w:right="40" w:firstLine="619"/>
        <w:spacing w:after="0" w:line="259" w:lineRule="auto"/>
        <w:rPr>
          <w:sz w:val="20"/>
          <w:szCs w:val="20"/>
          <w:color w:val="auto"/>
        </w:rPr>
      </w:pPr>
      <w:r>
        <w:rPr>
          <w:rFonts w:ascii="Times New Roman" w:cs="Times New Roman" w:eastAsia="Times New Roman" w:hAnsi="Times New Roman"/>
          <w:sz w:val="17"/>
          <w:szCs w:val="17"/>
          <w:color w:val="auto"/>
        </w:rPr>
        <w:t>Basic earnings per share is computed by dividing net income by the weighted-average number of common shares outstanding during the period. Diluted earnings per share is computed by dividing net income by the weighted-average number of common shares outstanding during the period plus dilutive securities. Dilutive securities include outstanding common stock options and unvested restricted stock units, less the number of shares that could have been purchased with the proceeds from the exercise of the options, using the treasury stock method. Options and restricted stock units that are anti-dilutive are not included in the treasury stock method calculation. A net loss for the three months ended March 31, 2024 and 2023, causes all of the potentially dilutive common shares to be antidilutive, accordingly they were not included in the computation of diluted earnings per share and basic and diluted net loss per share are equal for each of these periods.</w:t>
      </w:r>
    </w:p>
    <w:p>
      <w:pPr>
        <w:spacing w:after="0" w:line="200" w:lineRule="exact"/>
        <w:rPr>
          <w:sz w:val="20"/>
          <w:szCs w:val="20"/>
          <w:color w:val="auto"/>
        </w:rPr>
      </w:pP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presents the calculation of net earnings per common share (“EPS”) — basic and diluted (in thousands, except per share data):</w:t>
      </w:r>
    </w:p>
    <w:p>
      <w:pPr>
        <w:spacing w:after="0" w:line="140"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2"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5"/>
          <w:szCs w:val="15"/>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56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6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55"/>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12"/>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(39,471)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(9,812)</w:t>
            </w:r>
          </w:p>
        </w:tc>
        <w:tc>
          <w:tcPr>
            <w:tcW w:w="0" w:type="dxa"/>
            <w:vAlign w:val="bottom"/>
          </w:tcPr>
          <w:p>
            <w:pPr>
              <w:spacing w:after="0"/>
              <w:rPr>
                <w:sz w:val="1"/>
                <w:szCs w:val="1"/>
                <w:color w:val="auto"/>
              </w:rPr>
            </w:pPr>
          </w:p>
        </w:tc>
      </w:tr>
      <w:tr>
        <w:trPr>
          <w:trHeight w:val="90"/>
        </w:trPr>
        <w:tc>
          <w:tcPr>
            <w:tcW w:w="7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number of common shares outstanding (basic)</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24,014</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Dilutive securities</w:t>
            </w:r>
            <w:r>
              <w:rPr>
                <w:rFonts w:ascii="Times New Roman" w:cs="Times New Roman" w:eastAsia="Times New Roman" w:hAnsi="Times New Roman"/>
                <w:sz w:val="22"/>
                <w:szCs w:val="22"/>
                <w:color w:val="auto"/>
                <w:vertAlign w:val="superscript"/>
              </w:rPr>
              <w:t>(1)</w:t>
            </w:r>
          </w:p>
        </w:tc>
        <w:tc>
          <w:tcPr>
            <w:tcW w:w="1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7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common and common equivalent shares outstanding (diluted)</w:t>
            </w: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24,014</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EPS — basic</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560" w:type="dxa"/>
            <w:vAlign w:val="bottom"/>
            <w:vMerge w:val="continue"/>
          </w:tcPr>
          <w:p>
            <w:pPr>
              <w:spacing w:after="0"/>
              <w:rPr>
                <w:sz w:val="16"/>
                <w:szCs w:val="16"/>
                <w:color w:val="auto"/>
              </w:rPr>
            </w:pPr>
          </w:p>
        </w:tc>
        <w:tc>
          <w:tcPr>
            <w:tcW w:w="1120" w:type="dxa"/>
            <w:vAlign w:val="bottom"/>
          </w:tcPr>
          <w:p>
            <w:pPr>
              <w:jc w:val="right"/>
              <w:ind w:right="936"/>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(1.63)</w:t>
            </w:r>
          </w:p>
        </w:tc>
        <w:tc>
          <w:tcPr>
            <w:tcW w:w="120" w:type="dxa"/>
            <w:vAlign w:val="bottom"/>
          </w:tcPr>
          <w:p>
            <w:pPr>
              <w:spacing w:after="0"/>
              <w:rPr>
                <w:sz w:val="16"/>
                <w:szCs w:val="16"/>
                <w:color w:val="auto"/>
              </w:rPr>
            </w:pPr>
          </w:p>
        </w:tc>
        <w:tc>
          <w:tcPr>
            <w:tcW w:w="420" w:type="dxa"/>
            <w:vAlign w:val="bottom"/>
          </w:tcPr>
          <w:p>
            <w:pPr>
              <w:jc w:val="right"/>
              <w:ind w:right="2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(0.41)</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EPS — diluted</w:t>
            </w: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0" w:type="dxa"/>
            <w:vAlign w:val="bottom"/>
          </w:tcPr>
          <w:p>
            <w:pPr>
              <w:spacing w:after="0"/>
              <w:rPr>
                <w:sz w:val="1"/>
                <w:szCs w:val="1"/>
                <w:color w:val="auto"/>
              </w:rPr>
            </w:pPr>
          </w:p>
        </w:tc>
      </w:tr>
      <w:tr>
        <w:trPr>
          <w:trHeight w:val="258"/>
        </w:trPr>
        <w:tc>
          <w:tcPr>
            <w:tcW w:w="7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anti-dilutive stock options and restricted stock awards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0" w:type="dxa"/>
            <w:vAlign w:val="bottom"/>
          </w:tcPr>
          <w:p>
            <w:pPr>
              <w:spacing w:after="0"/>
              <w:rPr>
                <w:sz w:val="1"/>
                <w:szCs w:val="1"/>
                <w:color w:val="auto"/>
              </w:rPr>
            </w:pPr>
          </w:p>
        </w:tc>
      </w:tr>
      <w:tr>
        <w:trPr>
          <w:trHeight w:val="284"/>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_______________________________</w:t>
            </w: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20" w:right="140" w:hanging="317"/>
        <w:spacing w:after="0" w:line="251" w:lineRule="auto"/>
        <w:tabs>
          <w:tab w:leader="none" w:pos="228"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Due to the net loss for the three months ended </w:t>
      </w:r>
      <w:r>
        <w:rPr>
          <w:rFonts w:ascii="Times New Roman" w:cs="Times New Roman" w:eastAsia="Times New Roman" w:hAnsi="Times New Roman"/>
          <w:sz w:val="17"/>
          <w:szCs w:val="17"/>
          <w:color w:val="auto"/>
        </w:rPr>
        <w:t>March 31, 2024 and 2023</w:t>
      </w:r>
      <w:r>
        <w:rPr>
          <w:rFonts w:ascii="Times New Roman" w:cs="Times New Roman" w:eastAsia="Times New Roman" w:hAnsi="Times New Roman"/>
          <w:sz w:val="15"/>
          <w:szCs w:val="15"/>
          <w:color w:val="auto"/>
        </w:rPr>
        <w:t>, there are no potentially dilutive common shares included in the computation of diluted earnings per share.</w:t>
      </w:r>
    </w:p>
    <w:p>
      <w:pPr>
        <w:spacing w:after="0" w:line="20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7:</w:t>
        <w:tab/>
        <w:t>Derivatives and Hedging Activities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Hedge Accounting and Hedging Program</w:t>
      </w:r>
    </w:p>
    <w:p>
      <w:pPr>
        <w:spacing w:after="0" w:line="247" w:lineRule="exact"/>
        <w:rPr>
          <w:sz w:val="20"/>
          <w:szCs w:val="20"/>
          <w:color w:val="auto"/>
        </w:rPr>
      </w:pPr>
    </w:p>
    <w:p>
      <w:pPr>
        <w:ind w:right="240" w:firstLine="215"/>
        <w:spacing w:after="0" w:line="270" w:lineRule="auto"/>
        <w:rPr>
          <w:sz w:val="20"/>
          <w:szCs w:val="20"/>
          <w:color w:val="auto"/>
        </w:rPr>
      </w:pPr>
      <w:r>
        <w:rPr>
          <w:rFonts w:ascii="Times New Roman" w:cs="Times New Roman" w:eastAsia="Times New Roman" w:hAnsi="Times New Roman"/>
          <w:sz w:val="17"/>
          <w:szCs w:val="17"/>
          <w:color w:val="auto"/>
        </w:rPr>
        <w:t>The purposes of our cash flow hedging programs are to manage the foreign currency exchange rate risk on forecasted revenues and expenses denominated in currencies other than the functional currency of the operating unit, and to manage floating interest rate risk associated with future interest payments on the variable-rate term loans issued in 2022. We do not issue derivatives for trading or speculative purposes.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firstLine="169"/>
        <w:spacing w:after="0" w:line="258" w:lineRule="auto"/>
        <w:rPr>
          <w:sz w:val="20"/>
          <w:szCs w:val="20"/>
          <w:color w:val="auto"/>
        </w:rPr>
      </w:pPr>
      <w:r>
        <w:rPr>
          <w:rFonts w:ascii="Times New Roman" w:cs="Times New Roman" w:eastAsia="Times New Roman" w:hAnsi="Times New Roman"/>
          <w:sz w:val="17"/>
          <w:szCs w:val="17"/>
          <w:color w:val="auto"/>
        </w:rPr>
        <w:t>To receive hedge accounting treatment, all hedging relationships are formally documented at the inception of the hedge, and the hedges must be highly effective in offsetting changes to future cash flows on hedged transactions. The derivative instruments we utilize, including various foreign exchange contracts and interest rate swaps, are designated and qualify as cash flow hedges. Our derivative instruments are recorded at fair value on the condensed consolidated balance sheets and are classified based on the instrument's maturity date. We record gains or losses from changes in the fair values of the derivative instruments as a component of other comprehensive (loss) income and we reclassify those gains or losses into earnings in the same line item associated with the forecasted transaction and in the same period during which the hedged transaction affects earnings. If the underlying forecasted transaction does not occur, or it becomes probable that it will not occur, we reclassify the gain or loss on the related derivative instrument from accumulated other comprehensive loss into earnings immediately.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Exchange Rate Risk</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Foreign Exchange Forward Contracts</w:t>
      </w:r>
    </w:p>
    <w:p>
      <w:pPr>
        <w:spacing w:after="0" w:line="247"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We enter into foreign exchange forward contracts to hedge a portion of our forecasted foreign currency-denominated revenues and expenses to minimize the effect of foreign exchange rate movements on the related cash flows. These contracts are agreements to buy or sell a quantity of a currency at a predetermined future date and at a predetermined exchange rate. Our foreign exchange forward contracts hedge exposures principally denominated in Mexican Pesos ("MXN"), Euros, Czech Koruna ("CZK"), Japanese Yen ("JPY"), Swedish Krona ("SEK"), Danish Krone ("DKK"), Chinese Renminbi ("CNH"), Canadian Dollar ("CAD"), U.S. Dollar ("USD") and Australian Dollar ("AUD") and have varying maturities with an average term of approximately eleven months. The total notional amount of these outstanding derivative contracts as of March 31, 2024 was $136.2 million, which included the notional equivalent of $15.8 million in MXN, $28.3 million in Euros, $13.2 million in JPY, $6.5 million in CNH, $15.4 million in CAD, $11.9 million in AUD, $37.1 million in USD and $8.0 million in other foreign currencies, with terms currently through November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Floating Interest Rate Risk</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2022, we entered into interest rate swaps to reduce the interest rate volatility on our variable-rate term loan A and variable-rate term loan B (see Note</w:t>
      </w:r>
    </w:p>
    <w:p>
      <w:pPr>
        <w:spacing w:after="0" w:line="28" w:lineRule="exact"/>
        <w:rPr>
          <w:sz w:val="20"/>
          <w:szCs w:val="20"/>
          <w:color w:val="auto"/>
        </w:rPr>
      </w:pPr>
    </w:p>
    <w:p>
      <w:pPr>
        <w:ind w:firstLine="3"/>
        <w:spacing w:after="0" w:line="255" w:lineRule="auto"/>
        <w:tabs>
          <w:tab w:leader="none" w:pos="26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Long-Term Debt). We exchange, at specified intervals, the difference between fixed and floating interest amounts calculated by reference to an agreed-upon notional amount. Effective March 30, 2022, the term loan A swap, as amended, has an initial notional amount of $300.0 million, reducing to $150.0 million evenly on a quarterly basis excluding its final maturity on March 30, 2027. We pay a fixed rate of 1.32% and will receive the greater of 3-months USD Secured Overnight Financing Rate ("SOFR") or (0.15)%. The total notional amount of this outstanding derivative as of March 31, 2024 was approximately $236.8 million. Effective March 30, 2022, the term loan B swap, as amended, has an initial notional amount of $750.0 million, reducing to $46.9 million evenly on a quarterly basis through its final maturity on March 30, 2026. We pay a fixed rate of 1.17% and will receive the greater of 3-months USD SOFR or 0.35%. The total notional amount of this outstanding derivative as of March 31, 2024 was approximately $375.0 million.</w:t>
      </w:r>
    </w:p>
    <w:p>
      <w:pPr>
        <w:spacing w:after="0" w:line="205"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In June 2023, we entered into an additional interest rate swap that hedges both term loan A and term loan B interest payments. The total notional amount of the swap is $300.0 million. The hedge matures on June 30, 2028. We pay a fixed rate of 3.88% and will receive 3-months USD SOFR.</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These swaps effectively convert the relevant portion of the floating-rate term loans to fixed rates.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fair values of our derivative instruments included within the Condensed Consolidated Balance Sheets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0" w:type="dxa"/>
            <w:vAlign w:val="bottom"/>
            <w:gridSpan w:val="5"/>
          </w:tcPr>
          <w:p>
            <w:pPr>
              <w:ind w:left="140"/>
              <w:spacing w:after="0"/>
              <w:rPr>
                <w:sz w:val="20"/>
                <w:szCs w:val="20"/>
                <w:color w:val="auto"/>
              </w:rPr>
            </w:pPr>
            <w:r>
              <w:rPr>
                <w:rFonts w:ascii="Times New Roman" w:cs="Times New Roman" w:eastAsia="Times New Roman" w:hAnsi="Times New Roman"/>
                <w:sz w:val="15"/>
                <w:szCs w:val="15"/>
                <w:b w:val="1"/>
                <w:bCs w:val="1"/>
                <w:color w:val="auto"/>
              </w:rPr>
              <w:t>Derivatives Designated as Cash Flow Hedging</w:t>
            </w: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4"/>
          </w:tcPr>
          <w:p>
            <w:pPr>
              <w:jc w:val="right"/>
              <w:ind w:right="1363"/>
              <w:spacing w:after="0"/>
              <w:rPr>
                <w:sz w:val="20"/>
                <w:szCs w:val="20"/>
                <w:color w:val="auto"/>
              </w:rPr>
            </w:pPr>
            <w:r>
              <w:rPr>
                <w:rFonts w:ascii="Times New Roman" w:cs="Times New Roman" w:eastAsia="Times New Roman" w:hAnsi="Times New Roman"/>
                <w:sz w:val="15"/>
                <w:szCs w:val="15"/>
                <w:b w:val="1"/>
                <w:bCs w:val="1"/>
                <w:color w:val="auto"/>
              </w:rPr>
              <w:t>Instruments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 Location</w:t>
            </w:r>
          </w:p>
        </w:tc>
        <w:tc>
          <w:tcPr>
            <w:tcW w:w="200" w:type="dxa"/>
            <w:vAlign w:val="bottom"/>
          </w:tcPr>
          <w:p>
            <w:pPr>
              <w:spacing w:after="0"/>
              <w:rPr>
                <w:sz w:val="12"/>
                <w:szCs w:val="12"/>
                <w:color w:val="auto"/>
              </w:rPr>
            </w:pPr>
          </w:p>
        </w:tc>
        <w:tc>
          <w:tcPr>
            <w:tcW w:w="17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5"/>
                <w:szCs w:val="15"/>
                <w:b w:val="1"/>
                <w:bCs w:val="1"/>
                <w:color w:val="auto"/>
              </w:rPr>
              <w:t>Foreign Exchange</w:t>
            </w:r>
          </w:p>
        </w:tc>
        <w:tc>
          <w:tcPr>
            <w:tcW w:w="160" w:type="dxa"/>
            <w:vAlign w:val="bottom"/>
          </w:tcPr>
          <w:p>
            <w:pPr>
              <w:spacing w:after="0"/>
              <w:rPr>
                <w:sz w:val="12"/>
                <w:szCs w:val="12"/>
                <w:color w:val="auto"/>
              </w:rPr>
            </w:pPr>
          </w:p>
        </w:tc>
        <w:tc>
          <w:tcPr>
            <w:tcW w:w="1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Interest Rate Swaps</w:t>
            </w:r>
          </w:p>
        </w:tc>
        <w:tc>
          <w:tcPr>
            <w:tcW w:w="200" w:type="dxa"/>
            <w:vAlign w:val="bottom"/>
          </w:tcPr>
          <w:p>
            <w:pPr>
              <w:spacing w:after="0"/>
              <w:rPr>
                <w:sz w:val="12"/>
                <w:szCs w:val="12"/>
                <w:color w:val="auto"/>
              </w:rPr>
            </w:pPr>
          </w:p>
        </w:tc>
        <w:tc>
          <w:tcPr>
            <w:tcW w:w="1580" w:type="dxa"/>
            <w:vAlign w:val="bottom"/>
            <w:vMerge w:val="restart"/>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Gross Derivatives</w:t>
            </w:r>
          </w:p>
        </w:tc>
        <w:tc>
          <w:tcPr>
            <w:tcW w:w="0" w:type="dxa"/>
            <w:vAlign w:val="bottom"/>
          </w:tcPr>
          <w:p>
            <w:pPr>
              <w:spacing w:after="0"/>
              <w:rPr>
                <w:sz w:val="1"/>
                <w:szCs w:val="1"/>
                <w:color w:val="auto"/>
              </w:rPr>
            </w:pPr>
          </w:p>
        </w:tc>
      </w:tr>
      <w:tr>
        <w:trPr>
          <w:trHeight w:val="205"/>
        </w:trPr>
        <w:tc>
          <w:tcPr>
            <w:tcW w:w="56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Contracts</w:t>
            </w:r>
          </w:p>
        </w:tc>
        <w:tc>
          <w:tcPr>
            <w:tcW w:w="16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5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6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As of March 31, 2024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8,984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23,034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32,018</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10,336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11,391</w:t>
            </w:r>
          </w:p>
        </w:tc>
        <w:tc>
          <w:tcPr>
            <w:tcW w:w="0" w:type="dxa"/>
            <w:vAlign w:val="bottom"/>
          </w:tcPr>
          <w:p>
            <w:pPr>
              <w:spacing w:after="0"/>
              <w:rPr>
                <w:sz w:val="1"/>
                <w:szCs w:val="1"/>
                <w:color w:val="auto"/>
              </w:rPr>
            </w:pPr>
          </w:p>
        </w:tc>
      </w:tr>
      <w:tr>
        <w:trPr>
          <w:trHeight w:val="227"/>
        </w:trPr>
        <w:tc>
          <w:tcPr>
            <w:tcW w:w="56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assets</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10,039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33,370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43,409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liabilities</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1,983</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2"/>
        </w:trPr>
        <w:tc>
          <w:tcPr>
            <w:tcW w:w="5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liabilities</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1,983</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6,785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23,065</w:t>
            </w:r>
          </w:p>
        </w:tc>
        <w:tc>
          <w:tcPr>
            <w:tcW w:w="10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29,850</w:t>
            </w:r>
          </w:p>
        </w:tc>
        <w:tc>
          <w:tcPr>
            <w:tcW w:w="0" w:type="dxa"/>
            <w:vAlign w:val="bottom"/>
          </w:tcPr>
          <w:p>
            <w:pPr>
              <w:spacing w:after="0"/>
              <w:rPr>
                <w:sz w:val="1"/>
                <w:szCs w:val="1"/>
                <w:color w:val="auto"/>
              </w:rPr>
            </w:pPr>
          </w:p>
        </w:tc>
      </w:tr>
      <w:tr>
        <w:trPr>
          <w:trHeight w:val="20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4,876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5,549</w:t>
            </w:r>
          </w:p>
        </w:tc>
        <w:tc>
          <w:tcPr>
            <w:tcW w:w="0" w:type="dxa"/>
            <w:vAlign w:val="bottom"/>
          </w:tcPr>
          <w:p>
            <w:pPr>
              <w:spacing w:after="0"/>
              <w:rPr>
                <w:sz w:val="1"/>
                <w:szCs w:val="1"/>
                <w:color w:val="auto"/>
              </w:rPr>
            </w:pPr>
          </w:p>
        </w:tc>
      </w:tr>
      <w:tr>
        <w:trPr>
          <w:trHeight w:val="202"/>
        </w:trPr>
        <w:tc>
          <w:tcPr>
            <w:tcW w:w="56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Total assets</w:t>
            </w: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7,458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27,941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35,399</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Accrued liabilities</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2,590</w:t>
            </w:r>
          </w:p>
        </w:tc>
        <w:tc>
          <w:tcPr>
            <w:tcW w:w="0" w:type="dxa"/>
            <w:vAlign w:val="bottom"/>
          </w:tcPr>
          <w:p>
            <w:pPr>
              <w:spacing w:after="0"/>
              <w:rPr>
                <w:sz w:val="1"/>
                <w:szCs w:val="1"/>
                <w:color w:val="auto"/>
              </w:rPr>
            </w:pPr>
          </w:p>
        </w:tc>
      </w:tr>
      <w:tr>
        <w:trPr>
          <w:trHeight w:val="20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0" w:type="dxa"/>
            <w:vAlign w:val="bottom"/>
          </w:tcPr>
          <w:p>
            <w:pPr>
              <w:spacing w:after="0"/>
              <w:rPr>
                <w:sz w:val="1"/>
                <w:szCs w:val="1"/>
                <w:color w:val="auto"/>
              </w:rPr>
            </w:pPr>
          </w:p>
        </w:tc>
      </w:tr>
      <w:tr>
        <w:trPr>
          <w:trHeight w:val="202"/>
        </w:trPr>
        <w:tc>
          <w:tcPr>
            <w:tcW w:w="56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Total liabilities</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ind w:right="140" w:firstLine="619"/>
        <w:spacing w:after="0" w:line="277" w:lineRule="auto"/>
        <w:rPr>
          <w:sz w:val="20"/>
          <w:szCs w:val="20"/>
          <w:color w:val="auto"/>
        </w:rPr>
      </w:pPr>
      <w:r>
        <w:rPr>
          <w:rFonts w:ascii="Times New Roman" w:cs="Times New Roman" w:eastAsia="Times New Roman" w:hAnsi="Times New Roman"/>
          <w:sz w:val="17"/>
          <w:szCs w:val="17"/>
          <w:color w:val="auto"/>
        </w:rPr>
        <w:t>We recognized the following gains on our derivative instruments designated as cash flow hedges in other comprehensive income before reclassifications to net loss (in thousands):</w:t>
      </w:r>
    </w:p>
    <w:p>
      <w:pPr>
        <w:jc w:val="center"/>
        <w:ind w:left="8440"/>
        <w:spacing w:after="0"/>
        <w:rPr>
          <w:sz w:val="20"/>
          <w:szCs w:val="20"/>
          <w:color w:val="auto"/>
        </w:rPr>
      </w:pPr>
      <w:r>
        <w:rPr>
          <w:rFonts w:ascii="Times New Roman" w:cs="Times New Roman" w:eastAsia="Times New Roman" w:hAnsi="Times New Roman"/>
          <w:sz w:val="15"/>
          <w:szCs w:val="15"/>
          <w:b w:val="1"/>
          <w:bCs w:val="1"/>
          <w:color w:val="auto"/>
        </w:rPr>
        <w:t>Gain Recognized in Other</w:t>
      </w:r>
    </w:p>
    <w:p>
      <w:pPr>
        <w:spacing w:after="0" w:line="2"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5"/>
          <w:szCs w:val="15"/>
          <w:b w:val="1"/>
          <w:bCs w:val="1"/>
          <w:color w:val="auto"/>
        </w:rPr>
        <w:t>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5363845</wp:posOffset>
            </wp:positionH>
            <wp:positionV relativeFrom="paragraph">
              <wp:posOffset>10795</wp:posOffset>
            </wp:positionV>
            <wp:extent cx="17767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76730" cy="8255"/>
                    </a:xfrm>
                    <a:prstGeom prst="rect">
                      <a:avLst/>
                    </a:prstGeom>
                    <a:noFill/>
                  </pic:spPr>
                </pic:pic>
              </a:graphicData>
            </a:graphic>
          </wp:anchor>
        </w:drawing>
      </w:r>
    </w:p>
    <w:p>
      <w:pPr>
        <w:spacing w:after="0" w:line="7"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2"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5"/>
          <w:szCs w:val="15"/>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4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87"/>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Derivatives designated as cash flow hedging instruments:</w:t>
            </w:r>
          </w:p>
        </w:tc>
        <w:tc>
          <w:tcPr>
            <w:tcW w:w="8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3"/>
        </w:trPr>
        <w:tc>
          <w:tcPr>
            <w:tcW w:w="8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 exchange contracts</w:t>
            </w:r>
          </w:p>
        </w:tc>
        <w:tc>
          <w:tcPr>
            <w:tcW w:w="840" w:type="dxa"/>
            <w:vAlign w:val="bottom"/>
          </w:tcPr>
          <w:p>
            <w:pPr>
              <w:jc w:val="right"/>
              <w:ind w:right="66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4,940</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2,451</w:t>
            </w:r>
          </w:p>
        </w:tc>
      </w:tr>
      <w:tr>
        <w:trPr>
          <w:trHeight w:val="206"/>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rate swaps</w:t>
            </w:r>
          </w:p>
        </w:tc>
        <w:tc>
          <w:tcPr>
            <w:tcW w:w="8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13,393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(2,584)</w:t>
            </w:r>
          </w:p>
        </w:tc>
      </w:tr>
      <w:tr>
        <w:trPr>
          <w:trHeight w:val="202"/>
        </w:trPr>
        <w:tc>
          <w:tcPr>
            <w:tcW w:w="8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derivatives designated as cash flow hedging instruments</w:t>
            </w:r>
          </w:p>
        </w:tc>
        <w:tc>
          <w:tcPr>
            <w:tcW w:w="84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18,333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(133)</w:t>
            </w:r>
          </w:p>
        </w:tc>
      </w:tr>
      <w:tr>
        <w:trPr>
          <w:trHeight w:val="20"/>
        </w:trPr>
        <w:tc>
          <w:tcPr>
            <w:tcW w:w="8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effects of our derivative instruments designated as cash flow hedges on the Condensed Consolidated Statements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Operations (in thousands):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Gains (Losses) Reclassified From Accumulated Other Comprehensive (Loss</w:t>
      </w:r>
    </w:p>
    <w:p>
      <w:pPr>
        <w:spacing w:after="0" w:line="2" w:lineRule="exact"/>
        <w:rPr>
          <w:sz w:val="20"/>
          <w:szCs w:val="20"/>
          <w:color w:val="auto"/>
        </w:rPr>
      </w:pPr>
    </w:p>
    <w:tbl>
      <w:tblPr>
        <w:tblLayout w:type="fixed"/>
        <w:tblInd w:w="62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4020" w:type="dxa"/>
            <w:vAlign w:val="bottom"/>
            <w:tcBorders>
              <w:bottom w:val="single" w:sz="8" w:color="auto"/>
            </w:tcBorders>
            <w:gridSpan w:val="5"/>
          </w:tcPr>
          <w:p>
            <w:pPr>
              <w:ind w:left="1920"/>
              <w:spacing w:after="0"/>
              <w:rPr>
                <w:sz w:val="20"/>
                <w:szCs w:val="20"/>
                <w:color w:val="auto"/>
              </w:rPr>
            </w:pPr>
            <w:r>
              <w:rPr>
                <w:rFonts w:ascii="Times New Roman" w:cs="Times New Roman" w:eastAsia="Times New Roman" w:hAnsi="Times New Roman"/>
                <w:sz w:val="15"/>
                <w:szCs w:val="15"/>
                <w:b w:val="1"/>
                <w:bCs w:val="1"/>
                <w:color w:val="auto"/>
              </w:rPr>
              <w:t>Income into Income</w:t>
            </w: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4"/>
          </w:tcPr>
          <w:p>
            <w:pPr>
              <w:jc w:val="right"/>
              <w:ind w:right="363"/>
              <w:spacing w:after="0" w:line="148" w:lineRule="exact"/>
              <w:rPr>
                <w:sz w:val="20"/>
                <w:szCs w:val="20"/>
                <w:color w:val="auto"/>
              </w:rPr>
            </w:pPr>
            <w:r>
              <w:rPr>
                <w:rFonts w:ascii="Times New Roman" w:cs="Times New Roman" w:eastAsia="Times New Roman" w:hAnsi="Times New Roman"/>
                <w:sz w:val="15"/>
                <w:szCs w:val="15"/>
                <w:b w:val="1"/>
                <w:bCs w:val="1"/>
                <w:color w:val="auto"/>
              </w:rPr>
              <w:t>Three months ended</w:t>
            </w:r>
          </w:p>
        </w:tc>
        <w:tc>
          <w:tcPr>
            <w:tcW w:w="0" w:type="dxa"/>
            <w:vAlign w:val="bottom"/>
          </w:tcPr>
          <w:p>
            <w:pPr>
              <w:spacing w:after="0"/>
              <w:rPr>
                <w:sz w:val="1"/>
                <w:szCs w:val="1"/>
                <w:color w:val="auto"/>
              </w:rPr>
            </w:pPr>
          </w:p>
        </w:tc>
      </w:tr>
      <w:tr>
        <w:trPr>
          <w:trHeight w:val="204"/>
        </w:trPr>
        <w:tc>
          <w:tcPr>
            <w:tcW w:w="56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5660" w:type="dxa"/>
            <w:vAlign w:val="bottom"/>
          </w:tcPr>
          <w:p>
            <w:pPr>
              <w:spacing w:after="0"/>
              <w:rPr>
                <w:sz w:val="11"/>
                <w:szCs w:val="11"/>
                <w:color w:val="auto"/>
              </w:rPr>
            </w:pPr>
          </w:p>
        </w:tc>
        <w:tc>
          <w:tcPr>
            <w:tcW w:w="2780" w:type="dxa"/>
            <w:vAlign w:val="bottom"/>
            <w:gridSpan w:val="2"/>
          </w:tcPr>
          <w:p>
            <w:pPr>
              <w:jc w:val="right"/>
              <w:ind w:right="480"/>
              <w:spacing w:after="0" w:line="137" w:lineRule="exact"/>
              <w:rPr>
                <w:sz w:val="20"/>
                <w:szCs w:val="20"/>
                <w:color w:val="auto"/>
              </w:rPr>
            </w:pPr>
            <w:r>
              <w:rPr>
                <w:rFonts w:ascii="Times New Roman" w:cs="Times New Roman" w:eastAsia="Times New Roman" w:hAnsi="Times New Roman"/>
                <w:sz w:val="15"/>
                <w:szCs w:val="15"/>
                <w:b w:val="1"/>
                <w:bCs w:val="1"/>
                <w:color w:val="auto"/>
              </w:rPr>
              <w:t>Location of Gain Recognized in</w:t>
            </w:r>
          </w:p>
        </w:tc>
        <w:tc>
          <w:tcPr>
            <w:tcW w:w="240" w:type="dxa"/>
            <w:vAlign w:val="bottom"/>
          </w:tcPr>
          <w:p>
            <w:pPr>
              <w:spacing w:after="0"/>
              <w:rPr>
                <w:sz w:val="11"/>
                <w:szCs w:val="11"/>
                <w:color w:val="auto"/>
              </w:rPr>
            </w:pPr>
          </w:p>
        </w:tc>
        <w:tc>
          <w:tcPr>
            <w:tcW w:w="880" w:type="dxa"/>
            <w:vAlign w:val="bottom"/>
            <w:vMerge w:val="restart"/>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vMerge w:val="restart"/>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05"/>
        </w:trPr>
        <w:tc>
          <w:tcPr>
            <w:tcW w:w="5660" w:type="dxa"/>
            <w:vAlign w:val="bottom"/>
          </w:tcPr>
          <w:p>
            <w:pPr>
              <w:spacing w:after="0"/>
              <w:rPr>
                <w:sz w:val="17"/>
                <w:szCs w:val="17"/>
                <w:color w:val="auto"/>
              </w:rPr>
            </w:pPr>
          </w:p>
        </w:tc>
        <w:tc>
          <w:tcPr>
            <w:tcW w:w="2780" w:type="dxa"/>
            <w:vAlign w:val="bottom"/>
            <w:gridSpan w:val="2"/>
          </w:tcPr>
          <w:p>
            <w:pPr>
              <w:jc w:val="right"/>
              <w:ind w:right="128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Derivatives designated as cash flow hedging instruments:</w:t>
            </w:r>
          </w:p>
        </w:tc>
        <w:tc>
          <w:tcPr>
            <w:tcW w:w="25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 exchange forward contracts</w:t>
            </w:r>
          </w:p>
        </w:tc>
        <w:tc>
          <w:tcPr>
            <w:tcW w:w="27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Total revenues</w:t>
            </w: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700</w:t>
            </w:r>
          </w:p>
        </w:tc>
        <w:tc>
          <w:tcPr>
            <w:tcW w:w="12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(1,922</w:t>
            </w: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Foreign exchange forward contracts</w:t>
            </w:r>
          </w:p>
        </w:tc>
        <w:tc>
          <w:tcPr>
            <w:tcW w:w="2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Cost of goods sold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0" w:type="dxa"/>
            <w:vAlign w:val="bottom"/>
          </w:tcPr>
          <w:p>
            <w:pPr>
              <w:spacing w:after="0"/>
              <w:rPr>
                <w:sz w:val="1"/>
                <w:szCs w:val="1"/>
                <w:color w:val="auto"/>
              </w:rPr>
            </w:pPr>
          </w:p>
        </w:tc>
      </w:tr>
      <w:tr>
        <w:trPr>
          <w:trHeight w:val="203"/>
        </w:trPr>
        <w:tc>
          <w:tcPr>
            <w:tcW w:w="5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 exchange forward contracts</w:t>
            </w:r>
          </w:p>
        </w:tc>
        <w:tc>
          <w:tcPr>
            <w:tcW w:w="2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 xml:space="preserve">Other expense, net </w:t>
            </w:r>
            <w:r>
              <w:rPr>
                <w:rFonts w:ascii="Times New Roman" w:cs="Times New Roman" w:eastAsia="Times New Roman" w:hAnsi="Times New Roman"/>
                <w:sz w:val="10"/>
                <w:szCs w:val="10"/>
                <w:color w:val="auto"/>
              </w:rPr>
              <w:t>(1)</w:t>
            </w:r>
          </w:p>
        </w:tc>
        <w:tc>
          <w:tcPr>
            <w:tcW w:w="2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w:t>
            </w: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Foreign exchange forward contracts</w:t>
            </w:r>
          </w:p>
        </w:tc>
        <w:tc>
          <w:tcPr>
            <w:tcW w:w="2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 xml:space="preserve">Interest expense </w:t>
            </w:r>
            <w:r>
              <w:rPr>
                <w:rFonts w:ascii="Times New Roman" w:cs="Times New Roman" w:eastAsia="Times New Roman" w:hAnsi="Times New Roman"/>
                <w:sz w:val="10"/>
                <w:szCs w:val="10"/>
                <w:color w:val="auto"/>
              </w:rPr>
              <w:t>(2)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203"/>
        </w:trPr>
        <w:tc>
          <w:tcPr>
            <w:tcW w:w="5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Interest rate swaps</w:t>
            </w:r>
          </w:p>
        </w:tc>
        <w:tc>
          <w:tcPr>
            <w:tcW w:w="2780" w:type="dxa"/>
            <w:vAlign w:val="bottom"/>
            <w:tcBorders>
              <w:bottom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Interest expense</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7,964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7,369</w:t>
            </w:r>
          </w:p>
        </w:tc>
        <w:tc>
          <w:tcPr>
            <w:tcW w:w="0" w:type="dxa"/>
            <w:vAlign w:val="bottom"/>
          </w:tcPr>
          <w:p>
            <w:pPr>
              <w:spacing w:after="0"/>
              <w:rPr>
                <w:sz w:val="1"/>
                <w:szCs w:val="1"/>
                <w:color w:val="auto"/>
              </w:rPr>
            </w:pPr>
          </w:p>
        </w:tc>
      </w:tr>
      <w:tr>
        <w:trPr>
          <w:trHeight w:val="227"/>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derivatives designated as cash flow hedging instruments</w:t>
            </w:r>
          </w:p>
        </w:tc>
        <w:tc>
          <w:tcPr>
            <w:tcW w:w="25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9,944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7,189</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37" w:lineRule="exact"/>
        <w:rPr>
          <w:sz w:val="20"/>
          <w:szCs w:val="20"/>
          <w:color w:val="auto"/>
        </w:rPr>
      </w:pPr>
    </w:p>
    <w:p>
      <w:pPr>
        <w:ind w:left="220" w:hanging="217"/>
        <w:spacing w:after="0"/>
        <w:tabs>
          <w:tab w:leader="none" w:pos="220"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location of gain reclassified from accumulated other comprehensive income into other expense, net as a result of ineffectiveness.</w:t>
      </w:r>
    </w:p>
    <w:p>
      <w:pPr>
        <w:spacing w:after="0" w:line="9" w:lineRule="exact"/>
        <w:rPr>
          <w:rFonts w:ascii="Times New Roman" w:cs="Times New Roman" w:eastAsia="Times New Roman" w:hAnsi="Times New Roman"/>
          <w:sz w:val="20"/>
          <w:szCs w:val="20"/>
          <w:color w:val="auto"/>
          <w:vertAlign w:val="superscript"/>
        </w:rPr>
      </w:pPr>
    </w:p>
    <w:p>
      <w:pPr>
        <w:ind w:left="320" w:right="680" w:hanging="317"/>
        <w:spacing w:after="0" w:line="217" w:lineRule="auto"/>
        <w:tabs>
          <w:tab w:leader="none" w:pos="282"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location of gain reclassified from accumulated other comprehensive income into interest expense as a result of forecasted transactions no longer probable of occurring.</w:t>
      </w:r>
    </w:p>
    <w:p>
      <w:pPr>
        <w:spacing w:after="0" w:line="2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March 31, 2024, we expect an estimated $7.0 million in deferred gains on the outstanding foreign exchange contracts and an estimated</w:t>
      </w:r>
    </w:p>
    <w:p>
      <w:pPr>
        <w:spacing w:after="0" w:line="2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7"/>
          <w:szCs w:val="17"/>
          <w:color w:val="auto"/>
        </w:rPr>
        <w:t>$23.9 million in deferred gains on the interest rate swaps will be reclassified from accumulated other comprehensive loss to net income during the next 12 months concurrent with the underlying hedged transactions also being reported in net income.</w:t>
      </w:r>
    </w:p>
    <w:p>
      <w:pPr>
        <w:spacing w:after="0" w:line="19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8:</w:t>
        <w:tab/>
        <w:t>Fair Value Measurements</w:t>
      </w:r>
    </w:p>
    <w:p>
      <w:pPr>
        <w:spacing w:after="0" w:line="221" w:lineRule="exact"/>
        <w:rPr>
          <w:sz w:val="20"/>
          <w:szCs w:val="20"/>
          <w:color w:val="auto"/>
        </w:rPr>
      </w:pPr>
    </w:p>
    <w:p>
      <w:pPr>
        <w:ind w:right="520" w:firstLine="172"/>
        <w:spacing w:after="0" w:line="287" w:lineRule="auto"/>
        <w:rPr>
          <w:sz w:val="20"/>
          <w:szCs w:val="20"/>
          <w:color w:val="auto"/>
        </w:rPr>
      </w:pPr>
      <w:r>
        <w:rPr>
          <w:rFonts w:ascii="Times New Roman" w:cs="Times New Roman" w:eastAsia="Times New Roman" w:hAnsi="Times New Roman"/>
          <w:sz w:val="17"/>
          <w:szCs w:val="17"/>
          <w:color w:val="auto"/>
        </w:rPr>
        <w:t>Fair value is the price that would be received from selling an asset or paid to transfer a liability in an orderly transaction between market participants at the measurement date. There are three levels of inputs that may be used to measure fair value:</w:t>
      </w:r>
    </w:p>
    <w:p>
      <w:pPr>
        <w:spacing w:after="0" w:line="177" w:lineRule="exact"/>
        <w:rPr>
          <w:sz w:val="20"/>
          <w:szCs w:val="20"/>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quoted prices in active markets for identical assets or liabilities;</w:t>
      </w:r>
    </w:p>
    <w:p>
      <w:pPr>
        <w:spacing w:after="0" w:line="27" w:lineRule="exact"/>
        <w:rPr>
          <w:rFonts w:ascii="Times New Roman" w:cs="Times New Roman" w:eastAsia="Times New Roman" w:hAnsi="Times New Roman"/>
          <w:sz w:val="17"/>
          <w:szCs w:val="17"/>
          <w:color w:val="auto"/>
        </w:rPr>
      </w:pPr>
    </w:p>
    <w:p>
      <w:pPr>
        <w:ind w:left="620" w:right="240" w:hanging="307"/>
        <w:spacing w:after="0" w:line="253"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that are supported by little or no market activity and that are significant to the fair values of the assets or liabilities.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Contingent Earn-out Liabilities</w:t>
      </w:r>
    </w:p>
    <w:p>
      <w:pPr>
        <w:spacing w:after="0" w:line="247" w:lineRule="exact"/>
        <w:rPr>
          <w:sz w:val="20"/>
          <w:szCs w:val="20"/>
          <w:color w:val="auto"/>
        </w:rPr>
      </w:pPr>
    </w:p>
    <w:p>
      <w:pPr>
        <w:ind w:right="180" w:firstLine="619"/>
        <w:spacing w:after="0" w:line="260" w:lineRule="auto"/>
        <w:rPr>
          <w:sz w:val="20"/>
          <w:szCs w:val="20"/>
          <w:color w:val="auto"/>
        </w:rPr>
      </w:pPr>
      <w:r>
        <w:rPr>
          <w:rFonts w:ascii="Times New Roman" w:cs="Times New Roman" w:eastAsia="Times New Roman" w:hAnsi="Times New Roman"/>
          <w:sz w:val="17"/>
          <w:szCs w:val="17"/>
          <w:color w:val="auto"/>
        </w:rPr>
        <w:t>In 2022, we acquired Smiths Medical with a combination of cash consideration and share consideration issued at closing. Total consideration for the acquisition includes a potential earn-out payment of $100.0 million in cash contingent on our common stock achieving certain Price Targets from the closing date to either the third or fourth anniversary of closing and provided Smiths beneficially owns at least 50.0% of the shares of common stock issued at closing (see Note</w:t>
      </w:r>
    </w:p>
    <w:p>
      <w:pPr>
        <w:ind w:right="120" w:firstLine="3"/>
        <w:spacing w:after="0" w:line="255" w:lineRule="auto"/>
        <w:tabs>
          <w:tab w:leader="none" w:pos="17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Restructuring, Strategic Transaction and Integration for additional information) at the time the Price Target is achieved. The initial estimated fair value of the earn-out was determined to be $53.5 million. The initial fair value of the earn-out was determined using a Monte Carlo simulation model. The model utilized several assumptions including volatility and the risk-free interest rate. The assumed volatility is based on the average of the historical volatility of our common stock price and the implied volatility of certain at-the-money traded options. The risk-free interest rate is equal to the yield on U.S. Treasury securities at constant maturity for the period commensurate with the term of the earn-out. At each reporting date subsequent to the acquisition, we remeasure the earn-out liability and recognize any changes in its fair value in our consolidated statements of operations. If the probability of achieving the Price Targets during their respective measurement periods is significantly greater than initially anticipated, the realization of an additional liability and related expense will have a significant impact on our consolidated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statements in the period recognized. As of March 31, 2024, the estimated fair value of the contingent earn-out was $4.3 million.</w:t>
      </w:r>
    </w:p>
    <w:p>
      <w:pPr>
        <w:spacing w:after="0" w:line="243"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In November 2021, we acquired a small foreign infusion systems supplier. Total consideration for the acquisition included a potential earn-out payment of up to $2.5 million, consisting of (i) a cash payment of $1.0 million contingent on the achievement of certain revenue targets for the annual period ended December 31, 2022 and, separately, (ii) a cash payment of $1.5 million contingent on certain product-related regulatory certifications obtained by May 26, 2024. As of December 31, 2022, the measurement period related to the contingent earn-out based on certain revenue targets ended and based on the actual revenue achieved during the measurement period the fair value of the contingent earn-out was determined to be zero as the minimum threshold for earning the earn-out was not met. As of March 31, 2024, the estimated fair value for the contingent consideration related to certain product-related regulatory certifications was estimated to be $1.5 million.</w:t>
      </w:r>
    </w:p>
    <w:p>
      <w:pPr>
        <w:spacing w:after="0" w:line="205"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In August 2021, we entered into an agreement with one of our international distributors whereby that distributor would not compete with us in a specific territory for a three-year period that ends September 2024. The terms of the agreement included a contingent earn-out payment. The contingent earn-out payment could not exceed $6.0 million, and was to be earned based on certain revenue targets over a twelve-month measurement period determined by the highest four consecutive quarters commencing over a two-year period starting on the closing date of the agreement and provided that the distributor is in compliance with its obligations under the agreement. As of December 31, 2023, the fair value of the contingent earn-out was determined to be $3.4 million and was paid out during the three months ended March 31, 2024.</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Our contingent earn-out liabilities are separately stated on our condensed consolidated balance sheets.</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provide a reconciliation of the Level 3 earn-out liabilities measured at estimated fair value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Earn-out Liability</w:t>
            </w:r>
          </w:p>
        </w:tc>
      </w:tr>
      <w:tr>
        <w:trPr>
          <w:trHeight w:val="215"/>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January 1, 2024</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5,491</w:t>
            </w:r>
          </w:p>
        </w:tc>
      </w:tr>
      <w:tr>
        <w:trPr>
          <w:trHeight w:val="219"/>
        </w:trPr>
        <w:tc>
          <w:tcPr>
            <w:tcW w:w="9460" w:type="dxa"/>
            <w:vAlign w:val="bottom"/>
            <w:tcBorders>
              <w:bottom w:val="single" w:sz="8" w:color="CCEEFF"/>
            </w:tcBorders>
          </w:tcPr>
          <w:p>
            <w:pPr>
              <w:ind w:left="140"/>
              <w:spacing w:after="0" w:line="219" w:lineRule="exact"/>
              <w:rPr>
                <w:sz w:val="20"/>
                <w:szCs w:val="20"/>
                <w:color w:val="auto"/>
              </w:rPr>
            </w:pPr>
            <w:r>
              <w:rPr>
                <w:rFonts w:ascii="Times New Roman" w:cs="Times New Roman" w:eastAsia="Times New Roman" w:hAnsi="Times New Roman"/>
                <w:sz w:val="17"/>
                <w:szCs w:val="17"/>
                <w:color w:val="auto"/>
              </w:rPr>
              <w:t>Change in fair value of earn-out (included in income from operations as a separate line item)</w:t>
            </w:r>
            <w:r>
              <w:rPr>
                <w:rFonts w:ascii="Times New Roman" w:cs="Times New Roman" w:eastAsia="Times New Roman" w:hAnsi="Times New Roman"/>
                <w:sz w:val="22"/>
                <w:szCs w:val="22"/>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w:t>
            </w:r>
          </w:p>
        </w:tc>
      </w:tr>
      <w:tr>
        <w:trPr>
          <w:trHeight w:val="212"/>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March 31, 2024</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5,786</w:t>
            </w:r>
          </w:p>
        </w:tc>
      </w:tr>
      <w:tr>
        <w:trPr>
          <w:trHeight w:val="351"/>
        </w:trPr>
        <w:tc>
          <w:tcPr>
            <w:tcW w:w="94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Earn-out Liability</w:t>
            </w:r>
          </w:p>
        </w:tc>
      </w:tr>
      <w:tr>
        <w:trPr>
          <w:trHeight w:val="215"/>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January 1, 2023</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25,572</w:t>
            </w:r>
          </w:p>
        </w:tc>
      </w:tr>
      <w:tr>
        <w:trPr>
          <w:trHeight w:val="219"/>
        </w:trPr>
        <w:tc>
          <w:tcPr>
            <w:tcW w:w="9460" w:type="dxa"/>
            <w:vAlign w:val="bottom"/>
          </w:tcPr>
          <w:p>
            <w:pPr>
              <w:ind w:left="140"/>
              <w:spacing w:after="0" w:line="219" w:lineRule="exact"/>
              <w:rPr>
                <w:sz w:val="20"/>
                <w:szCs w:val="20"/>
                <w:color w:val="auto"/>
              </w:rPr>
            </w:pPr>
            <w:r>
              <w:rPr>
                <w:rFonts w:ascii="Times New Roman" w:cs="Times New Roman" w:eastAsia="Times New Roman" w:hAnsi="Times New Roman"/>
                <w:sz w:val="17"/>
                <w:szCs w:val="17"/>
                <w:color w:val="auto"/>
              </w:rPr>
              <w:t>Change in fair value of earn-out (included in income from operations as a separate line item)</w:t>
            </w:r>
            <w:r>
              <w:rPr>
                <w:rFonts w:ascii="Times New Roman" w:cs="Times New Roman" w:eastAsia="Times New Roman" w:hAnsi="Times New Roman"/>
                <w:sz w:val="22"/>
                <w:szCs w:val="22"/>
                <w:color w:val="auto"/>
                <w:vertAlign w:val="superscript"/>
              </w:rPr>
              <w:t>(1)</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r>
      <w:tr>
        <w:trPr>
          <w:trHeight w:val="219"/>
        </w:trPr>
        <w:tc>
          <w:tcPr>
            <w:tcW w:w="9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Currency translation</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12"/>
        </w:trPr>
        <w:tc>
          <w:tcPr>
            <w:tcW w:w="9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March 31, 2023</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24,905</w:t>
            </w:r>
          </w:p>
        </w:tc>
      </w:tr>
      <w:tr>
        <w:trPr>
          <w:trHeight w:val="264"/>
        </w:trPr>
        <w:tc>
          <w:tcPr>
            <w:tcW w:w="9460" w:type="dxa"/>
            <w:vAlign w:val="bottom"/>
          </w:tcPr>
          <w:p>
            <w:pPr>
              <w:spacing w:after="0"/>
              <w:rPr>
                <w:sz w:val="20"/>
                <w:szCs w:val="20"/>
                <w:color w:val="auto"/>
              </w:rPr>
            </w:pPr>
            <w:r>
              <w:rPr>
                <w:rFonts w:ascii="Times New Roman" w:cs="Times New Roman" w:eastAsia="Times New Roman" w:hAnsi="Times New Roman"/>
                <w:sz w:val="17"/>
                <w:szCs w:val="17"/>
                <w:color w:val="auto"/>
              </w:rPr>
              <w:t>_______________________________</w:t>
            </w: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337"/>
        </w:trPr>
        <w:tc>
          <w:tcPr>
            <w:tcW w:w="9460" w:type="dxa"/>
            <w:vAlign w:val="bottom"/>
          </w:tcPr>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Re</w:t>
            </w:r>
            <w:r>
              <w:rPr>
                <w:rFonts w:ascii="Times New Roman" w:cs="Times New Roman" w:eastAsia="Times New Roman" w:hAnsi="Times New Roman"/>
                <w:sz w:val="15"/>
                <w:szCs w:val="15"/>
                <w:color w:val="auto"/>
              </w:rPr>
              <w:t>lates to the change in fair value of our Smiths Medical earn-out.</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following tables provide quantitative information about Level 3 inputs for fair value measurement of our earn-out liabilities related to Smiths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Medical:</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Smiths Medical Earn-out Liability</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Simulation Input</w:t>
            </w:r>
          </w:p>
        </w:tc>
        <w:tc>
          <w:tcPr>
            <w:tcW w:w="80" w:type="dxa"/>
            <w:vAlign w:val="bottom"/>
            <w:vMerge w:val="restart"/>
          </w:tcPr>
          <w:p>
            <w:pPr>
              <w:spacing w:after="0"/>
              <w:rPr>
                <w:sz w:val="15"/>
                <w:szCs w:val="15"/>
                <w:color w:val="auto"/>
              </w:rPr>
            </w:pPr>
          </w:p>
        </w:tc>
        <w:tc>
          <w:tcPr>
            <w:tcW w:w="1880" w:type="dxa"/>
            <w:vAlign w:val="bottom"/>
            <w:gridSpan w:val="2"/>
          </w:tcPr>
          <w:p>
            <w:pPr>
              <w:ind w:left="74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900" w:type="dxa"/>
            <w:vAlign w:val="bottom"/>
          </w:tcPr>
          <w:p>
            <w:pPr>
              <w:jc w:val="right"/>
              <w:ind w:right="703"/>
              <w:spacing w:after="0"/>
              <w:rPr>
                <w:sz w:val="20"/>
                <w:szCs w:val="20"/>
                <w:color w:val="auto"/>
              </w:rPr>
            </w:pPr>
            <w:r>
              <w:rPr>
                <w:rFonts w:ascii="Times New Roman" w:cs="Times New Roman" w:eastAsia="Times New Roman" w:hAnsi="Times New Roman"/>
                <w:sz w:val="15"/>
                <w:szCs w:val="15"/>
                <w:b w:val="1"/>
                <w:bCs w:val="1"/>
                <w:color w:val="auto"/>
              </w:rPr>
              <w:t>As of</w:t>
            </w:r>
          </w:p>
        </w:tc>
        <w:tc>
          <w:tcPr>
            <w:tcW w:w="0" w:type="dxa"/>
            <w:vAlign w:val="bottom"/>
          </w:tcPr>
          <w:p>
            <w:pPr>
              <w:spacing w:after="0"/>
              <w:rPr>
                <w:sz w:val="1"/>
                <w:szCs w:val="1"/>
                <w:color w:val="auto"/>
              </w:rPr>
            </w:pPr>
          </w:p>
        </w:tc>
      </w:tr>
      <w:tr>
        <w:trPr>
          <w:trHeight w:val="205"/>
        </w:trPr>
        <w:tc>
          <w:tcPr>
            <w:tcW w:w="73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8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8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0" w:type="dxa"/>
            <w:vAlign w:val="bottom"/>
          </w:tcPr>
          <w:p>
            <w:pPr>
              <w:spacing w:after="0"/>
              <w:rPr>
                <w:sz w:val="1"/>
                <w:szCs w:val="1"/>
                <w:color w:val="auto"/>
              </w:rPr>
            </w:pPr>
          </w:p>
        </w:tc>
      </w:tr>
      <w:tr>
        <w:trPr>
          <w:trHeight w:val="200"/>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Volatility</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48.00 %</w:t>
            </w:r>
          </w:p>
        </w:tc>
        <w:tc>
          <w:tcPr>
            <w:tcW w:w="8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47.00 %</w:t>
            </w:r>
          </w:p>
        </w:tc>
        <w:tc>
          <w:tcPr>
            <w:tcW w:w="0" w:type="dxa"/>
            <w:vAlign w:val="bottom"/>
          </w:tcPr>
          <w:p>
            <w:pPr>
              <w:spacing w:after="0"/>
              <w:rPr>
                <w:sz w:val="1"/>
                <w:szCs w:val="1"/>
                <w:color w:val="auto"/>
              </w:rPr>
            </w:pPr>
          </w:p>
        </w:tc>
      </w:tr>
      <w:tr>
        <w:trPr>
          <w:trHeight w:val="20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Risk-Free Rate</w:t>
            </w: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4.64 %</w:t>
            </w:r>
          </w:p>
        </w:tc>
        <w:tc>
          <w:tcPr>
            <w:tcW w:w="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Investments, Foreign Exchange Contracts and Interest Rate Contracts</w:t>
      </w:r>
    </w:p>
    <w:p>
      <w:pPr>
        <w:spacing w:after="0" w:line="247" w:lineRule="exact"/>
        <w:rPr>
          <w:sz w:val="20"/>
          <w:szCs w:val="20"/>
          <w:color w:val="auto"/>
        </w:rPr>
      </w:pPr>
    </w:p>
    <w:p>
      <w:pPr>
        <w:ind w:right="140" w:firstLine="162"/>
        <w:spacing w:after="0" w:line="264" w:lineRule="auto"/>
        <w:rPr>
          <w:sz w:val="20"/>
          <w:szCs w:val="20"/>
          <w:color w:val="auto"/>
        </w:rPr>
      </w:pPr>
      <w:r>
        <w:rPr>
          <w:rFonts w:ascii="Times New Roman" w:cs="Times New Roman" w:eastAsia="Times New Roman" w:hAnsi="Times New Roman"/>
          <w:sz w:val="17"/>
          <w:szCs w:val="17"/>
          <w:color w:val="auto"/>
        </w:rPr>
        <w:t>As of March 31, 2024, we do not have any investment securities. Our investments historically consisted of corporate, government bonds and U.S. treasury securities. The fair value of our corporate and government bonds were estimated using observable market-based inputs such as quoted prices, interest rates and yield curves or Level 2 inputs. The fair value of our U.S. treasury securities were based on quoted market prices in active markets and are included in the Level 1 fair value hierarchy.</w:t>
      </w:r>
    </w:p>
    <w:p>
      <w:pPr>
        <w:spacing w:after="0" w:line="197" w:lineRule="exact"/>
        <w:rPr>
          <w:sz w:val="20"/>
          <w:szCs w:val="20"/>
          <w:color w:val="auto"/>
        </w:rPr>
      </w:pPr>
    </w:p>
    <w:p>
      <w:pPr>
        <w:ind w:right="200" w:firstLine="169"/>
        <w:spacing w:after="0" w:line="287" w:lineRule="auto"/>
        <w:rPr>
          <w:sz w:val="20"/>
          <w:szCs w:val="20"/>
          <w:color w:val="auto"/>
        </w:rPr>
      </w:pPr>
      <w:r>
        <w:rPr>
          <w:rFonts w:ascii="Times New Roman" w:cs="Times New Roman" w:eastAsia="Times New Roman" w:hAnsi="Times New Roman"/>
          <w:sz w:val="17"/>
          <w:szCs w:val="17"/>
          <w:color w:val="auto"/>
        </w:rPr>
        <w:t>The fair value of our Level 2 foreign exchange contracts is estimated using observable market inputs such as known notional value amounts, spot and forward exchange rates. These inputs relate to liquid, heavily traded currencies with active markets which are available for the full term of the derivative.</w:t>
      </w:r>
    </w:p>
    <w:p>
      <w:pPr>
        <w:spacing w:after="0" w:line="177" w:lineRule="exact"/>
        <w:rPr>
          <w:sz w:val="20"/>
          <w:szCs w:val="20"/>
          <w:color w:val="auto"/>
        </w:rPr>
      </w:pPr>
    </w:p>
    <w:p>
      <w:pPr>
        <w:ind w:right="660" w:firstLine="619"/>
        <w:spacing w:after="0" w:line="287" w:lineRule="auto"/>
        <w:rPr>
          <w:sz w:val="20"/>
          <w:szCs w:val="20"/>
          <w:color w:val="auto"/>
        </w:rPr>
      </w:pPr>
      <w:r>
        <w:rPr>
          <w:rFonts w:ascii="Times New Roman" w:cs="Times New Roman" w:eastAsia="Times New Roman" w:hAnsi="Times New Roman"/>
          <w:sz w:val="17"/>
          <w:szCs w:val="17"/>
          <w:color w:val="auto"/>
        </w:rPr>
        <w:t>The fair value of our Level 2 interest rate swaps is estimated using a pricing model that reflects the terms of the contracts, including the period to maturity, and relies on observable market inputs such as known notional value amounts and USD interest rate curves.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assets and liabilities measured at fair value on a recurring basis consisted of the following Level 1, 2 and 3 inputs as defined above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7"/>
                <w:szCs w:val="17"/>
                <w:b w:val="1"/>
                <w:bCs w:val="1"/>
                <w:color w:val="auto"/>
              </w:rPr>
              <w:t>Fair value measurements as of March 31, 2024</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left="154"/>
              <w:spacing w:after="0" w:line="161" w:lineRule="exact"/>
              <w:rPr>
                <w:sz w:val="20"/>
                <w:szCs w:val="20"/>
                <w:color w:val="auto"/>
              </w:rPr>
            </w:pPr>
            <w:r>
              <w:rPr>
                <w:rFonts w:ascii="Times New Roman" w:cs="Times New Roman" w:eastAsia="Times New Roman" w:hAnsi="Times New Roman"/>
                <w:sz w:val="17"/>
                <w:szCs w:val="17"/>
                <w:b w:val="1"/>
                <w:bCs w:val="1"/>
                <w:color w:val="auto"/>
              </w:rPr>
              <w:t>Quoted prices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left="154"/>
              <w:spacing w:after="0" w:line="181" w:lineRule="exact"/>
              <w:rPr>
                <w:sz w:val="20"/>
                <w:szCs w:val="20"/>
                <w:color w:val="auto"/>
              </w:rPr>
            </w:pPr>
            <w:r>
              <w:rPr>
                <w:rFonts w:ascii="Times New Roman" w:cs="Times New Roman" w:eastAsia="Times New Roman" w:hAnsi="Times New Roman"/>
                <w:sz w:val="17"/>
                <w:szCs w:val="17"/>
                <w:b w:val="1"/>
                <w:bCs w:val="1"/>
                <w:color w:val="auto"/>
                <w:w w:val="98"/>
              </w:rPr>
              <w:t>in active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vMerge w:val="restart"/>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560" w:type="dxa"/>
            <w:vAlign w:val="bottom"/>
            <w:gridSpan w:val="2"/>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Total carrying</w:t>
            </w:r>
          </w:p>
        </w:tc>
        <w:tc>
          <w:tcPr>
            <w:tcW w:w="140" w:type="dxa"/>
            <w:vAlign w:val="bottom"/>
          </w:tcPr>
          <w:p>
            <w:pPr>
              <w:spacing w:after="0"/>
              <w:rPr>
                <w:sz w:val="14"/>
                <w:szCs w:val="14"/>
                <w:color w:val="auto"/>
              </w:rPr>
            </w:pPr>
          </w:p>
        </w:tc>
        <w:tc>
          <w:tcPr>
            <w:tcW w:w="1320" w:type="dxa"/>
            <w:vAlign w:val="bottom"/>
          </w:tcPr>
          <w:p>
            <w:pPr>
              <w:jc w:val="center"/>
              <w:ind w:left="154"/>
              <w:spacing w:after="0" w:line="167" w:lineRule="exact"/>
              <w:rPr>
                <w:sz w:val="20"/>
                <w:szCs w:val="20"/>
                <w:color w:val="auto"/>
              </w:rPr>
            </w:pPr>
            <w:r>
              <w:rPr>
                <w:rFonts w:ascii="Times New Roman" w:cs="Times New Roman" w:eastAsia="Times New Roman" w:hAnsi="Times New Roman"/>
                <w:sz w:val="17"/>
                <w:szCs w:val="17"/>
                <w:b w:val="1"/>
                <w:bCs w:val="1"/>
                <w:color w:val="auto"/>
              </w:rPr>
              <w:t>markets for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20"/>
              <w:spacing w:after="0" w:line="167" w:lineRule="exact"/>
              <w:rPr>
                <w:sz w:val="20"/>
                <w:szCs w:val="20"/>
                <w:color w:val="auto"/>
              </w:rPr>
            </w:pPr>
            <w:r>
              <w:rPr>
                <w:rFonts w:ascii="Times New Roman" w:cs="Times New Roman" w:eastAsia="Times New Roman" w:hAnsi="Times New Roman"/>
                <w:sz w:val="17"/>
                <w:szCs w:val="17"/>
                <w:b w:val="1"/>
                <w:bCs w:val="1"/>
                <w:color w:val="auto"/>
              </w:rPr>
              <w:t>other</w:t>
            </w: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left="154"/>
              <w:spacing w:after="0" w:line="167" w:lineRule="exact"/>
              <w:rPr>
                <w:sz w:val="20"/>
                <w:szCs w:val="20"/>
                <w:color w:val="auto"/>
              </w:rPr>
            </w:pPr>
            <w:r>
              <w:rPr>
                <w:rFonts w:ascii="Times New Roman" w:cs="Times New Roman" w:eastAsia="Times New Roman" w:hAnsi="Times New Roman"/>
                <w:sz w:val="17"/>
                <w:szCs w:val="17"/>
                <w:b w:val="1"/>
                <w:bCs w:val="1"/>
                <w:color w:val="auto"/>
              </w:rPr>
              <w:t>identical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20"/>
              <w:spacing w:after="0" w:line="167" w:lineRule="exact"/>
              <w:rPr>
                <w:sz w:val="20"/>
                <w:szCs w:val="20"/>
                <w:color w:val="auto"/>
              </w:rPr>
            </w:pPr>
            <w:r>
              <w:rPr>
                <w:rFonts w:ascii="Times New Roman" w:cs="Times New Roman" w:eastAsia="Times New Roman" w:hAnsi="Times New Roman"/>
                <w:sz w:val="17"/>
                <w:szCs w:val="17"/>
                <w:b w:val="1"/>
                <w:bCs w:val="1"/>
                <w:color w:val="auto"/>
              </w:rPr>
              <w:t>observable</w:t>
            </w:r>
          </w:p>
        </w:tc>
        <w:tc>
          <w:tcPr>
            <w:tcW w:w="180" w:type="dxa"/>
            <w:vAlign w:val="bottom"/>
          </w:tcPr>
          <w:p>
            <w:pPr>
              <w:spacing w:after="0"/>
              <w:rPr>
                <w:sz w:val="14"/>
                <w:szCs w:val="14"/>
                <w:color w:val="auto"/>
              </w:rPr>
            </w:pPr>
          </w:p>
        </w:tc>
        <w:tc>
          <w:tcPr>
            <w:tcW w:w="1380" w:type="dxa"/>
            <w:vAlign w:val="bottom"/>
          </w:tcPr>
          <w:p>
            <w:pPr>
              <w:jc w:val="center"/>
              <w:ind w:right="74"/>
              <w:spacing w:after="0" w:line="167" w:lineRule="exact"/>
              <w:rPr>
                <w:sz w:val="20"/>
                <w:szCs w:val="20"/>
                <w:color w:val="auto"/>
              </w:rPr>
            </w:pPr>
            <w:r>
              <w:rPr>
                <w:rFonts w:ascii="Times New Roman" w:cs="Times New Roman" w:eastAsia="Times New Roman" w:hAnsi="Times New Roman"/>
                <w:sz w:val="17"/>
                <w:szCs w:val="17"/>
                <w:b w:val="1"/>
                <w:bCs w:val="1"/>
                <w:color w:val="auto"/>
              </w:rPr>
              <w:t>unobservable</w:t>
            </w:r>
          </w:p>
        </w:tc>
        <w:tc>
          <w:tcPr>
            <w:tcW w:w="0" w:type="dxa"/>
            <w:vAlign w:val="bottom"/>
          </w:tcPr>
          <w:p>
            <w:pPr>
              <w:spacing w:after="0"/>
              <w:rPr>
                <w:sz w:val="1"/>
                <w:szCs w:val="1"/>
                <w:color w:val="auto"/>
              </w:rPr>
            </w:pPr>
          </w:p>
        </w:tc>
      </w:tr>
      <w:tr>
        <w:trPr>
          <w:trHeight w:val="232"/>
        </w:trPr>
        <w:tc>
          <w:tcPr>
            <w:tcW w:w="4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value</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left="154"/>
              <w:spacing w:after="0"/>
              <w:rPr>
                <w:sz w:val="20"/>
                <w:szCs w:val="20"/>
                <w:color w:val="auto"/>
              </w:rPr>
            </w:pPr>
            <w:r>
              <w:rPr>
                <w:rFonts w:ascii="Times New Roman" w:cs="Times New Roman" w:eastAsia="Times New Roman" w:hAnsi="Times New Roman"/>
                <w:sz w:val="17"/>
                <w:szCs w:val="17"/>
                <w:b w:val="1"/>
                <w:bCs w:val="1"/>
                <w:color w:val="auto"/>
              </w:rPr>
              <w:t>assets (level 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inputs (level 2)</w:t>
            </w:r>
          </w:p>
        </w:tc>
        <w:tc>
          <w:tcPr>
            <w:tcW w:w="180" w:type="dxa"/>
            <w:vAlign w:val="bottom"/>
          </w:tcPr>
          <w:p>
            <w:pPr>
              <w:spacing w:after="0"/>
              <w:rPr>
                <w:sz w:val="20"/>
                <w:szCs w:val="20"/>
                <w:color w:val="auto"/>
              </w:rPr>
            </w:pPr>
          </w:p>
        </w:tc>
        <w:tc>
          <w:tcPr>
            <w:tcW w:w="138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inputs (level 3)</w:t>
            </w:r>
          </w:p>
        </w:tc>
        <w:tc>
          <w:tcPr>
            <w:tcW w:w="0" w:type="dxa"/>
            <w:vAlign w:val="bottom"/>
          </w:tcPr>
          <w:p>
            <w:pPr>
              <w:spacing w:after="0"/>
              <w:rPr>
                <w:sz w:val="1"/>
                <w:szCs w:val="1"/>
                <w:color w:val="auto"/>
              </w:rPr>
            </w:pPr>
          </w:p>
        </w:tc>
      </w:tr>
      <w:tr>
        <w:trPr>
          <w:trHeight w:val="19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0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8,984</w:t>
            </w:r>
          </w:p>
        </w:tc>
        <w:tc>
          <w:tcPr>
            <w:tcW w:w="1460" w:type="dxa"/>
            <w:vAlign w:val="bottom"/>
            <w:gridSpan w:val="2"/>
            <w:shd w:val="clear" w:color="auto" w:fill="CCEEFF"/>
          </w:tcPr>
          <w:p>
            <w:pPr>
              <w:jc w:val="right"/>
              <w:ind w:right="113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1,055</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23,034</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23,034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10,336</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00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43,409</w:t>
            </w:r>
          </w:p>
        </w:tc>
        <w:tc>
          <w:tcPr>
            <w:tcW w:w="14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113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43,409</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Contingent earn-out liability - ST</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1460" w:type="dxa"/>
            <w:vAlign w:val="bottom"/>
            <w:gridSpan w:val="2"/>
            <w:shd w:val="clear" w:color="auto" w:fill="CCEEFF"/>
          </w:tcPr>
          <w:p>
            <w:pPr>
              <w:jc w:val="right"/>
              <w:ind w:right="113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0" w:type="dxa"/>
            <w:vAlign w:val="bottom"/>
          </w:tcPr>
          <w:p>
            <w:pPr>
              <w:spacing w:after="0"/>
              <w:rPr>
                <w:sz w:val="1"/>
                <w:szCs w:val="1"/>
                <w:color w:val="auto"/>
              </w:rPr>
            </w:pPr>
          </w:p>
        </w:tc>
      </w:tr>
      <w:tr>
        <w:trPr>
          <w:trHeight w:val="219"/>
        </w:trPr>
        <w:tc>
          <w:tcPr>
            <w:tcW w:w="4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Contingent earn-out liability - LT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4,286</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4,286</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Accrued liabilities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1,983</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00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7,769</w:t>
            </w:r>
          </w:p>
        </w:tc>
        <w:tc>
          <w:tcPr>
            <w:tcW w:w="14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113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1,983</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5,786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4580" w:type="dxa"/>
            <w:vAlign w:val="bottom"/>
          </w:tcPr>
          <w:p>
            <w:pPr>
              <w:spacing w:after="0"/>
              <w:rPr>
                <w:sz w:val="24"/>
                <w:szCs w:val="24"/>
                <w:color w:val="auto"/>
              </w:rPr>
            </w:pPr>
          </w:p>
        </w:tc>
        <w:tc>
          <w:tcPr>
            <w:tcW w:w="1560" w:type="dxa"/>
            <w:vAlign w:val="bottom"/>
            <w:gridSpan w:val="2"/>
          </w:tcPr>
          <w:p>
            <w:pPr>
              <w:jc w:val="right"/>
              <w:ind w:right="354"/>
              <w:spacing w:after="0"/>
              <w:rPr>
                <w:sz w:val="20"/>
                <w:szCs w:val="20"/>
                <w:color w:val="auto"/>
              </w:rPr>
            </w:pPr>
            <w:r>
              <w:rPr>
                <w:rFonts w:ascii="Times New Roman" w:cs="Times New Roman" w:eastAsia="Times New Roman" w:hAnsi="Times New Roman"/>
                <w:sz w:val="17"/>
                <w:szCs w:val="17"/>
                <w:color w:val="auto"/>
              </w:rPr>
              <w:t>22</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5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7"/>
                <w:szCs w:val="17"/>
                <w:b w:val="1"/>
                <w:bCs w:val="1"/>
                <w:color w:val="auto"/>
              </w:rPr>
              <w:t>Fair value measurements as of December 31, 2023</w:t>
            </w: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center"/>
              <w:ind w:left="174"/>
              <w:spacing w:after="0" w:line="161" w:lineRule="exact"/>
              <w:rPr>
                <w:sz w:val="20"/>
                <w:szCs w:val="20"/>
                <w:color w:val="auto"/>
              </w:rPr>
            </w:pPr>
            <w:r>
              <w:rPr>
                <w:rFonts w:ascii="Times New Roman" w:cs="Times New Roman" w:eastAsia="Times New Roman" w:hAnsi="Times New Roman"/>
                <w:sz w:val="17"/>
                <w:szCs w:val="17"/>
                <w:b w:val="1"/>
                <w:bCs w:val="1"/>
                <w:color w:val="auto"/>
              </w:rPr>
              <w:t>Quoted prices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ind w:left="174"/>
              <w:spacing w:after="0" w:line="181" w:lineRule="exact"/>
              <w:rPr>
                <w:sz w:val="20"/>
                <w:szCs w:val="20"/>
                <w:color w:val="auto"/>
              </w:rPr>
            </w:pPr>
            <w:r>
              <w:rPr>
                <w:rFonts w:ascii="Times New Roman" w:cs="Times New Roman" w:eastAsia="Times New Roman" w:hAnsi="Times New Roman"/>
                <w:sz w:val="17"/>
                <w:szCs w:val="17"/>
                <w:b w:val="1"/>
                <w:bCs w:val="1"/>
                <w:color w:val="auto"/>
                <w:w w:val="98"/>
              </w:rPr>
              <w:t>in active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vMerge w:val="restart"/>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0" w:type="dxa"/>
            <w:vAlign w:val="bottom"/>
          </w:tcPr>
          <w:p>
            <w:pPr>
              <w:spacing w:after="0"/>
              <w:rPr>
                <w:sz w:val="1"/>
                <w:szCs w:val="1"/>
                <w:color w:val="auto"/>
              </w:rPr>
            </w:pPr>
          </w:p>
        </w:tc>
      </w:tr>
      <w:tr>
        <w:trPr>
          <w:trHeight w:val="168"/>
        </w:trPr>
        <w:tc>
          <w:tcPr>
            <w:tcW w:w="4700" w:type="dxa"/>
            <w:vAlign w:val="bottom"/>
          </w:tcPr>
          <w:p>
            <w:pPr>
              <w:spacing w:after="0"/>
              <w:rPr>
                <w:sz w:val="14"/>
                <w:szCs w:val="14"/>
                <w:color w:val="auto"/>
              </w:rPr>
            </w:pPr>
          </w:p>
        </w:tc>
        <w:tc>
          <w:tcPr>
            <w:tcW w:w="16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b w:val="1"/>
                <w:bCs w:val="1"/>
                <w:color w:val="auto"/>
              </w:rPr>
              <w:t>Total carrying</w:t>
            </w:r>
          </w:p>
        </w:tc>
        <w:tc>
          <w:tcPr>
            <w:tcW w:w="1300" w:type="dxa"/>
            <w:vAlign w:val="bottom"/>
          </w:tcPr>
          <w:p>
            <w:pPr>
              <w:jc w:val="center"/>
              <w:ind w:left="174"/>
              <w:spacing w:after="0" w:line="167" w:lineRule="exact"/>
              <w:rPr>
                <w:sz w:val="20"/>
                <w:szCs w:val="20"/>
                <w:color w:val="auto"/>
              </w:rPr>
            </w:pPr>
            <w:r>
              <w:rPr>
                <w:rFonts w:ascii="Times New Roman" w:cs="Times New Roman" w:eastAsia="Times New Roman" w:hAnsi="Times New Roman"/>
                <w:sz w:val="17"/>
                <w:szCs w:val="17"/>
                <w:b w:val="1"/>
                <w:bCs w:val="1"/>
                <w:color w:val="auto"/>
              </w:rPr>
              <w:t>markets for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line="167" w:lineRule="exact"/>
              <w:rPr>
                <w:sz w:val="20"/>
                <w:szCs w:val="20"/>
                <w:color w:val="auto"/>
              </w:rPr>
            </w:pPr>
            <w:r>
              <w:rPr>
                <w:rFonts w:ascii="Times New Roman" w:cs="Times New Roman" w:eastAsia="Times New Roman" w:hAnsi="Times New Roman"/>
                <w:sz w:val="17"/>
                <w:szCs w:val="17"/>
                <w:b w:val="1"/>
                <w:bCs w:val="1"/>
                <w:color w:val="auto"/>
              </w:rPr>
              <w:t>other</w:t>
            </w: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700" w:type="dxa"/>
            <w:vAlign w:val="bottom"/>
          </w:tcPr>
          <w:p>
            <w:pPr>
              <w:spacing w:after="0"/>
              <w:rPr>
                <w:sz w:val="15"/>
                <w:szCs w:val="15"/>
                <w:color w:val="auto"/>
              </w:rPr>
            </w:pPr>
          </w:p>
        </w:tc>
        <w:tc>
          <w:tcPr>
            <w:tcW w:w="1660" w:type="dxa"/>
            <w:vAlign w:val="bottom"/>
            <w:gridSpan w:val="3"/>
            <w:vMerge w:val="continue"/>
          </w:tcPr>
          <w:p>
            <w:pPr>
              <w:spacing w:after="0"/>
              <w:rPr>
                <w:sz w:val="15"/>
                <w:szCs w:val="15"/>
                <w:color w:val="auto"/>
              </w:rPr>
            </w:pPr>
          </w:p>
        </w:tc>
        <w:tc>
          <w:tcPr>
            <w:tcW w:w="1300" w:type="dxa"/>
            <w:vAlign w:val="bottom"/>
          </w:tcPr>
          <w:p>
            <w:pPr>
              <w:jc w:val="center"/>
              <w:ind w:left="174"/>
              <w:spacing w:after="0" w:line="181" w:lineRule="exact"/>
              <w:rPr>
                <w:sz w:val="20"/>
                <w:szCs w:val="20"/>
                <w:color w:val="auto"/>
              </w:rPr>
            </w:pPr>
            <w:r>
              <w:rPr>
                <w:rFonts w:ascii="Times New Roman" w:cs="Times New Roman" w:eastAsia="Times New Roman" w:hAnsi="Times New Roman"/>
                <w:sz w:val="17"/>
                <w:szCs w:val="17"/>
                <w:b w:val="1"/>
                <w:bCs w:val="1"/>
                <w:color w:val="auto"/>
              </w:rPr>
              <w:t>identical</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7"/>
                <w:szCs w:val="17"/>
                <w:b w:val="1"/>
                <w:bCs w:val="1"/>
                <w:color w:val="auto"/>
              </w:rPr>
              <w:t>observable</w:t>
            </w:r>
          </w:p>
        </w:tc>
        <w:tc>
          <w:tcPr>
            <w:tcW w:w="180" w:type="dxa"/>
            <w:vAlign w:val="bottom"/>
          </w:tcPr>
          <w:p>
            <w:pPr>
              <w:spacing w:after="0"/>
              <w:rPr>
                <w:sz w:val="15"/>
                <w:szCs w:val="15"/>
                <w:color w:val="auto"/>
              </w:rPr>
            </w:pPr>
          </w:p>
        </w:tc>
        <w:tc>
          <w:tcPr>
            <w:tcW w:w="1380" w:type="dxa"/>
            <w:vAlign w:val="bottom"/>
          </w:tcPr>
          <w:p>
            <w:pPr>
              <w:jc w:val="center"/>
              <w:ind w:right="74"/>
              <w:spacing w:after="0" w:line="181" w:lineRule="exact"/>
              <w:rPr>
                <w:sz w:val="20"/>
                <w:szCs w:val="20"/>
                <w:color w:val="auto"/>
              </w:rPr>
            </w:pPr>
            <w:r>
              <w:rPr>
                <w:rFonts w:ascii="Times New Roman" w:cs="Times New Roman" w:eastAsia="Times New Roman" w:hAnsi="Times New Roman"/>
                <w:sz w:val="17"/>
                <w:szCs w:val="17"/>
                <w:b w:val="1"/>
                <w:bCs w:val="1"/>
                <w:color w:val="auto"/>
              </w:rPr>
              <w:t>unobservable</w:t>
            </w:r>
          </w:p>
        </w:tc>
        <w:tc>
          <w:tcPr>
            <w:tcW w:w="0" w:type="dxa"/>
            <w:vAlign w:val="bottom"/>
          </w:tcPr>
          <w:p>
            <w:pPr>
              <w:spacing w:after="0"/>
              <w:rPr>
                <w:sz w:val="1"/>
                <w:szCs w:val="1"/>
                <w:color w:val="auto"/>
              </w:rPr>
            </w:pPr>
          </w:p>
        </w:tc>
      </w:tr>
      <w:tr>
        <w:trPr>
          <w:trHeight w:val="219"/>
        </w:trPr>
        <w:tc>
          <w:tcPr>
            <w:tcW w:w="47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value</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center"/>
              <w:ind w:left="174"/>
              <w:spacing w:after="0"/>
              <w:rPr>
                <w:sz w:val="20"/>
                <w:szCs w:val="20"/>
                <w:color w:val="auto"/>
              </w:rPr>
            </w:pPr>
            <w:r>
              <w:rPr>
                <w:rFonts w:ascii="Times New Roman" w:cs="Times New Roman" w:eastAsia="Times New Roman" w:hAnsi="Times New Roman"/>
                <w:sz w:val="17"/>
                <w:szCs w:val="17"/>
                <w:b w:val="1"/>
                <w:bCs w:val="1"/>
                <w:color w:val="auto"/>
              </w:rPr>
              <w:t>assets (level 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inputs (level 2)</w:t>
            </w:r>
          </w:p>
        </w:tc>
        <w:tc>
          <w:tcPr>
            <w:tcW w:w="180" w:type="dxa"/>
            <w:vAlign w:val="bottom"/>
          </w:tcPr>
          <w:p>
            <w:pPr>
              <w:spacing w:after="0"/>
              <w:rPr>
                <w:sz w:val="19"/>
                <w:szCs w:val="19"/>
                <w:color w:val="auto"/>
              </w:rPr>
            </w:pPr>
          </w:p>
        </w:tc>
        <w:tc>
          <w:tcPr>
            <w:tcW w:w="138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inputs (level 3)</w:t>
            </w:r>
          </w:p>
        </w:tc>
        <w:tc>
          <w:tcPr>
            <w:tcW w:w="0" w:type="dxa"/>
            <w:vAlign w:val="bottom"/>
          </w:tcPr>
          <w:p>
            <w:pPr>
              <w:spacing w:after="0"/>
              <w:rPr>
                <w:sz w:val="1"/>
                <w:szCs w:val="1"/>
                <w:color w:val="auto"/>
              </w:rPr>
            </w:pPr>
          </w:p>
        </w:tc>
      </w:tr>
      <w:tr>
        <w:trPr>
          <w:trHeight w:val="19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0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Available-for-sale debt securities: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corporate bonds</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47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exchange forwards: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6,785</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23,065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4,876</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47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00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35,900</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35,900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Contingent earn-out liability - ST</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0" w:type="dxa"/>
            <w:vAlign w:val="bottom"/>
          </w:tcPr>
          <w:p>
            <w:pPr>
              <w:spacing w:after="0"/>
              <w:rPr>
                <w:sz w:val="1"/>
                <w:szCs w:val="1"/>
                <w:color w:val="auto"/>
              </w:rPr>
            </w:pPr>
          </w:p>
        </w:tc>
      </w:tr>
      <w:tr>
        <w:trPr>
          <w:trHeight w:val="219"/>
        </w:trPr>
        <w:tc>
          <w:tcPr>
            <w:tcW w:w="4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Contingent earn-out liability - LT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3,991</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3,991</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liabilities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2,590</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00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11,700</w:t>
            </w:r>
          </w:p>
        </w:tc>
        <w:tc>
          <w:tcPr>
            <w:tcW w:w="1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Investment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Investments in Available-for-sale Securities</w:t>
      </w:r>
    </w:p>
    <w:p>
      <w:pPr>
        <w:spacing w:after="0" w:line="247" w:lineRule="exact"/>
        <w:rPr>
          <w:sz w:val="20"/>
          <w:szCs w:val="20"/>
          <w:color w:val="auto"/>
        </w:rPr>
      </w:pPr>
    </w:p>
    <w:p>
      <w:pPr>
        <w:ind w:right="500" w:firstLine="172"/>
        <w:spacing w:after="0" w:line="287" w:lineRule="auto"/>
        <w:rPr>
          <w:sz w:val="20"/>
          <w:szCs w:val="20"/>
          <w:color w:val="auto"/>
        </w:rPr>
      </w:pPr>
      <w:r>
        <w:rPr>
          <w:rFonts w:ascii="Times New Roman" w:cs="Times New Roman" w:eastAsia="Times New Roman" w:hAnsi="Times New Roman"/>
          <w:sz w:val="17"/>
          <w:szCs w:val="17"/>
          <w:color w:val="auto"/>
        </w:rPr>
        <w:t>Our available-for-sale investment securities historically consisted of corporate bonds, government bonds and U.S. treasury securities and were considered “investment grade” and were carried at fair value.</w:t>
      </w:r>
    </w:p>
    <w:p>
      <w:pPr>
        <w:spacing w:after="0" w:line="177"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As of March 31, 2024, we did not have any investment securities. As of December 31, 2023, the amortized cost, unrealized holding gains (losses) and fair value of our available-for-sale investment securities were as follows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center"/>
              <w:ind w:right="541"/>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vMerge w:val="restart"/>
          </w:tcPr>
          <w:p>
            <w:pPr>
              <w:jc w:val="right"/>
              <w:ind w:right="398"/>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220" w:type="dxa"/>
            <w:vAlign w:val="bottom"/>
          </w:tcPr>
          <w:p>
            <w:pPr>
              <w:spacing w:after="0"/>
              <w:rPr>
                <w:sz w:val="13"/>
                <w:szCs w:val="13"/>
                <w:color w:val="auto"/>
              </w:rPr>
            </w:pPr>
          </w:p>
        </w:tc>
        <w:tc>
          <w:tcPr>
            <w:tcW w:w="2300" w:type="dxa"/>
            <w:vAlign w:val="bottom"/>
          </w:tcPr>
          <w:p>
            <w:pPr>
              <w:jc w:val="center"/>
              <w:ind w:right="541"/>
              <w:spacing w:after="0" w:line="151" w:lineRule="exact"/>
              <w:rPr>
                <w:sz w:val="20"/>
                <w:szCs w:val="20"/>
                <w:color w:val="auto"/>
              </w:rPr>
            </w:pPr>
            <w:r>
              <w:rPr>
                <w:rFonts w:ascii="Times New Roman" w:cs="Times New Roman" w:eastAsia="Times New Roman" w:hAnsi="Times New Roman"/>
                <w:sz w:val="15"/>
                <w:szCs w:val="15"/>
                <w:b w:val="1"/>
                <w:bCs w:val="1"/>
                <w:color w:val="auto"/>
              </w:rPr>
              <w:t>Unrealized Holding</w:t>
            </w:r>
          </w:p>
        </w:tc>
        <w:tc>
          <w:tcPr>
            <w:tcW w:w="1580" w:type="dxa"/>
            <w:vAlign w:val="bottom"/>
            <w:vMerge w:val="restart"/>
          </w:tcPr>
          <w:p>
            <w:pPr>
              <w:jc w:val="right"/>
              <w:ind w:right="538"/>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0" w:type="dxa"/>
            <w:vAlign w:val="bottom"/>
          </w:tcPr>
          <w:p>
            <w:pPr>
              <w:spacing w:after="0"/>
              <w:rPr>
                <w:sz w:val="1"/>
                <w:szCs w:val="1"/>
                <w:color w:val="auto"/>
              </w:rPr>
            </w:pPr>
          </w:p>
        </w:tc>
      </w:tr>
      <w:tr>
        <w:trPr>
          <w:trHeight w:val="205"/>
        </w:trPr>
        <w:tc>
          <w:tcPr>
            <w:tcW w:w="5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center"/>
              <w:ind w:right="541"/>
              <w:spacing w:after="0"/>
              <w:rPr>
                <w:sz w:val="20"/>
                <w:szCs w:val="20"/>
                <w:color w:val="auto"/>
              </w:rPr>
            </w:pPr>
            <w:r>
              <w:rPr>
                <w:rFonts w:ascii="Times New Roman" w:cs="Times New Roman" w:eastAsia="Times New Roman" w:hAnsi="Times New Roman"/>
                <w:sz w:val="15"/>
                <w:szCs w:val="15"/>
                <w:b w:val="1"/>
                <w:bCs w:val="1"/>
                <w:color w:val="auto"/>
              </w:rPr>
              <w:t>Gains (Losses)</w:t>
            </w:r>
          </w:p>
        </w:tc>
        <w:tc>
          <w:tcPr>
            <w:tcW w:w="15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corporate bonds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0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7"/>
                <w:szCs w:val="17"/>
                <w:color w:val="auto"/>
              </w:rPr>
              <w:t>—  $</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right="140" w:firstLine="619"/>
        <w:spacing w:after="0" w:line="287" w:lineRule="auto"/>
        <w:rPr>
          <w:sz w:val="20"/>
          <w:szCs w:val="20"/>
          <w:color w:val="auto"/>
        </w:rPr>
      </w:pPr>
      <w:r>
        <w:rPr>
          <w:rFonts w:ascii="Times New Roman" w:cs="Times New Roman" w:eastAsia="Times New Roman" w:hAnsi="Times New Roman"/>
          <w:sz w:val="17"/>
          <w:szCs w:val="17"/>
          <w:color w:val="auto"/>
        </w:rPr>
        <w:t>The amortized cost of the debt securities are adjusted for the amortization of premiums computed under the effective interest method. Such amortization is included in interest expense, net in our condensed consolidated statements of operations.</w:t>
      </w:r>
    </w:p>
    <w:p>
      <w:pPr>
        <w:spacing w:after="0" w:line="177"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We assess our investment in available-for-sale debt securities for impairment each reporting period. If an unrealized loss exists, we determine whether any portion of the decline in fair value below the amortized cost basis is credit-related by reviewing several factors, including, but not limited to, the extent of the fair value decline and changes in the financial condition of the issuer. We record an impairment for credit-related losses through an allowance, limited to the amount of the unrealized loss. If we either intend to sell or it is more likely than not we will be required to sell the debt security before its anticipated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recovery, any allowance is written off and the amortized cost basis is written down to fair value through a charge against net earnings. Unrealized gains and non-credit-related unrealized losses are recorded, net of tax, in other comprehensive (loss) income. We did not have any investments in available-for-sale debt securities in unrealized loss positions as of December 31, 2023.</w:t>
      </w:r>
    </w:p>
    <w:p>
      <w:pPr>
        <w:spacing w:after="0" w:line="191" w:lineRule="exact"/>
        <w:rPr>
          <w:sz w:val="20"/>
          <w:szCs w:val="20"/>
          <w:color w:val="auto"/>
        </w:rPr>
      </w:pPr>
    </w:p>
    <w:p>
      <w:pPr>
        <w:ind w:right="340" w:firstLine="619"/>
        <w:spacing w:after="0" w:line="287" w:lineRule="auto"/>
        <w:rPr>
          <w:sz w:val="20"/>
          <w:szCs w:val="20"/>
          <w:color w:val="auto"/>
        </w:rPr>
      </w:pPr>
      <w:r>
        <w:rPr>
          <w:rFonts w:ascii="Times New Roman" w:cs="Times New Roman" w:eastAsia="Times New Roman" w:hAnsi="Times New Roman"/>
          <w:sz w:val="17"/>
          <w:szCs w:val="17"/>
          <w:color w:val="auto"/>
        </w:rPr>
        <w:t>Realized gains and losses are accounted for on the specific identification method. There have been no realized gains or losses on the disposal of these investments. All short-term investment securities are callable within one year.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Investments in Non-Marketable Equity Securities</w:t>
      </w:r>
    </w:p>
    <w:p>
      <w:pPr>
        <w:spacing w:after="0" w:line="247"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We own approximately 20% non-marketable equity interest in a nonpublic company and entered into a three-year distribution agreement where we have the exclusive rights to market, sell and distribute the company's products in exchange for a cash payment of $3.3 million. In addition, we were granted an exclusive license for all of the seller's intellectual property. At the expiration of the distribution agreement we have the right but not the obligation to acquire the remaining interest in the business.</w:t>
      </w:r>
    </w:p>
    <w:p>
      <w:pPr>
        <w:spacing w:after="0" w:line="197"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We apply the equity method of accounting for investments when we determine we have a significant influence, but not a controlling interest in the investee. We determine whether we have significant influence by considering key factors such as ownership interest, representation on the board of directors, participation in policy making decisions, business relationship and material intra-entity transactions, among other factors. Our equity method investment is reported at cost and adjusted each period for our share of the investee's income or (loss) and dividend paid, if any. We eliminate any intra-entity profits to the extent of our beneficial interest. We report our proportionate share of the investee's income or (loss) resulting from this investment in other income, net in our condensed consolidated statements of operations. The carrying value of our equity method investment is reported in other assets on our condensed consolidated balance sheets (see Note 10: Prepaid Expenses and Other Current Assets and Other Assets). We assess our equity method investments for impairment on an annual basis or whenever events or circumstances indicate that the carrying value of the investment may not be recoverable. Our recorded share of the investee's loss was not material for the three months ended March 31, 2024 and 2023. We did not receive any dividend distributions from this investment during the three months ended March 31, 2024 and 2023.</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non-marketable equity method investment consists of the following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1"/>
        </w:trPr>
        <w:tc>
          <w:tcPr>
            <w:tcW w:w="7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80" w:type="dxa"/>
            <w:vAlign w:val="bottom"/>
          </w:tcPr>
          <w:p>
            <w:pPr>
              <w:spacing w:after="0"/>
              <w:rPr>
                <w:sz w:val="17"/>
                <w:szCs w:val="17"/>
                <w:color w:val="auto"/>
              </w:rPr>
            </w:pPr>
          </w:p>
        </w:tc>
        <w:tc>
          <w:tcPr>
            <w:tcW w:w="1600" w:type="dxa"/>
            <w:vAlign w:val="bottom"/>
          </w:tcPr>
          <w:p>
            <w:pPr>
              <w:jc w:val="right"/>
              <w:ind w:right="178"/>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method investment</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0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10:</w:t>
        <w:tab/>
        <w:t>Prepaid Expenses and Other Current Assets and Other Assets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Prepaid expenses and other current assets consist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0" w:type="dxa"/>
            <w:vAlign w:val="bottom"/>
          </w:tcPr>
          <w:p>
            <w:pPr>
              <w:spacing w:after="0"/>
              <w:rPr>
                <w:sz w:val="1"/>
                <w:szCs w:val="1"/>
                <w:color w:val="auto"/>
              </w:rPr>
            </w:pP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prepaid expenses and receivables</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20,819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17,833</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vendor expenses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1,309</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costs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1,668</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insurance and property taxes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9,547</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VAT/GST receivable</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2,748</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charge</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5,822</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6,785</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contracts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23,065</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Deposits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1,196</w:t>
            </w:r>
          </w:p>
        </w:tc>
        <w:tc>
          <w:tcPr>
            <w:tcW w:w="0" w:type="dxa"/>
            <w:vAlign w:val="bottom"/>
          </w:tcPr>
          <w:p>
            <w:pPr>
              <w:spacing w:after="0"/>
              <w:rPr>
                <w:sz w:val="1"/>
                <w:szCs w:val="1"/>
                <w:color w:val="auto"/>
              </w:rPr>
            </w:pPr>
          </w:p>
        </w:tc>
      </w:tr>
      <w:tr>
        <w:trPr>
          <w:trHeight w:val="219"/>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3,667</w:t>
            </w:r>
          </w:p>
        </w:tc>
        <w:tc>
          <w:tcPr>
            <w:tcW w:w="0" w:type="dxa"/>
            <w:vAlign w:val="bottom"/>
          </w:tcPr>
          <w:p>
            <w:pPr>
              <w:spacing w:after="0"/>
              <w:rPr>
                <w:sz w:val="1"/>
                <w:szCs w:val="1"/>
                <w:color w:val="auto"/>
              </w:rPr>
            </w:pPr>
          </w:p>
        </w:tc>
      </w:tr>
      <w:tr>
        <w:trPr>
          <w:trHeight w:val="237"/>
        </w:trPr>
        <w:tc>
          <w:tcPr>
            <w:tcW w:w="75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82,636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73,640</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620"/>
              <w:spacing w:after="0"/>
              <w:rPr>
                <w:sz w:val="20"/>
                <w:szCs w:val="20"/>
                <w:color w:val="auto"/>
              </w:rPr>
            </w:pPr>
            <w:r>
              <w:rPr>
                <w:rFonts w:ascii="Times New Roman" w:cs="Times New Roman" w:eastAsia="Times New Roman" w:hAnsi="Times New Roman"/>
                <w:sz w:val="17"/>
                <w:szCs w:val="17"/>
                <w:color w:val="auto"/>
              </w:rPr>
              <w:t>Other assets consist of the following (in thousands):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7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0" w:type="dxa"/>
            <w:vAlign w:val="bottom"/>
          </w:tcPr>
          <w:p>
            <w:pPr>
              <w:spacing w:after="0"/>
              <w:rPr>
                <w:sz w:val="1"/>
                <w:szCs w:val="1"/>
                <w:color w:val="auto"/>
              </w:rPr>
            </w:pP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Pump lease receivables</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27,376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30,627</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Spare parts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46,496</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method investment</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3,120</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debt issuance costs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3,439</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right-of-use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2,707</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contracts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4,876</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2,755</w:t>
            </w:r>
          </w:p>
        </w:tc>
        <w:tc>
          <w:tcPr>
            <w:tcW w:w="0" w:type="dxa"/>
            <w:vAlign w:val="bottom"/>
          </w:tcPr>
          <w:p>
            <w:pPr>
              <w:spacing w:after="0"/>
              <w:rPr>
                <w:sz w:val="1"/>
                <w:szCs w:val="1"/>
                <w:color w:val="auto"/>
              </w:rPr>
            </w:pPr>
          </w:p>
        </w:tc>
      </w:tr>
      <w:tr>
        <w:trPr>
          <w:trHeight w:val="212"/>
        </w:trPr>
        <w:tc>
          <w:tcPr>
            <w:tcW w:w="756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96,651</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94,020</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Inventories</w:t>
      </w:r>
    </w:p>
    <w:p>
      <w:pPr>
        <w:spacing w:after="0" w:line="221" w:lineRule="exact"/>
        <w:rPr>
          <w:sz w:val="20"/>
          <w:szCs w:val="20"/>
          <w:color w:val="auto"/>
        </w:rPr>
      </w:pPr>
    </w:p>
    <w:p>
      <w:pPr>
        <w:jc w:val="both"/>
        <w:ind w:right="80" w:firstLine="172"/>
        <w:spacing w:after="0" w:line="287" w:lineRule="auto"/>
        <w:rPr>
          <w:sz w:val="20"/>
          <w:szCs w:val="20"/>
          <w:color w:val="auto"/>
        </w:rPr>
      </w:pPr>
      <w:r>
        <w:rPr>
          <w:rFonts w:ascii="Times New Roman" w:cs="Times New Roman" w:eastAsia="Times New Roman" w:hAnsi="Times New Roman"/>
          <w:sz w:val="17"/>
          <w:szCs w:val="17"/>
          <w:color w:val="auto"/>
        </w:rPr>
        <w:t>Inventories are stated at the lower of cost or net realizable value with cost determined using the first-in, first-out method. Inventory costs include material, labor and overhead related to the manufacturing of our products.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Inventories consist of the following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1"/>
        </w:trPr>
        <w:tc>
          <w:tcPr>
            <w:tcW w:w="7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80" w:type="dxa"/>
            <w:vAlign w:val="bottom"/>
          </w:tcPr>
          <w:p>
            <w:pPr>
              <w:spacing w:after="0"/>
              <w:rPr>
                <w:sz w:val="17"/>
                <w:szCs w:val="17"/>
                <w:color w:val="auto"/>
              </w:rPr>
            </w:pPr>
          </w:p>
        </w:tc>
        <w:tc>
          <w:tcPr>
            <w:tcW w:w="1600" w:type="dxa"/>
            <w:vAlign w:val="bottom"/>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285,061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296,037</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58,906</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321,504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354,417</w:t>
            </w:r>
          </w:p>
        </w:tc>
      </w:tr>
      <w:tr>
        <w:trPr>
          <w:trHeight w:val="212"/>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inventories</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693,006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709,360</w:t>
            </w:r>
          </w:p>
        </w:tc>
      </w:tr>
      <w:tr>
        <w:trPr>
          <w:trHeight w:val="20"/>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0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12:</w:t>
        <w:tab/>
        <w:t>Property, Plant and Equipment</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Property, plant and equipment consists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1"/>
        </w:trPr>
        <w:tc>
          <w:tcPr>
            <w:tcW w:w="7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493,147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483,382</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Land, building and building improvements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284,287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278,251</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Molds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89,573</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Computer equipment and software</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125,150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122,038</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30,662</w:t>
            </w:r>
          </w:p>
        </w:tc>
      </w:tr>
      <w:tr>
        <w:trPr>
          <w:trHeight w:val="219"/>
        </w:trPr>
        <w:tc>
          <w:tcPr>
            <w:tcW w:w="75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Instruments placed with customers</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117,844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115,672</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105,287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117,219</w:t>
            </w:r>
          </w:p>
        </w:tc>
      </w:tr>
      <w:tr>
        <w:trPr>
          <w:trHeight w:val="212"/>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property, plant and equipment, cost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1,247,047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1,236,797</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(644,430)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(623,888)</w:t>
            </w:r>
          </w:p>
        </w:tc>
      </w:tr>
      <w:tr>
        <w:trPr>
          <w:trHeight w:val="212"/>
        </w:trPr>
        <w:tc>
          <w:tcPr>
            <w:tcW w:w="7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602,617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612,909</w:t>
            </w:r>
          </w:p>
        </w:tc>
      </w:tr>
      <w:tr>
        <w:trPr>
          <w:trHeight w:val="20"/>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w:t>
      </w:r>
    </w:p>
    <w:p>
      <w:pPr>
        <w:spacing w:after="0" w:line="52" w:lineRule="exact"/>
        <w:rPr>
          <w:sz w:val="20"/>
          <w:szCs w:val="20"/>
          <w:color w:val="auto"/>
        </w:rPr>
      </w:pPr>
    </w:p>
    <w:p>
      <w:pPr>
        <w:ind w:left="240" w:hanging="237"/>
        <w:spacing w:after="0"/>
        <w:tabs>
          <w:tab w:leader="none" w:pos="24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Instruments placed with customers consist of drug-delivery and monitoring systems placed with customers under operating leases.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4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Depreciation expense was $22.4 million and $23.4 million for the three months ended March 31, 2024 and 2023, respectively.</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13"/>
        </w:trPr>
        <w:tc>
          <w:tcPr>
            <w:tcW w:w="9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13: Goodwill and Intangible Assets, Net</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38"/>
        </w:trPr>
        <w:tc>
          <w:tcPr>
            <w:tcW w:w="94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Goodwill</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38"/>
        </w:trPr>
        <w:tc>
          <w:tcPr>
            <w:tcW w:w="9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following table presents the changes in the carrying amount of our goodwill (in thousands):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5"/>
        </w:trPr>
        <w:tc>
          <w:tcPr>
            <w:tcW w:w="94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2"/>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January 1, 2024</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1,472,446</w:t>
            </w:r>
          </w:p>
        </w:tc>
      </w:tr>
      <w:tr>
        <w:trPr>
          <w:trHeight w:val="219"/>
        </w:trPr>
        <w:tc>
          <w:tcPr>
            <w:tcW w:w="9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Currency translation</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(13,078)</w:t>
            </w:r>
          </w:p>
        </w:tc>
      </w:tr>
      <w:tr>
        <w:trPr>
          <w:trHeight w:val="237"/>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March 31, 2024</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1,459,368</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Intangible Assets, Net</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Intangible assets, carried at cost less accumulated amortization and amortized on a straight-lined basis, were as follows (in thousands):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Weighted-Average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40" w:type="dxa"/>
            <w:vAlign w:val="bottom"/>
          </w:tcPr>
          <w:p>
            <w:pPr>
              <w:spacing w:after="0"/>
              <w:rPr>
                <w:sz w:val="13"/>
                <w:szCs w:val="13"/>
                <w:color w:val="auto"/>
              </w:rPr>
            </w:pPr>
          </w:p>
        </w:tc>
        <w:tc>
          <w:tcPr>
            <w:tcW w:w="148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5"/>
                <w:szCs w:val="15"/>
                <w:b w:val="1"/>
                <w:bCs w:val="1"/>
                <w:color w:val="auto"/>
              </w:rPr>
              <w:t>Amortization</w:t>
            </w:r>
          </w:p>
        </w:tc>
        <w:tc>
          <w:tcPr>
            <w:tcW w:w="30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Net</w:t>
            </w:r>
          </w:p>
        </w:tc>
        <w:tc>
          <w:tcPr>
            <w:tcW w:w="0" w:type="dxa"/>
            <w:vAlign w:val="bottom"/>
          </w:tcPr>
          <w:p>
            <w:pPr>
              <w:spacing w:after="0"/>
              <w:rPr>
                <w:sz w:val="1"/>
                <w:szCs w:val="1"/>
                <w:color w:val="auto"/>
              </w:rPr>
            </w:pPr>
          </w:p>
        </w:tc>
      </w:tr>
      <w:tr>
        <w:trPr>
          <w:trHeight w:val="205"/>
        </w:trPr>
        <w:tc>
          <w:tcPr>
            <w:tcW w:w="544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Life in Years</w:t>
            </w:r>
          </w:p>
        </w:tc>
        <w:tc>
          <w:tcPr>
            <w:tcW w:w="3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Patents</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34,257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21,188</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13,069</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Customer contracts</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6,792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3,099</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Non-contractual customer relationships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550,922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187,090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363,832</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Trademarks</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 name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7,457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10,788</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Developed technology</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587,115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182,377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404,738</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Non-compete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9,100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8,000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1,100</w:t>
            </w:r>
          </w:p>
        </w:tc>
        <w:tc>
          <w:tcPr>
            <w:tcW w:w="0" w:type="dxa"/>
            <w:vAlign w:val="bottom"/>
          </w:tcPr>
          <w:p>
            <w:pPr>
              <w:spacing w:after="0"/>
              <w:rPr>
                <w:sz w:val="1"/>
                <w:szCs w:val="1"/>
                <w:color w:val="auto"/>
              </w:rPr>
            </w:pPr>
          </w:p>
        </w:tc>
      </w:tr>
      <w:tr>
        <w:trPr>
          <w:trHeight w:val="196"/>
        </w:trPr>
        <w:tc>
          <w:tcPr>
            <w:tcW w:w="5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amortized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1,214,955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418,329</w:t>
            </w:r>
          </w:p>
        </w:tc>
        <w:tc>
          <w:tcPr>
            <w:tcW w:w="12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796,626</w:t>
            </w:r>
          </w:p>
        </w:tc>
        <w:tc>
          <w:tcPr>
            <w:tcW w:w="0" w:type="dxa"/>
            <w:vAlign w:val="bottom"/>
          </w:tcPr>
          <w:p>
            <w:pPr>
              <w:spacing w:after="0"/>
              <w:rPr>
                <w:sz w:val="1"/>
                <w:szCs w:val="1"/>
                <w:color w:val="auto"/>
              </w:rPr>
            </w:pPr>
          </w:p>
        </w:tc>
      </w:tr>
      <w:tr>
        <w:trPr>
          <w:trHeight w:val="248"/>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Internally developed software</w:t>
            </w:r>
            <w:r>
              <w:rPr>
                <w:rFonts w:ascii="Times New Roman" w:cs="Times New Roman" w:eastAsia="Times New Roman" w:hAnsi="Times New Roman"/>
                <w:sz w:val="20"/>
                <w:szCs w:val="20"/>
                <w:color w:val="auto"/>
                <w:vertAlign w:val="superscript"/>
              </w:rPr>
              <w:t>(1)</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40,278</w:t>
            </w:r>
          </w:p>
        </w:tc>
        <w:tc>
          <w:tcPr>
            <w:tcW w:w="0" w:type="dxa"/>
            <w:vAlign w:val="bottom"/>
          </w:tcPr>
          <w:p>
            <w:pPr>
              <w:spacing w:after="0"/>
              <w:rPr>
                <w:sz w:val="1"/>
                <w:szCs w:val="1"/>
                <w:color w:val="auto"/>
              </w:rPr>
            </w:pPr>
          </w:p>
        </w:tc>
      </w:tr>
      <w:tr>
        <w:trPr>
          <w:trHeight w:val="245"/>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1,255,233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418,329</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836,904</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______________________________</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440" w:type="dxa"/>
            <w:vAlign w:val="bottom"/>
            <w:vMerge w:val="continue"/>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180" w:hanging="177"/>
        <w:spacing w:after="0"/>
        <w:tabs>
          <w:tab w:leader="none" w:pos="1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Internally developed software will be amortized when the projects are complete and the assets are ready for their intended use.</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Weighted-Average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40" w:type="dxa"/>
            <w:vAlign w:val="bottom"/>
          </w:tcPr>
          <w:p>
            <w:pPr>
              <w:spacing w:after="0"/>
              <w:rPr>
                <w:sz w:val="13"/>
                <w:szCs w:val="13"/>
                <w:color w:val="auto"/>
              </w:rPr>
            </w:pPr>
          </w:p>
        </w:tc>
        <w:tc>
          <w:tcPr>
            <w:tcW w:w="148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5"/>
                <w:szCs w:val="15"/>
                <w:b w:val="1"/>
                <w:bCs w:val="1"/>
                <w:color w:val="auto"/>
              </w:rPr>
              <w:t>Amortization Life</w:t>
            </w:r>
          </w:p>
        </w:tc>
        <w:tc>
          <w:tcPr>
            <w:tcW w:w="30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Net</w:t>
            </w:r>
          </w:p>
        </w:tc>
        <w:tc>
          <w:tcPr>
            <w:tcW w:w="0" w:type="dxa"/>
            <w:vAlign w:val="bottom"/>
          </w:tcPr>
          <w:p>
            <w:pPr>
              <w:spacing w:after="0"/>
              <w:rPr>
                <w:sz w:val="1"/>
                <w:szCs w:val="1"/>
                <w:color w:val="auto"/>
              </w:rPr>
            </w:pPr>
          </w:p>
        </w:tc>
      </w:tr>
      <w:tr>
        <w:trPr>
          <w:trHeight w:val="205"/>
        </w:trPr>
        <w:tc>
          <w:tcPr>
            <w:tcW w:w="54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 Years</w:t>
            </w:r>
          </w:p>
        </w:tc>
        <w:tc>
          <w:tcPr>
            <w:tcW w:w="3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Patents</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33,261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20,637</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12,624</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Customer contracts</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6,755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3,263</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Non-contractual customer relationships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554,982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171,279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383,703</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Trademarks</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 name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7,162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11,089</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Developed technology</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587,852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167,913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419,939</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Non-compete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7,450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1,650</w:t>
            </w:r>
          </w:p>
        </w:tc>
        <w:tc>
          <w:tcPr>
            <w:tcW w:w="0" w:type="dxa"/>
            <w:vAlign w:val="bottom"/>
          </w:tcPr>
          <w:p>
            <w:pPr>
              <w:spacing w:after="0"/>
              <w:rPr>
                <w:sz w:val="1"/>
                <w:szCs w:val="1"/>
                <w:color w:val="auto"/>
              </w:rPr>
            </w:pPr>
          </w:p>
        </w:tc>
      </w:tr>
      <w:tr>
        <w:trPr>
          <w:trHeight w:val="196"/>
        </w:trPr>
        <w:tc>
          <w:tcPr>
            <w:tcW w:w="5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amortized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1,218,889</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386,621</w:t>
            </w:r>
          </w:p>
        </w:tc>
        <w:tc>
          <w:tcPr>
            <w:tcW w:w="12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832,268</w:t>
            </w:r>
          </w:p>
        </w:tc>
        <w:tc>
          <w:tcPr>
            <w:tcW w:w="0" w:type="dxa"/>
            <w:vAlign w:val="bottom"/>
          </w:tcPr>
          <w:p>
            <w:pPr>
              <w:spacing w:after="0"/>
              <w:rPr>
                <w:sz w:val="1"/>
                <w:szCs w:val="1"/>
                <w:color w:val="auto"/>
              </w:rPr>
            </w:pPr>
          </w:p>
        </w:tc>
      </w:tr>
      <w:tr>
        <w:trPr>
          <w:trHeight w:val="248"/>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Internally developed software</w:t>
            </w:r>
            <w:r>
              <w:rPr>
                <w:rFonts w:ascii="Times New Roman" w:cs="Times New Roman" w:eastAsia="Times New Roman" w:hAnsi="Times New Roman"/>
                <w:sz w:val="20"/>
                <w:szCs w:val="20"/>
                <w:color w:val="auto"/>
                <w:vertAlign w:val="superscript"/>
              </w:rPr>
              <w:t>(1)</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38,320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38,320</w:t>
            </w:r>
          </w:p>
        </w:tc>
        <w:tc>
          <w:tcPr>
            <w:tcW w:w="0" w:type="dxa"/>
            <w:vAlign w:val="bottom"/>
          </w:tcPr>
          <w:p>
            <w:pPr>
              <w:spacing w:after="0"/>
              <w:rPr>
                <w:sz w:val="1"/>
                <w:szCs w:val="1"/>
                <w:color w:val="auto"/>
              </w:rPr>
            </w:pPr>
          </w:p>
        </w:tc>
      </w:tr>
      <w:tr>
        <w:trPr>
          <w:trHeight w:val="245"/>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1,257,209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386,621</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870,588</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______________________________</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4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180" w:hanging="177"/>
        <w:spacing w:after="0"/>
        <w:tabs>
          <w:tab w:leader="none" w:pos="1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Internally developed software will be amortized when the projects are complete and the assets are ready for their intended use.</w:t>
      </w:r>
    </w:p>
    <w:p>
      <w:pPr>
        <w:spacing w:after="0" w:line="273" w:lineRule="exact"/>
        <w:rPr>
          <w:sz w:val="20"/>
          <w:szCs w:val="20"/>
          <w:color w:val="auto"/>
        </w:rPr>
      </w:pPr>
    </w:p>
    <w:p>
      <w:pPr>
        <w:ind w:right="380" w:firstLine="619"/>
        <w:spacing w:after="0" w:line="287" w:lineRule="auto"/>
        <w:rPr>
          <w:sz w:val="20"/>
          <w:szCs w:val="20"/>
          <w:color w:val="auto"/>
        </w:rPr>
      </w:pPr>
      <w:r>
        <w:rPr>
          <w:rFonts w:ascii="Times New Roman" w:cs="Times New Roman" w:eastAsia="Times New Roman" w:hAnsi="Times New Roman"/>
          <w:sz w:val="17"/>
          <w:szCs w:val="17"/>
          <w:color w:val="auto"/>
        </w:rPr>
        <w:t>Intangible assets with definite lives are amortized on a straight-line basis over their estimated useful lives. Intangible asset amortization expense was $33.1 million and $32.3 million during the three months ended March 31, 2024 and 2023, respectively.</w:t>
      </w:r>
    </w:p>
    <w:p>
      <w:pPr>
        <w:spacing w:after="0" w:line="177" w:lineRule="exact"/>
        <w:rPr>
          <w:sz w:val="20"/>
          <w:szCs w:val="20"/>
          <w:color w:val="auto"/>
        </w:rPr>
      </w:pPr>
    </w:p>
    <w:p>
      <w:pPr>
        <w:ind w:right="760" w:firstLine="619"/>
        <w:spacing w:after="0" w:line="287" w:lineRule="auto"/>
        <w:rPr>
          <w:sz w:val="20"/>
          <w:szCs w:val="20"/>
          <w:color w:val="auto"/>
        </w:rPr>
      </w:pPr>
      <w:r>
        <w:rPr>
          <w:rFonts w:ascii="Times New Roman" w:cs="Times New Roman" w:eastAsia="Times New Roman" w:hAnsi="Times New Roman"/>
          <w:sz w:val="17"/>
          <w:szCs w:val="17"/>
          <w:color w:val="auto"/>
        </w:rPr>
        <w:t>As of March 31, 2024 estimated annual amortization for our intangible assets for each of the next five years and thereafter is approximately (in thousands):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6"/>
        </w:trPr>
        <w:tc>
          <w:tcPr>
            <w:tcW w:w="7560" w:type="dxa"/>
            <w:vAlign w:val="bottom"/>
          </w:tcPr>
          <w:p>
            <w:pPr>
              <w:ind w:left="3980"/>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9460" w:type="dxa"/>
            <w:vAlign w:val="bottom"/>
            <w:gridSpan w:val="4"/>
          </w:tcPr>
          <w:p>
            <w:pPr>
              <w:ind w:left="234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1"/>
        </w:trPr>
        <w:tc>
          <w:tcPr>
            <w:tcW w:w="7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2024</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98,985</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124,715</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123,950</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113,873</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113,275</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110,189</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111,639</w:t>
            </w:r>
          </w:p>
        </w:tc>
        <w:tc>
          <w:tcPr>
            <w:tcW w:w="0" w:type="dxa"/>
            <w:vAlign w:val="bottom"/>
          </w:tcPr>
          <w:p>
            <w:pPr>
              <w:spacing w:after="0"/>
              <w:rPr>
                <w:sz w:val="1"/>
                <w:szCs w:val="1"/>
                <w:color w:val="auto"/>
              </w:rPr>
            </w:pPr>
          </w:p>
        </w:tc>
      </w:tr>
      <w:tr>
        <w:trPr>
          <w:trHeight w:val="212"/>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796,626</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Note 14:   Accrued Liabilities and Other Long-Term Liabilities</w:t>
            </w: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8"/>
        </w:trPr>
        <w:tc>
          <w:tcPr>
            <w:tcW w:w="7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7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Accrued liabilities consist of the following (in thousands):</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7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80" w:type="dxa"/>
            <w:vAlign w:val="bottom"/>
          </w:tcPr>
          <w:p>
            <w:pPr>
              <w:spacing w:after="0"/>
              <w:rPr>
                <w:sz w:val="17"/>
                <w:szCs w:val="17"/>
                <w:color w:val="auto"/>
              </w:rPr>
            </w:pPr>
          </w:p>
        </w:tc>
        <w:tc>
          <w:tcPr>
            <w:tcW w:w="1600" w:type="dxa"/>
            <w:vAlign w:val="bottom"/>
          </w:tcPr>
          <w:p>
            <w:pPr>
              <w:jc w:val="right"/>
              <w:ind w:right="174"/>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0" w:type="dxa"/>
            <w:vAlign w:val="bottom"/>
          </w:tcPr>
          <w:p>
            <w:pPr>
              <w:spacing w:after="0"/>
              <w:rPr>
                <w:sz w:val="1"/>
                <w:szCs w:val="1"/>
                <w:color w:val="auto"/>
              </w:rPr>
            </w:pP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Salaries and benefits</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56,118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52,250</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Incentive compensation</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37,992</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liability-ST</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20,161</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sales taxes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6,748</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accrual</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3,568</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31,640</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other taxes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3,024</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professional fees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2,803</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Italy medical device payback provision</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23,176</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Legal accrual</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1,874</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 fees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13,049</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Warranties and returns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3,682</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Field service corrective action</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30,281</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freight</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17,215</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2,590</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audit fees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5,492</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Defined benefit plan</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2,575</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interest</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1,431</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8,664</w:t>
            </w:r>
          </w:p>
        </w:tc>
        <w:tc>
          <w:tcPr>
            <w:tcW w:w="0" w:type="dxa"/>
            <w:vAlign w:val="bottom"/>
          </w:tcPr>
          <w:p>
            <w:pPr>
              <w:spacing w:after="0"/>
              <w:rPr>
                <w:sz w:val="1"/>
                <w:szCs w:val="1"/>
                <w:color w:val="auto"/>
              </w:rPr>
            </w:pPr>
          </w:p>
        </w:tc>
      </w:tr>
      <w:tr>
        <w:trPr>
          <w:trHeight w:val="212"/>
        </w:trPr>
        <w:tc>
          <w:tcPr>
            <w:tcW w:w="756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247,896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268,215</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w:t>
      </w:r>
    </w:p>
    <w:p>
      <w:pPr>
        <w:spacing w:after="0" w:line="105" w:lineRule="exact"/>
        <w:rPr>
          <w:sz w:val="20"/>
          <w:szCs w:val="20"/>
          <w:color w:val="auto"/>
        </w:rPr>
      </w:pPr>
    </w:p>
    <w:p>
      <w:pPr>
        <w:ind w:left="320" w:right="600" w:hanging="317"/>
        <w:spacing w:after="0" w:line="226" w:lineRule="auto"/>
        <w:tabs>
          <w:tab w:leader="none" w:pos="253"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Primarily includes field service corrective actions associated with certain products in connection with a 2021 Warning Letter received by Smiths Medical from the FDA following an inspection of Smiths Medical’s Oakdale, Minnesota Facility, see Note 18: Commitments and Contingencies for further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Other long-term liabilities consist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1"/>
        </w:trPr>
        <w:tc>
          <w:tcPr>
            <w:tcW w:w="7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liability-LT</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49,546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52,972</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Benefits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4,207</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rent</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liability-LT</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1,954</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10,585</w:t>
            </w:r>
          </w:p>
        </w:tc>
      </w:tr>
      <w:tr>
        <w:trPr>
          <w:trHeight w:val="219"/>
        </w:trPr>
        <w:tc>
          <w:tcPr>
            <w:tcW w:w="75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Field service corrective action</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26,056</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3,882</w:t>
            </w:r>
          </w:p>
        </w:tc>
      </w:tr>
      <w:tr>
        <w:trPr>
          <w:trHeight w:val="212"/>
        </w:trPr>
        <w:tc>
          <w:tcPr>
            <w:tcW w:w="756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102,594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100,497</w:t>
            </w:r>
          </w:p>
        </w:tc>
      </w:tr>
      <w:tr>
        <w:trPr>
          <w:trHeight w:val="20"/>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w:t>
      </w:r>
    </w:p>
    <w:p>
      <w:pPr>
        <w:spacing w:after="0" w:line="67" w:lineRule="exact"/>
        <w:rPr>
          <w:sz w:val="20"/>
          <w:szCs w:val="20"/>
          <w:color w:val="auto"/>
        </w:rPr>
      </w:pPr>
    </w:p>
    <w:p>
      <w:pPr>
        <w:ind w:left="320" w:right="560" w:hanging="317"/>
        <w:spacing w:after="0" w:line="234" w:lineRule="auto"/>
        <w:tabs>
          <w:tab w:leader="none" w:pos="228"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Primarily related to field service corrective actions associated with certain products in connection with a 2021 Warning Letter received by Smiths Medical from the FDA following an inspection of Smiths Medical’s Oakdale, Minnesota Facility, see Note 18: Commitments and Contingencies for further detail.</w:t>
      </w:r>
    </w:p>
    <w:p>
      <w:pPr>
        <w:spacing w:after="0" w:line="25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15:</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Income taxes were accrued at an estimated effective tax rate of (7)% and 27% for the three months ended March 31, 2024 and 2023, respectively.</w:t>
      </w:r>
    </w:p>
    <w:p>
      <w:pPr>
        <w:spacing w:after="0" w:line="243" w:lineRule="exact"/>
        <w:rPr>
          <w:sz w:val="20"/>
          <w:szCs w:val="20"/>
          <w:color w:val="auto"/>
        </w:rPr>
      </w:pPr>
    </w:p>
    <w:p>
      <w:pPr>
        <w:jc w:val="both"/>
        <w:ind w:right="280" w:firstLine="169"/>
        <w:spacing w:after="0" w:line="270" w:lineRule="auto"/>
        <w:rPr>
          <w:sz w:val="20"/>
          <w:szCs w:val="20"/>
          <w:color w:val="auto"/>
        </w:rPr>
      </w:pPr>
      <w:r>
        <w:rPr>
          <w:rFonts w:ascii="Times New Roman" w:cs="Times New Roman" w:eastAsia="Times New Roman" w:hAnsi="Times New Roman"/>
          <w:sz w:val="17"/>
          <w:szCs w:val="17"/>
          <w:color w:val="auto"/>
        </w:rPr>
        <w:t>The effective tax rate for the three months ended March 31, 2024 differs from the federal statutory rate of 21% principally because of the effect of the mix of U.S. and foreign incomes, state income taxes, section 162(m) excess compensation, tax credits, and a valuation allowance against certain U.S. federal and state deferred tax assets and the following discrete items recognized during the interim period:</w:t>
      </w:r>
    </w:p>
    <w:p>
      <w:pPr>
        <w:spacing w:after="0" w:line="191" w:lineRule="exact"/>
        <w:rPr>
          <w:sz w:val="20"/>
          <w:szCs w:val="20"/>
          <w:color w:val="auto"/>
        </w:rPr>
      </w:pPr>
    </w:p>
    <w:p>
      <w:pPr>
        <w:ind w:left="620" w:right="620" w:hanging="307"/>
        <w:spacing w:after="0" w:line="287"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Excess tax benefit recognized on stock option exercises and the vesting of restricted stock units during the three months ended March 31, 2024 of $2.3 million.</w:t>
      </w:r>
    </w:p>
    <w:p>
      <w:pPr>
        <w:spacing w:after="0" w:line="177" w:lineRule="exact"/>
        <w:rPr>
          <w:sz w:val="20"/>
          <w:szCs w:val="20"/>
          <w:color w:val="auto"/>
        </w:rPr>
      </w:pPr>
    </w:p>
    <w:p>
      <w:pPr>
        <w:ind w:right="20" w:firstLine="169"/>
        <w:spacing w:after="0" w:line="257" w:lineRule="auto"/>
        <w:rPr>
          <w:sz w:val="20"/>
          <w:szCs w:val="20"/>
          <w:color w:val="auto"/>
        </w:rPr>
      </w:pPr>
      <w:r>
        <w:rPr>
          <w:rFonts w:ascii="Times New Roman" w:cs="Times New Roman" w:eastAsia="Times New Roman" w:hAnsi="Times New Roman"/>
          <w:sz w:val="17"/>
          <w:szCs w:val="17"/>
          <w:color w:val="auto"/>
        </w:rPr>
        <w:t>The Company regularly assesses the realizability of deferred tax assets and records a valuation allowance to reduce the deferred tax assets to the amount that is more likely than not to be realized. In assessing the realizability of our deferred tax assets, we weigh all available positive and negative evidence. This evidence includes, but is not limited to, historical earnings, scheduled reversal of taxable temporary differences, tax planning strategies and projected future taxable income. Due to the weight of objectively verifiable negative evidence, the Company recorded a valuation allowance of $10.1 million tax expense, against certain U.S. federal and state deferred tax assets during the three months ended March 31, 2024. The significant piece of objectively verifiable negative evidence evaluated was the recent U.S. cumulative losses. Our ability to use our deferred tax assets depends on the amount of taxable income in future periods. Based on current earnings and anticipated future earnings along with expected changes in our deferred tax asset and liability balances, it is likely that the current valuation allowance position will be adjusted during the year. An additional valuation allowance may be required beyond the current year if future earnings are not sufficient to support the realization of deferred tax assets.</w:t>
      </w:r>
    </w:p>
    <w:p>
      <w:pPr>
        <w:spacing w:after="0" w:line="205" w:lineRule="exact"/>
        <w:rPr>
          <w:sz w:val="20"/>
          <w:szCs w:val="20"/>
          <w:color w:val="auto"/>
        </w:rPr>
      </w:pPr>
    </w:p>
    <w:p>
      <w:pPr>
        <w:ind w:right="120" w:firstLine="619"/>
        <w:spacing w:after="0" w:line="260" w:lineRule="auto"/>
        <w:rPr>
          <w:sz w:val="20"/>
          <w:szCs w:val="20"/>
          <w:color w:val="auto"/>
        </w:rPr>
      </w:pPr>
      <w:r>
        <w:rPr>
          <w:rFonts w:ascii="Times New Roman" w:cs="Times New Roman" w:eastAsia="Times New Roman" w:hAnsi="Times New Roman"/>
          <w:sz w:val="17"/>
          <w:szCs w:val="17"/>
          <w:color w:val="auto"/>
        </w:rPr>
        <w:t>In 2021, the Organization for Economic Cooperation and Development ("OECD") released model rules for a 15% global minimum tax, known as Pillar Two. On December 15, 2022, the European Union agreed to implement the OECD’s global minimum tax of 15% for multinationals that meet a global revenue threshold. A number of countries have enacted or have announced plans to enact legislation to adopt Pillar Two. We considered the applicable tax law changes on Pillar Two implementation in the relevant countries, and there was no material impact to our tax provision for the three months ended March 31, 2024. We do not expect the provisions currently in effect for 2024 to have a material impact on our tax provision and effective tax rate for the remainder of 2024 but will continue to assess the impact of tax legislation in the jurisdictions in which we operate.</w:t>
      </w:r>
    </w:p>
    <w:p>
      <w:pPr>
        <w:spacing w:after="0" w:line="199"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The effective tax rate for the three months ended March 31, 2023 differs from the federal statutory rate of 21% principally because of the effect of the mix of U.S. and foreign incomes, state income taxes, section 162(m) excess compensation, foreign derived intangible income (“FDII”) and tax credits. The effective tax rate during the three months ended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March 31, 2023 included a discrete tax expense of $0.7 million related to excess tax recognized on stock option exercises and the vesting of restricted stock units during the period.</w:t>
      </w:r>
    </w:p>
    <w:p>
      <w:pPr>
        <w:spacing w:after="0" w:line="17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16:</w:t>
      </w:r>
      <w:r>
        <w:rPr>
          <w:sz w:val="20"/>
          <w:szCs w:val="20"/>
          <w:color w:val="auto"/>
        </w:rPr>
        <w:tab/>
      </w:r>
      <w:r>
        <w:rPr>
          <w:rFonts w:ascii="Times New Roman" w:cs="Times New Roman" w:eastAsia="Times New Roman" w:hAnsi="Times New Roman"/>
          <w:sz w:val="16"/>
          <w:szCs w:val="16"/>
          <w:b w:val="1"/>
          <w:bCs w:val="1"/>
          <w:color w:val="auto"/>
        </w:rPr>
        <w:t>Long-Term Debt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Credit Agreement</w:t>
      </w:r>
    </w:p>
    <w:p>
      <w:pPr>
        <w:spacing w:after="0" w:line="247" w:lineRule="exact"/>
        <w:rPr>
          <w:sz w:val="20"/>
          <w:szCs w:val="20"/>
          <w:color w:val="auto"/>
        </w:rPr>
      </w:pPr>
    </w:p>
    <w:p>
      <w:pPr>
        <w:ind w:right="60" w:firstLine="619"/>
        <w:spacing w:after="0" w:line="257" w:lineRule="auto"/>
        <w:rPr>
          <w:sz w:val="20"/>
          <w:szCs w:val="20"/>
          <w:color w:val="auto"/>
        </w:rPr>
      </w:pPr>
      <w:r>
        <w:rPr>
          <w:rFonts w:ascii="Times New Roman" w:cs="Times New Roman" w:eastAsia="Times New Roman" w:hAnsi="Times New Roman"/>
          <w:sz w:val="17"/>
          <w:szCs w:val="17"/>
          <w:color w:val="auto"/>
        </w:rPr>
        <w:t>In 2022, in connection with the acquisition of Smiths Medical, we entered into a Credit Agreement (the "Credit Agreement") with Wells Fargo Bank, National Association, Wells Fargo Securities, LLC, Barclays Bank PLC and certain other financial institutions (the “Lenders”) for $2.2 billion of senior secured credit facilities. The senior secured credit facilities include (i) a five-year Tranche A term loan of $850.0 million (the "Term Loan A"), (ii) a seven-year Tranche B term loan of $850.0 million (the "Term Loan B") and (iii) a five-year revolving credit facility of $500.0 million (the "Revolving Credit Facility"), with separate sub-limits of $50.0 million for letters of credit and swingline loans (collectively, the "Senior Secured Credit Facilities"). We used the proceeds from borrowings under the Term Loan A and the Term Loan B (collectively, the "Term Loans") to fund a portion of the cash consideration for the purchase of Smiths Medical and the related fees and expenses incurred in connection with the acquisition. We did not incur borrowings under the Revolving Credit Facility on the closing date of the acquisition. The proceeds from any future borrowings under the Revolving Credit Facility may be used for working capital and other general corporate purposes.</w:t>
      </w:r>
    </w:p>
    <w:p>
      <w:pPr>
        <w:spacing w:after="0" w:line="205"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In connection with entering into the Credit Agreement in 2022, we incurred $37.8 million in debt discount and issuance costs, which were allocated to the Term Loan A, the Term Loan B and the Revolving Credit Facility based on lender commitment amounts relative to each type of fees paid. The lender and third-party discount and issuance costs allocated to the Term Loan A and the Term Loan B were $15.8 million and $13.4 million, respectively, the current unamortized balances are reflected as a direct deduction from the face amount of the corresponding term loans on the condensed consolidated balance sheet. These costs are being amortized to interest expense over the respective terms of the loans using the effective interest method. The issuance costs allocated to the Revolving Credit Facility were $8.6 million, which are capitalized and included in prepaid expenses and other current assets and other assets on our condensed consolidated balance sheets. These costs are being amortized to interest expense over the term of the Revolving Credit Facility using the straight-line method.</w:t>
      </w:r>
    </w:p>
    <w:p>
      <w:pPr>
        <w:spacing w:after="0" w:line="205" w:lineRule="exact"/>
        <w:rPr>
          <w:sz w:val="20"/>
          <w:szCs w:val="20"/>
          <w:color w:val="auto"/>
        </w:rPr>
      </w:pPr>
    </w:p>
    <w:p>
      <w:pPr>
        <w:ind w:right="600" w:firstLine="619"/>
        <w:spacing w:after="0" w:line="287" w:lineRule="auto"/>
        <w:rPr>
          <w:sz w:val="20"/>
          <w:szCs w:val="20"/>
          <w:color w:val="auto"/>
        </w:rPr>
      </w:pPr>
      <w:r>
        <w:rPr>
          <w:rFonts w:ascii="Times New Roman" w:cs="Times New Roman" w:eastAsia="Times New Roman" w:hAnsi="Times New Roman"/>
          <w:sz w:val="17"/>
          <w:szCs w:val="17"/>
          <w:color w:val="auto"/>
        </w:rPr>
        <w:t>The net funds received from the Term Loan A and the Term Loan B, after deducting debt issuance costs, were $834.2 million and $836.6 million, respectively.</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Maturity Dates</w:t>
      </w:r>
    </w:p>
    <w:p>
      <w:pPr>
        <w:spacing w:after="0" w:line="247"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The maturity date for the Term Loan A and the Revolving Credit Facility is January 6, 2027, and the maturity date for the Term Loan B is January 6, 2029. Pursuant to the terms and conditions of the Credit Agreement, the maturity dates of the Term Loans and the Revolving Credit Facility may be extended upon our request, subject to the consent of the Lenders.</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Interest Rate Terms</w:t>
      </w:r>
    </w:p>
    <w:p>
      <w:pPr>
        <w:spacing w:after="0" w:line="247" w:lineRule="exact"/>
        <w:rPr>
          <w:sz w:val="20"/>
          <w:szCs w:val="20"/>
          <w:color w:val="auto"/>
        </w:rPr>
      </w:pPr>
    </w:p>
    <w:p>
      <w:pPr>
        <w:ind w:right="80" w:firstLine="619"/>
        <w:spacing w:after="0" w:line="270" w:lineRule="auto"/>
        <w:rPr>
          <w:sz w:val="20"/>
          <w:szCs w:val="20"/>
          <w:color w:val="auto"/>
        </w:rPr>
      </w:pPr>
      <w:r>
        <w:rPr>
          <w:rFonts w:ascii="Times New Roman" w:cs="Times New Roman" w:eastAsia="Times New Roman" w:hAnsi="Times New Roman"/>
          <w:sz w:val="17"/>
          <w:szCs w:val="17"/>
          <w:color w:val="auto"/>
        </w:rPr>
        <w:t>In general, the Term Loans and borrowings under the Revolving Credit Facility denominated in U.S. dollars bear interest, at our option, on either: (1) the Base Rate, as defined below, plus the applicable margin, as indicated below ("Base Rate Loans") or (2) the Adjusted Term Secured Overnight Financing Rate ("Adjusted Term SOFR"), as defined below, plus the applicable margin, as indicated below ("Term SOFR Loans").</w:t>
      </w:r>
    </w:p>
    <w:p>
      <w:pPr>
        <w:spacing w:after="0" w:line="191"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The Base Rate is defined as the highest of (a) the Prime Rate, (b) the Federal Funds Rate plus 0.50% and (c) Adjusted Term SOFR (as defined below) for a one-month period plus, in each case, 1.00%.</w:t>
      </w:r>
    </w:p>
    <w:p>
      <w:pPr>
        <w:spacing w:after="0" w:line="177"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Adjusted Term SOFR is the rate per annum equal to (a) the Term SOFR plus (b) the Term SOFR Adjustment. Term SOFR is the forward-looking term rate based on SOFR and is calculated separately for Term SOFR Loans and Base Rate Loans, as specified in the Credit Agreement. The Term SOFR Adjustment is a percentage per annum of 0.10% for Base Rate Loans and between 0.10% to 0.25% for Term SOFR Loans based on the applicable interest period.</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Revolving Credit Facility Commitment Fee</w:t>
      </w:r>
    </w:p>
    <w:p>
      <w:pPr>
        <w:spacing w:after="0" w:line="247" w:lineRule="exact"/>
        <w:rPr>
          <w:sz w:val="20"/>
          <w:szCs w:val="20"/>
          <w:color w:val="auto"/>
        </w:rPr>
      </w:pPr>
    </w:p>
    <w:p>
      <w:pPr>
        <w:ind w:right="400" w:firstLine="619"/>
        <w:spacing w:after="0" w:line="287" w:lineRule="auto"/>
        <w:rPr>
          <w:sz w:val="20"/>
          <w:szCs w:val="20"/>
          <w:color w:val="auto"/>
        </w:rPr>
      </w:pPr>
      <w:r>
        <w:rPr>
          <w:rFonts w:ascii="Times New Roman" w:cs="Times New Roman" w:eastAsia="Times New Roman" w:hAnsi="Times New Roman"/>
          <w:sz w:val="17"/>
          <w:szCs w:val="17"/>
          <w:color w:val="auto"/>
        </w:rPr>
        <w:t>The Revolving Credit Facility has a per annum commitment fee at an initial rate of 0.25% which is applied to the available amount of the Revolving Credit Facility. Effective on the first Adjustment Date, as defined in the Credit Agreement,</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1" w:name="page32"/>
    <w:bookmarkEnd w:id="31"/>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color w:val="auto"/>
        </w:rPr>
        <w:t>occurring subsequent to our quarter ended June 30, 2022, the commitment fee is determined by reference to the leverage ratio in effect from time to time as set forth in the table below.</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Applicable Interest Margins</w:t>
      </w:r>
    </w:p>
    <w:p>
      <w:pPr>
        <w:spacing w:after="0" w:line="247" w:lineRule="exact"/>
        <w:rPr>
          <w:sz w:val="20"/>
          <w:szCs w:val="20"/>
          <w:color w:val="auto"/>
        </w:rPr>
      </w:pPr>
    </w:p>
    <w:p>
      <w:pPr>
        <w:ind w:right="420" w:firstLine="619"/>
        <w:spacing w:after="0" w:line="287" w:lineRule="auto"/>
        <w:rPr>
          <w:sz w:val="20"/>
          <w:szCs w:val="20"/>
          <w:color w:val="auto"/>
        </w:rPr>
      </w:pPr>
      <w:r>
        <w:rPr>
          <w:rFonts w:ascii="Times New Roman" w:cs="Times New Roman" w:eastAsia="Times New Roman" w:hAnsi="Times New Roman"/>
          <w:sz w:val="17"/>
          <w:szCs w:val="17"/>
          <w:color w:val="auto"/>
        </w:rPr>
        <w:t>The Term Loan A and borrowings under the Revolving Credit Facility have an initial applicable margin of 0.75% per annum for Base Rate Loans and 1.75% per annum for Term SOFR Loans.</w:t>
      </w:r>
    </w:p>
    <w:p>
      <w:pPr>
        <w:spacing w:after="0" w:line="177" w:lineRule="exact"/>
        <w:rPr>
          <w:sz w:val="20"/>
          <w:szCs w:val="20"/>
          <w:color w:val="auto"/>
        </w:rPr>
      </w:pPr>
    </w:p>
    <w:p>
      <w:pPr>
        <w:ind w:right="220" w:firstLine="619"/>
        <w:spacing w:after="0" w:line="270" w:lineRule="auto"/>
        <w:rPr>
          <w:sz w:val="20"/>
          <w:szCs w:val="20"/>
          <w:color w:val="auto"/>
        </w:rPr>
      </w:pPr>
      <w:r>
        <w:rPr>
          <w:rFonts w:ascii="Times New Roman" w:cs="Times New Roman" w:eastAsia="Times New Roman" w:hAnsi="Times New Roman"/>
          <w:sz w:val="17"/>
          <w:szCs w:val="17"/>
          <w:color w:val="auto"/>
        </w:rPr>
        <w:t>Effective on the first Adjustment Date, as defined in the Credit Agreement, occurring subsequent to our quarter ended June 30, 2022, the applicable margin for the Term Loan A and borrowings under the Revolving Credit Facility is determined by reference to the leverage ratio in effect from time to time as set forth in the following table:</w:t>
      </w:r>
    </w:p>
    <w:p>
      <w:pPr>
        <w:spacing w:after="0" w:line="205"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4400" w:type="dxa"/>
            <w:vAlign w:val="bottom"/>
            <w:vMerge w:val="restart"/>
          </w:tcPr>
          <w:p>
            <w:pPr>
              <w:ind w:left="1740"/>
              <w:spacing w:after="0"/>
              <w:rPr>
                <w:sz w:val="20"/>
                <w:szCs w:val="20"/>
                <w:color w:val="auto"/>
              </w:rPr>
            </w:pPr>
            <w:r>
              <w:rPr>
                <w:rFonts w:ascii="Times New Roman" w:cs="Times New Roman" w:eastAsia="Times New Roman" w:hAnsi="Times New Roman"/>
                <w:sz w:val="17"/>
                <w:szCs w:val="17"/>
                <w:b w:val="1"/>
                <w:bCs w:val="1"/>
                <w:color w:val="auto"/>
              </w:rPr>
              <w:t>Leverage Ratio</w:t>
            </w:r>
          </w:p>
        </w:tc>
        <w:tc>
          <w:tcPr>
            <w:tcW w:w="2420" w:type="dxa"/>
            <w:vAlign w:val="bottom"/>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w w:val="99"/>
              </w:rPr>
              <w:t>Applicable Margin for Term</w:t>
            </w:r>
          </w:p>
        </w:tc>
        <w:tc>
          <w:tcPr>
            <w:tcW w:w="230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Applicable Margin for Base</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Commitment Fee R</w:t>
            </w:r>
          </w:p>
        </w:tc>
        <w:tc>
          <w:tcPr>
            <w:tcW w:w="0" w:type="dxa"/>
            <w:vAlign w:val="bottom"/>
          </w:tcPr>
          <w:p>
            <w:pPr>
              <w:spacing w:after="0"/>
              <w:rPr>
                <w:sz w:val="1"/>
                <w:szCs w:val="1"/>
                <w:color w:val="auto"/>
              </w:rPr>
            </w:pPr>
          </w:p>
        </w:tc>
      </w:tr>
      <w:tr>
        <w:trPr>
          <w:trHeight w:val="232"/>
        </w:trPr>
        <w:tc>
          <w:tcPr>
            <w:tcW w:w="4400" w:type="dxa"/>
            <w:vAlign w:val="bottom"/>
            <w:tcBorders>
              <w:bottom w:val="single" w:sz="8" w:color="auto"/>
            </w:tcBorders>
            <w:vMerge w:val="continue"/>
          </w:tcPr>
          <w:p>
            <w:pPr>
              <w:spacing w:after="0"/>
              <w:rPr>
                <w:sz w:val="20"/>
                <w:szCs w:val="20"/>
                <w:color w:val="auto"/>
              </w:rPr>
            </w:pPr>
          </w:p>
        </w:tc>
        <w:tc>
          <w:tcPr>
            <w:tcW w:w="2420" w:type="dxa"/>
            <w:vAlign w:val="bottom"/>
            <w:tcBorders>
              <w:bottom w:val="single" w:sz="8" w:color="auto"/>
            </w:tcBorders>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rPr>
              <w:t>SOFR Loans</w:t>
            </w:r>
          </w:p>
        </w:tc>
        <w:tc>
          <w:tcPr>
            <w:tcW w:w="23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Rate Loans</w:t>
            </w:r>
          </w:p>
        </w:tc>
        <w:tc>
          <w:tcPr>
            <w:tcW w:w="16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Greater than 4.00 to 1.0</w:t>
            </w:r>
          </w:p>
        </w:tc>
        <w:tc>
          <w:tcPr>
            <w:tcW w:w="242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rPr>
              <w:t>2.25%</w:t>
            </w:r>
          </w:p>
        </w:tc>
        <w:tc>
          <w:tcPr>
            <w:tcW w:w="230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1.25%</w:t>
            </w:r>
          </w:p>
        </w:tc>
        <w:tc>
          <w:tcPr>
            <w:tcW w:w="16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0.35%</w:t>
            </w:r>
          </w:p>
        </w:tc>
        <w:tc>
          <w:tcPr>
            <w:tcW w:w="0" w:type="dxa"/>
            <w:vAlign w:val="bottom"/>
          </w:tcPr>
          <w:p>
            <w:pPr>
              <w:spacing w:after="0"/>
              <w:rPr>
                <w:sz w:val="1"/>
                <w:szCs w:val="1"/>
                <w:color w:val="auto"/>
              </w:rPr>
            </w:pPr>
          </w:p>
        </w:tc>
      </w:tr>
      <w:tr>
        <w:trPr>
          <w:trHeight w:val="219"/>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than or equal to 4.00 to 1.0 but greater than 3.00 to 1.0</w:t>
            </w:r>
          </w:p>
        </w:tc>
        <w:tc>
          <w:tcPr>
            <w:tcW w:w="2420" w:type="dxa"/>
            <w:vAlign w:val="bottom"/>
          </w:tcPr>
          <w:p>
            <w:pPr>
              <w:jc w:val="center"/>
              <w:ind w:left="94"/>
              <w:spacing w:after="0"/>
              <w:rPr>
                <w:sz w:val="20"/>
                <w:szCs w:val="20"/>
                <w:color w:val="auto"/>
              </w:rPr>
            </w:pPr>
            <w:r>
              <w:rPr>
                <w:rFonts w:ascii="Times New Roman" w:cs="Times New Roman" w:eastAsia="Times New Roman" w:hAnsi="Times New Roman"/>
                <w:sz w:val="17"/>
                <w:szCs w:val="17"/>
                <w:color w:val="auto"/>
              </w:rPr>
              <w:t>2.00%</w:t>
            </w:r>
          </w:p>
        </w:tc>
        <w:tc>
          <w:tcPr>
            <w:tcW w:w="230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1.00%</w:t>
            </w:r>
          </w:p>
        </w:tc>
        <w:tc>
          <w:tcPr>
            <w:tcW w:w="160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0.30%</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than or equal to 3.00 to 1.0 but greater than 2.50 to 1.0</w:t>
            </w:r>
          </w:p>
        </w:tc>
        <w:tc>
          <w:tcPr>
            <w:tcW w:w="242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rPr>
              <w:t>1.75%</w:t>
            </w:r>
          </w:p>
        </w:tc>
        <w:tc>
          <w:tcPr>
            <w:tcW w:w="230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0.75%</w:t>
            </w:r>
          </w:p>
        </w:tc>
        <w:tc>
          <w:tcPr>
            <w:tcW w:w="16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0.25%</w:t>
            </w:r>
          </w:p>
        </w:tc>
        <w:tc>
          <w:tcPr>
            <w:tcW w:w="0" w:type="dxa"/>
            <w:vAlign w:val="bottom"/>
          </w:tcPr>
          <w:p>
            <w:pPr>
              <w:spacing w:after="0"/>
              <w:rPr>
                <w:sz w:val="1"/>
                <w:szCs w:val="1"/>
                <w:color w:val="auto"/>
              </w:rPr>
            </w:pPr>
          </w:p>
        </w:tc>
      </w:tr>
      <w:tr>
        <w:trPr>
          <w:trHeight w:val="219"/>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than or equal to 2.50 to 1.0 but greater than 2.00 to 1.0</w:t>
            </w:r>
          </w:p>
        </w:tc>
        <w:tc>
          <w:tcPr>
            <w:tcW w:w="2420" w:type="dxa"/>
            <w:vAlign w:val="bottom"/>
          </w:tcPr>
          <w:p>
            <w:pPr>
              <w:jc w:val="center"/>
              <w:ind w:left="94"/>
              <w:spacing w:after="0"/>
              <w:rPr>
                <w:sz w:val="20"/>
                <w:szCs w:val="20"/>
                <w:color w:val="auto"/>
              </w:rPr>
            </w:pPr>
            <w:r>
              <w:rPr>
                <w:rFonts w:ascii="Times New Roman" w:cs="Times New Roman" w:eastAsia="Times New Roman" w:hAnsi="Times New Roman"/>
                <w:sz w:val="17"/>
                <w:szCs w:val="17"/>
                <w:color w:val="auto"/>
              </w:rPr>
              <w:t>1.50%</w:t>
            </w:r>
          </w:p>
        </w:tc>
        <w:tc>
          <w:tcPr>
            <w:tcW w:w="230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0.50%</w:t>
            </w:r>
          </w:p>
        </w:tc>
        <w:tc>
          <w:tcPr>
            <w:tcW w:w="160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0.20%</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than or equal to 2.00 to 1.0</w:t>
            </w:r>
          </w:p>
        </w:tc>
        <w:tc>
          <w:tcPr>
            <w:tcW w:w="242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rPr>
              <w:t>1.25%</w:t>
            </w:r>
          </w:p>
        </w:tc>
        <w:tc>
          <w:tcPr>
            <w:tcW w:w="230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0.25%</w:t>
            </w:r>
          </w:p>
        </w:tc>
        <w:tc>
          <w:tcPr>
            <w:tcW w:w="16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0.15%</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Term Loan B has an initial applicable margin of 1.5% per annum for Base Rate Loans and 2.5% per annum for Term SOFR Loans.</w:t>
      </w:r>
    </w:p>
    <w:p>
      <w:pPr>
        <w:spacing w:after="0" w:line="243" w:lineRule="exact"/>
        <w:rPr>
          <w:sz w:val="20"/>
          <w:szCs w:val="20"/>
          <w:color w:val="auto"/>
        </w:rPr>
      </w:pPr>
    </w:p>
    <w:p>
      <w:pPr>
        <w:ind w:right="560" w:firstLine="619"/>
        <w:spacing w:after="0" w:line="274" w:lineRule="auto"/>
        <w:rPr>
          <w:sz w:val="20"/>
          <w:szCs w:val="20"/>
          <w:color w:val="auto"/>
        </w:rPr>
      </w:pPr>
      <w:r>
        <w:rPr>
          <w:rFonts w:ascii="Times New Roman" w:cs="Times New Roman" w:eastAsia="Times New Roman" w:hAnsi="Times New Roman"/>
          <w:sz w:val="17"/>
          <w:szCs w:val="17"/>
          <w:color w:val="auto"/>
        </w:rPr>
        <w:t>Effective on the first Adjustment Date, as defined in the Credit Agreement, occurring subsequent to our quarter ended June 30, 2022, the applicable margin for the Term Loan B is determined by reference to the leverage ratio in effect from time to time as set forth in the following table:</w:t>
      </w:r>
    </w:p>
    <w:tbl>
      <w:tblPr>
        <w:tblLayout w:type="fixed"/>
        <w:tblInd w:w="0" w:type="dxa"/>
        <w:tblCellMar>
          <w:top w:w="0" w:type="dxa"/>
          <w:left w:w="0" w:type="dxa"/>
          <w:bottom w:w="0" w:type="dxa"/>
          <w:right w:w="0" w:type="dxa"/>
        </w:tblCellMar>
      </w:tblPr>
      <w:tr>
        <w:trPr>
          <w:trHeight w:val="176"/>
        </w:trPr>
        <w:tc>
          <w:tcPr>
            <w:tcW w:w="5400" w:type="dxa"/>
            <w:vAlign w:val="bottom"/>
            <w:vMerge w:val="restart"/>
          </w:tcPr>
          <w:p>
            <w:pPr>
              <w:ind w:left="2840"/>
              <w:spacing w:after="0"/>
              <w:rPr>
                <w:sz w:val="20"/>
                <w:szCs w:val="20"/>
                <w:color w:val="auto"/>
              </w:rPr>
            </w:pPr>
            <w:r>
              <w:rPr>
                <w:rFonts w:ascii="Times New Roman" w:cs="Times New Roman" w:eastAsia="Times New Roman" w:hAnsi="Times New Roman"/>
                <w:sz w:val="17"/>
                <w:szCs w:val="17"/>
                <w:b w:val="1"/>
                <w:bCs w:val="1"/>
                <w:color w:val="auto"/>
              </w:rPr>
              <w:t>Leverage Ratio</w:t>
            </w:r>
          </w:p>
        </w:tc>
        <w:tc>
          <w:tcPr>
            <w:tcW w:w="3620" w:type="dxa"/>
            <w:vAlign w:val="bottom"/>
          </w:tcPr>
          <w:p>
            <w:pPr>
              <w:jc w:val="center"/>
              <w:ind w:left="1274"/>
              <w:spacing w:after="0" w:line="176" w:lineRule="exact"/>
              <w:rPr>
                <w:sz w:val="20"/>
                <w:szCs w:val="20"/>
                <w:color w:val="auto"/>
              </w:rPr>
            </w:pPr>
            <w:r>
              <w:rPr>
                <w:rFonts w:ascii="Times New Roman" w:cs="Times New Roman" w:eastAsia="Times New Roman" w:hAnsi="Times New Roman"/>
                <w:sz w:val="17"/>
                <w:szCs w:val="17"/>
                <w:b w:val="1"/>
                <w:bCs w:val="1"/>
                <w:color w:val="auto"/>
              </w:rPr>
              <w:t>Applicable Margin for Term</w:t>
            </w:r>
          </w:p>
        </w:tc>
        <w:tc>
          <w:tcPr>
            <w:tcW w:w="220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Applicable Margin for Base</w:t>
            </w:r>
          </w:p>
        </w:tc>
        <w:tc>
          <w:tcPr>
            <w:tcW w:w="0" w:type="dxa"/>
            <w:vAlign w:val="bottom"/>
          </w:tcPr>
          <w:p>
            <w:pPr>
              <w:spacing w:after="0"/>
              <w:rPr>
                <w:sz w:val="1"/>
                <w:szCs w:val="1"/>
                <w:color w:val="auto"/>
              </w:rPr>
            </w:pPr>
          </w:p>
        </w:tc>
      </w:tr>
      <w:tr>
        <w:trPr>
          <w:trHeight w:val="232"/>
        </w:trPr>
        <w:tc>
          <w:tcPr>
            <w:tcW w:w="5400" w:type="dxa"/>
            <w:vAlign w:val="bottom"/>
            <w:tcBorders>
              <w:bottom w:val="single" w:sz="8" w:color="auto"/>
            </w:tcBorders>
            <w:vMerge w:val="continue"/>
          </w:tcPr>
          <w:p>
            <w:pPr>
              <w:spacing w:after="0"/>
              <w:rPr>
                <w:sz w:val="20"/>
                <w:szCs w:val="20"/>
                <w:color w:val="auto"/>
              </w:rPr>
            </w:pPr>
          </w:p>
        </w:tc>
        <w:tc>
          <w:tcPr>
            <w:tcW w:w="3620" w:type="dxa"/>
            <w:vAlign w:val="bottom"/>
            <w:tcBorders>
              <w:bottom w:val="single" w:sz="8" w:color="auto"/>
            </w:tcBorders>
          </w:tcPr>
          <w:p>
            <w:pPr>
              <w:jc w:val="center"/>
              <w:ind w:left="1274"/>
              <w:spacing w:after="0"/>
              <w:rPr>
                <w:sz w:val="20"/>
                <w:szCs w:val="20"/>
                <w:color w:val="auto"/>
              </w:rPr>
            </w:pPr>
            <w:r>
              <w:rPr>
                <w:rFonts w:ascii="Times New Roman" w:cs="Times New Roman" w:eastAsia="Times New Roman" w:hAnsi="Times New Roman"/>
                <w:sz w:val="17"/>
                <w:szCs w:val="17"/>
                <w:b w:val="1"/>
                <w:bCs w:val="1"/>
                <w:color w:val="auto"/>
                <w:w w:val="99"/>
              </w:rPr>
              <w:t>SOFR Loans</w:t>
            </w: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Rate Loans</w:t>
            </w:r>
          </w:p>
        </w:tc>
        <w:tc>
          <w:tcPr>
            <w:tcW w:w="0" w:type="dxa"/>
            <w:vAlign w:val="bottom"/>
          </w:tcPr>
          <w:p>
            <w:pPr>
              <w:spacing w:after="0"/>
              <w:rPr>
                <w:sz w:val="1"/>
                <w:szCs w:val="1"/>
                <w:color w:val="auto"/>
              </w:rPr>
            </w:pPr>
          </w:p>
        </w:tc>
      </w:tr>
      <w:tr>
        <w:trPr>
          <w:trHeight w:val="21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Greater than 2.75 to 1.0</w:t>
            </w:r>
          </w:p>
        </w:tc>
        <w:tc>
          <w:tcPr>
            <w:tcW w:w="3620" w:type="dxa"/>
            <w:vAlign w:val="bottom"/>
            <w:shd w:val="clear" w:color="auto" w:fill="CCEEFF"/>
          </w:tcPr>
          <w:p>
            <w:pPr>
              <w:jc w:val="center"/>
              <w:ind w:left="1294"/>
              <w:spacing w:after="0"/>
              <w:rPr>
                <w:sz w:val="20"/>
                <w:szCs w:val="20"/>
                <w:color w:val="auto"/>
              </w:rPr>
            </w:pPr>
            <w:r>
              <w:rPr>
                <w:rFonts w:ascii="Times New Roman" w:cs="Times New Roman" w:eastAsia="Times New Roman" w:hAnsi="Times New Roman"/>
                <w:sz w:val="17"/>
                <w:szCs w:val="17"/>
                <w:color w:val="auto"/>
              </w:rPr>
              <w:t>2.50%</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than 2.75 to 1.0</w:t>
            </w:r>
          </w:p>
        </w:tc>
        <w:tc>
          <w:tcPr>
            <w:tcW w:w="3620" w:type="dxa"/>
            <w:vAlign w:val="bottom"/>
          </w:tcPr>
          <w:p>
            <w:pPr>
              <w:jc w:val="center"/>
              <w:ind w:left="1294"/>
              <w:spacing w:after="0"/>
              <w:rPr>
                <w:sz w:val="20"/>
                <w:szCs w:val="20"/>
                <w:color w:val="auto"/>
              </w:rPr>
            </w:pPr>
            <w:r>
              <w:rPr>
                <w:rFonts w:ascii="Times New Roman" w:cs="Times New Roman" w:eastAsia="Times New Roman" w:hAnsi="Times New Roman"/>
                <w:sz w:val="17"/>
                <w:szCs w:val="17"/>
                <w:color w:val="auto"/>
              </w:rPr>
              <w:t>2.25%</w:t>
            </w: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Principal Payments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Principal payments on the Term Loans are due on the last day of each calendar quarter commencing on June 30, 2022.</w:t>
      </w:r>
    </w:p>
    <w:p>
      <w:pPr>
        <w:spacing w:after="0" w:line="243" w:lineRule="exact"/>
        <w:rPr>
          <w:sz w:val="20"/>
          <w:szCs w:val="20"/>
          <w:color w:val="auto"/>
        </w:rPr>
      </w:pPr>
    </w:p>
    <w:p>
      <w:pPr>
        <w:ind w:right="200" w:firstLine="619"/>
        <w:spacing w:after="0" w:line="270" w:lineRule="auto"/>
        <w:rPr>
          <w:sz w:val="20"/>
          <w:szCs w:val="20"/>
          <w:color w:val="auto"/>
        </w:rPr>
      </w:pPr>
      <w:r>
        <w:rPr>
          <w:rFonts w:ascii="Times New Roman" w:cs="Times New Roman" w:eastAsia="Times New Roman" w:hAnsi="Times New Roman"/>
          <w:sz w:val="17"/>
          <w:szCs w:val="17"/>
          <w:color w:val="auto"/>
        </w:rPr>
        <w:t>The Term Loan A amortizes in nineteen consecutive quarterly installments in an amount equal to 2.50% of the original principal amount in each of the first two years, 5.00% in each of the third and fourth years and 7.50% in the fifth year, with a final payment of the remaining outstanding principal balance due on the maturity date.</w:t>
      </w:r>
    </w:p>
    <w:p>
      <w:pPr>
        <w:spacing w:after="0" w:line="191" w:lineRule="exact"/>
        <w:rPr>
          <w:sz w:val="20"/>
          <w:szCs w:val="20"/>
          <w:color w:val="auto"/>
        </w:rPr>
      </w:pPr>
    </w:p>
    <w:p>
      <w:pPr>
        <w:ind w:right="260" w:firstLine="619"/>
        <w:spacing w:after="0" w:line="287" w:lineRule="auto"/>
        <w:rPr>
          <w:sz w:val="20"/>
          <w:szCs w:val="20"/>
          <w:color w:val="auto"/>
        </w:rPr>
      </w:pPr>
      <w:r>
        <w:rPr>
          <w:rFonts w:ascii="Times New Roman" w:cs="Times New Roman" w:eastAsia="Times New Roman" w:hAnsi="Times New Roman"/>
          <w:sz w:val="17"/>
          <w:szCs w:val="17"/>
          <w:color w:val="auto"/>
        </w:rPr>
        <w:t>The Term Loan B matures in twenty-seven consecutive quarterly installments in an amount equal to 0.25% of the original principal amount, with a final payment of the remaining outstanding principal balance due on the maturity date.</w:t>
      </w:r>
    </w:p>
    <w:p>
      <w:pPr>
        <w:spacing w:after="0" w:line="177" w:lineRule="exact"/>
        <w:rPr>
          <w:sz w:val="20"/>
          <w:szCs w:val="20"/>
          <w:color w:val="auto"/>
        </w:rPr>
      </w:pPr>
    </w:p>
    <w:p>
      <w:pPr>
        <w:ind w:right="920" w:firstLine="619"/>
        <w:spacing w:after="0" w:line="287" w:lineRule="auto"/>
        <w:rPr>
          <w:sz w:val="20"/>
          <w:szCs w:val="20"/>
          <w:color w:val="auto"/>
        </w:rPr>
      </w:pPr>
      <w:r>
        <w:rPr>
          <w:rFonts w:ascii="Times New Roman" w:cs="Times New Roman" w:eastAsia="Times New Roman" w:hAnsi="Times New Roman"/>
          <w:sz w:val="17"/>
          <w:szCs w:val="17"/>
          <w:color w:val="auto"/>
        </w:rPr>
        <w:t>We may borrow, prepay and re-borrow amounts under the Revolving Credit Facility, in accordance with the terms and conditions of the Credit Agreement, with all outstanding amounts due at maturity.</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the three months ended March 31, 2024 and 2023, total principal payments on the Term Loans were $12.8 million and $7.4 million, respectively.</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Interest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32" w:name="page33"/>
    <w:bookmarkEnd w:id="32"/>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jc w:val="both"/>
        <w:ind w:right="120" w:firstLine="619"/>
        <w:spacing w:after="0" w:line="264" w:lineRule="auto"/>
        <w:rPr>
          <w:sz w:val="20"/>
          <w:szCs w:val="20"/>
          <w:color w:val="auto"/>
        </w:rPr>
      </w:pPr>
      <w:r>
        <w:rPr>
          <w:rFonts w:ascii="Times New Roman" w:cs="Times New Roman" w:eastAsia="Times New Roman" w:hAnsi="Times New Roman"/>
          <w:sz w:val="17"/>
          <w:szCs w:val="17"/>
          <w:color w:val="auto"/>
        </w:rPr>
        <w:t>Interest payments on Base Rate Loans are payable quarterly in arrears on the last business day of each calendar quarter and the applicable maturity date. Interest periods on Term SOFR Loans are determined, at our option, as either one, three or six months and will be payable on the last day of each interest period and the applicable maturity date. In the case of any interest periods of more than three months' duration, the interest payment are payable on each day prior to the last day of such interest period that occurs at three-month intervals.</w:t>
      </w:r>
    </w:p>
    <w:p>
      <w:pPr>
        <w:spacing w:after="0" w:line="197" w:lineRule="exact"/>
        <w:rPr>
          <w:sz w:val="20"/>
          <w:szCs w:val="20"/>
          <w:color w:val="auto"/>
        </w:rPr>
      </w:pPr>
    </w:p>
    <w:p>
      <w:pPr>
        <w:ind w:right="340" w:firstLine="619"/>
        <w:spacing w:after="0" w:line="263" w:lineRule="auto"/>
        <w:rPr>
          <w:sz w:val="20"/>
          <w:szCs w:val="20"/>
          <w:color w:val="auto"/>
        </w:rPr>
      </w:pPr>
      <w:r>
        <w:rPr>
          <w:rFonts w:ascii="Times New Roman" w:cs="Times New Roman" w:eastAsia="Times New Roman" w:hAnsi="Times New Roman"/>
          <w:sz w:val="17"/>
          <w:szCs w:val="17"/>
          <w:color w:val="auto"/>
        </w:rPr>
        <w:t>The commitment fee on the Revolving Credit Facility is payable quarterly in arrears on the third business day following the last day of each calendar quarter and at the maturity date. The commitment fee is included in interest expense in our condensed consolidated statements of operations.</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Guarantors and Collateral</w:t>
      </w:r>
    </w:p>
    <w:p>
      <w:pPr>
        <w:spacing w:after="0" w:line="226"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Our obligations under the Credit Agreement are unconditionally guaranteed, on a joint and several basis, by ICU Medical, Inc. and certain of our existing subsidiaries.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Debt Covenants</w:t>
      </w:r>
    </w:p>
    <w:p>
      <w:pPr>
        <w:spacing w:after="0" w:line="247" w:lineRule="exact"/>
        <w:rPr>
          <w:sz w:val="20"/>
          <w:szCs w:val="20"/>
          <w:color w:val="auto"/>
        </w:rPr>
      </w:pPr>
    </w:p>
    <w:p>
      <w:pPr>
        <w:ind w:right="260" w:firstLine="619"/>
        <w:spacing w:after="0" w:line="264" w:lineRule="auto"/>
        <w:rPr>
          <w:sz w:val="20"/>
          <w:szCs w:val="20"/>
          <w:color w:val="auto"/>
        </w:rPr>
      </w:pPr>
      <w:r>
        <w:rPr>
          <w:rFonts w:ascii="Times New Roman" w:cs="Times New Roman" w:eastAsia="Times New Roman" w:hAnsi="Times New Roman"/>
          <w:sz w:val="17"/>
          <w:szCs w:val="17"/>
          <w:color w:val="auto"/>
        </w:rPr>
        <w:t>The Credit Agreement contains affirmative and negative covenants, including certain financial covenants. The negative covenants include restrictions regarding the incurrence of liens and indebtedness, certain merger and acquisition transactions, asset sales and other dispositions, other investments, dividends, share purchases and payments affecting subsidiaries, changes in nature of business, fiscal year or organizational documents, prepayments and redemptions of subordinated and other junior debt, transactions with affiliates, and other matters.</w:t>
      </w:r>
    </w:p>
    <w:p>
      <w:pPr>
        <w:spacing w:after="0" w:line="197"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The financial covenants include the Senior Secured Leverage Ratio and the Interest Coverage Ratio, both defined below, and pertain to the Term Loan A and the Revolving Credit Facility.</w:t>
      </w:r>
    </w:p>
    <w:p>
      <w:pPr>
        <w:spacing w:after="0" w:line="177"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The Senior Secured Leverage Ratio is defined, at any measurement date, as the ratio of: (a) all Funded Debt, as defined in the Credit Agreement, that is secured by a lien on any asset or property minus the lesser of (i) all unrestricted cash and cash equivalents and (ii) $500.0 million, to (b) Consolidated EBITDA, as defined in the Credit Agreement, for the most recently completed four fiscal quarters, calculated on a pro forma basis. The maximum Senior Secured Leverage Ratio is 4.50 to 1.00 until June 30, 2024. Thereafter, the maximum Senior Secured Leverage Ratio is 4.00 to 1.00, with limited permitted exception.</w:t>
      </w:r>
    </w:p>
    <w:p>
      <w:pPr>
        <w:spacing w:after="0" w:line="197" w:lineRule="exact"/>
        <w:rPr>
          <w:sz w:val="20"/>
          <w:szCs w:val="20"/>
          <w:color w:val="auto"/>
        </w:rPr>
      </w:pPr>
    </w:p>
    <w:p>
      <w:pPr>
        <w:ind w:right="260" w:firstLine="619"/>
        <w:spacing w:after="0" w:line="270" w:lineRule="auto"/>
        <w:rPr>
          <w:sz w:val="20"/>
          <w:szCs w:val="20"/>
          <w:color w:val="auto"/>
        </w:rPr>
      </w:pPr>
      <w:r>
        <w:rPr>
          <w:rFonts w:ascii="Times New Roman" w:cs="Times New Roman" w:eastAsia="Times New Roman" w:hAnsi="Times New Roman"/>
          <w:sz w:val="17"/>
          <w:szCs w:val="17"/>
          <w:color w:val="auto"/>
        </w:rPr>
        <w:t>The Interest Coverage ratio is defined, at any measurement date, as the ratio of Consolidated EBITDA, as defined in the Credit Agreement, to Consolidated Interest Expense, as defined in the Credit Agreement, paid or payable in cash, for the most recently completed four fiscal quarters. The minimum Interest Coverage ratio is 3.00 to 1.00.</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were in compliance with all financial covenants as of March 31, 2024.</w:t>
      </w:r>
    </w:p>
    <w:p>
      <w:pPr>
        <w:spacing w:after="0" w:line="243"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The Credit Agreement contains customary events of default, including, among others: non-payments of principal and interest; breach of representations and warranties; covenant defaults; cross-defaults and cross-acceleration to certain other material indebtedness; the existence of bankruptcy or insolvency proceedings; certain events under ERISA; material judgments; and a change of control. If an event of default occurs and is not cured within any applicable grace period or is not waived, the administrative agent and the Lenders are entitled to take various actions, including, without limitation, the acceleration of all amounts due and the termination of commitments under the Senior Secured Credit Facilities.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carrying values of our long-term debt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33" w:name="page34"/>
    <w:bookmarkEnd w:id="33"/>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3840" w:type="dxa"/>
            <w:vAlign w:val="bottom"/>
          </w:tcPr>
          <w:p>
            <w:pPr>
              <w:spacing w:after="0"/>
              <w:rPr>
                <w:sz w:val="15"/>
                <w:szCs w:val="15"/>
                <w:color w:val="auto"/>
              </w:rPr>
            </w:pPr>
          </w:p>
        </w:tc>
        <w:tc>
          <w:tcPr>
            <w:tcW w:w="1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Effective Interest Rate</w:t>
            </w:r>
          </w:p>
        </w:tc>
        <w:tc>
          <w:tcPr>
            <w:tcW w:w="220" w:type="dxa"/>
            <w:vAlign w:val="bottom"/>
          </w:tcPr>
          <w:p>
            <w:pPr>
              <w:spacing w:after="0"/>
              <w:rPr>
                <w:sz w:val="15"/>
                <w:szCs w:val="15"/>
                <w:color w:val="auto"/>
              </w:rPr>
            </w:pPr>
          </w:p>
        </w:tc>
        <w:tc>
          <w:tcPr>
            <w:tcW w:w="1500" w:type="dxa"/>
            <w:vAlign w:val="bottom"/>
          </w:tcPr>
          <w:p>
            <w:pPr>
              <w:jc w:val="right"/>
              <w:ind w:right="616"/>
              <w:spacing w:after="0"/>
              <w:rPr>
                <w:sz w:val="20"/>
                <w:szCs w:val="20"/>
                <w:color w:val="auto"/>
              </w:rPr>
            </w:pPr>
            <w:r>
              <w:rPr>
                <w:rFonts w:ascii="Times New Roman" w:cs="Times New Roman" w:eastAsia="Times New Roman" w:hAnsi="Times New Roman"/>
                <w:sz w:val="15"/>
                <w:szCs w:val="15"/>
                <w:b w:val="1"/>
                <w:bCs w:val="1"/>
                <w:color w:val="auto"/>
              </w:rPr>
              <w:t>As of</w:t>
            </w:r>
          </w:p>
        </w:tc>
        <w:tc>
          <w:tcPr>
            <w:tcW w:w="80" w:type="dxa"/>
            <w:vAlign w:val="bottom"/>
          </w:tcPr>
          <w:p>
            <w:pPr>
              <w:spacing w:after="0"/>
              <w:rPr>
                <w:sz w:val="15"/>
                <w:szCs w:val="15"/>
                <w:color w:val="auto"/>
              </w:rPr>
            </w:pPr>
          </w:p>
        </w:tc>
        <w:tc>
          <w:tcPr>
            <w:tcW w:w="2020" w:type="dxa"/>
            <w:vAlign w:val="bottom"/>
            <w:gridSpan w:val="3"/>
            <w:vMerge w:val="restart"/>
          </w:tcPr>
          <w:p>
            <w:pPr>
              <w:jc w:val="right"/>
              <w:ind w:right="314"/>
              <w:spacing w:after="0"/>
              <w:rPr>
                <w:sz w:val="20"/>
                <w:szCs w:val="20"/>
                <w:color w:val="auto"/>
              </w:rPr>
            </w:pPr>
            <w:r>
              <w:rPr>
                <w:rFonts w:ascii="Times New Roman" w:cs="Times New Roman" w:eastAsia="Times New Roman" w:hAnsi="Times New Roman"/>
                <w:sz w:val="15"/>
                <w:szCs w:val="15"/>
                <w:b w:val="1"/>
                <w:bCs w:val="1"/>
                <w:color w:val="auto"/>
              </w:rPr>
              <w:t>Effective Interest Rate</w:t>
            </w:r>
          </w:p>
        </w:tc>
        <w:tc>
          <w:tcPr>
            <w:tcW w:w="1200" w:type="dxa"/>
            <w:vAlign w:val="bottom"/>
          </w:tcPr>
          <w:p>
            <w:pPr>
              <w:jc w:val="right"/>
              <w:ind w:right="256"/>
              <w:spacing w:after="0"/>
              <w:rPr>
                <w:sz w:val="20"/>
                <w:szCs w:val="20"/>
                <w:color w:val="auto"/>
              </w:rPr>
            </w:pPr>
            <w:r>
              <w:rPr>
                <w:rFonts w:ascii="Times New Roman" w:cs="Times New Roman" w:eastAsia="Times New Roman" w:hAnsi="Times New Roman"/>
                <w:sz w:val="15"/>
                <w:szCs w:val="15"/>
                <w:b w:val="1"/>
                <w:bCs w:val="1"/>
                <w:color w:val="auto"/>
              </w:rPr>
              <w:t>As of</w:t>
            </w:r>
          </w:p>
        </w:tc>
        <w:tc>
          <w:tcPr>
            <w:tcW w:w="0" w:type="dxa"/>
            <w:vAlign w:val="bottom"/>
          </w:tcPr>
          <w:p>
            <w:pPr>
              <w:spacing w:after="0"/>
              <w:rPr>
                <w:sz w:val="1"/>
                <w:szCs w:val="1"/>
                <w:color w:val="auto"/>
              </w:rPr>
            </w:pPr>
          </w:p>
        </w:tc>
      </w:tr>
      <w:tr>
        <w:trPr>
          <w:trHeight w:val="205"/>
        </w:trPr>
        <w:tc>
          <w:tcPr>
            <w:tcW w:w="384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80" w:type="dxa"/>
            <w:vAlign w:val="bottom"/>
          </w:tcPr>
          <w:p>
            <w:pPr>
              <w:spacing w:after="0"/>
              <w:rPr>
                <w:sz w:val="17"/>
                <w:szCs w:val="17"/>
                <w:color w:val="auto"/>
              </w:rPr>
            </w:pPr>
          </w:p>
        </w:tc>
        <w:tc>
          <w:tcPr>
            <w:tcW w:w="2020" w:type="dxa"/>
            <w:vAlign w:val="bottom"/>
            <w:gridSpan w:val="3"/>
            <w:vMerge w:val="continue"/>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 20</w:t>
            </w:r>
          </w:p>
        </w:tc>
        <w:tc>
          <w:tcPr>
            <w:tcW w:w="0" w:type="dxa"/>
            <w:vAlign w:val="bottom"/>
          </w:tcPr>
          <w:p>
            <w:pPr>
              <w:spacing w:after="0"/>
              <w:rPr>
                <w:sz w:val="1"/>
                <w:szCs w:val="1"/>
                <w:color w:val="auto"/>
              </w:rPr>
            </w:pPr>
          </w:p>
        </w:tc>
      </w:tr>
      <w:tr>
        <w:trPr>
          <w:trHeight w:val="200"/>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Senior Secured Credit Facilities:</w:t>
            </w: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Term Loan A — principal</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8.24 %</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802,188</w:t>
            </w:r>
          </w:p>
        </w:tc>
        <w:tc>
          <w:tcPr>
            <w:tcW w:w="21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7.67 %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0" w:type="dxa"/>
            <w:vAlign w:val="bottom"/>
          </w:tcPr>
          <w:p>
            <w:pPr>
              <w:spacing w:after="0"/>
              <w:rPr>
                <w:sz w:val="1"/>
                <w:szCs w:val="1"/>
                <w:color w:val="auto"/>
              </w:rPr>
            </w:pPr>
          </w:p>
        </w:tc>
      </w:tr>
      <w:tr>
        <w:trPr>
          <w:trHeight w:val="219"/>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Term Loan B — principal</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833,000</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0" w:type="dxa"/>
            <w:vAlign w:val="bottom"/>
          </w:tcPr>
          <w:p>
            <w:pPr>
              <w:spacing w:after="0"/>
              <w:rPr>
                <w:sz w:val="1"/>
                <w:szCs w:val="1"/>
                <w:color w:val="auto"/>
              </w:rPr>
            </w:pPr>
          </w:p>
        </w:tc>
      </w:tr>
      <w:tr>
        <w:trPr>
          <w:trHeight w:val="219"/>
        </w:trPr>
        <w:tc>
          <w:tcPr>
            <w:tcW w:w="3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Revolving Credit Facility — principal</w:t>
            </w: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20" w:type="dxa"/>
            <w:vAlign w:val="bottom"/>
            <w:gridSpan w:val="3"/>
          </w:tcPr>
          <w:p>
            <w:pPr>
              <w:jc w:val="right"/>
              <w:ind w:right="174"/>
              <w:spacing w:after="0"/>
              <w:rPr>
                <w:sz w:val="20"/>
                <w:szCs w:val="20"/>
                <w:color w:val="auto"/>
              </w:rPr>
            </w:pPr>
            <w:r>
              <w:rPr>
                <w:rFonts w:ascii="Times New Roman" w:cs="Times New Roman" w:eastAsia="Times New Roman" w:hAnsi="Times New Roman"/>
                <w:sz w:val="17"/>
                <w:szCs w:val="17"/>
                <w:color w:val="auto"/>
              </w:rPr>
              <w:t>— %</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7"/>
                <w:szCs w:val="17"/>
                <w:color w:val="auto"/>
              </w:rPr>
              <w:t>Less unamortized debt issuance costs</w:t>
            </w:r>
            <w:r>
              <w:rPr>
                <w:rFonts w:ascii="Times New Roman" w:cs="Times New Roman" w:eastAsia="Times New Roman" w:hAnsi="Times New Roman"/>
                <w:sz w:val="22"/>
                <w:szCs w:val="22"/>
                <w:color w:val="auto"/>
                <w:vertAlign w:val="superscript"/>
              </w:rPr>
              <w:t>(1)</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(17,890)</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12"/>
        </w:trPr>
        <w:tc>
          <w:tcPr>
            <w:tcW w:w="3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carrying value of long-term debt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1,617,298</w:t>
            </w: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1,628</w:t>
            </w:r>
          </w:p>
        </w:tc>
        <w:tc>
          <w:tcPr>
            <w:tcW w:w="0" w:type="dxa"/>
            <w:vAlign w:val="bottom"/>
          </w:tcPr>
          <w:p>
            <w:pPr>
              <w:spacing w:after="0"/>
              <w:rPr>
                <w:sz w:val="1"/>
                <w:szCs w:val="1"/>
                <w:color w:val="auto"/>
              </w:rPr>
            </w:pPr>
          </w:p>
        </w:tc>
      </w:tr>
      <w:tr>
        <w:trPr>
          <w:trHeight w:val="219"/>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Less current portion of long-term debt</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51,000</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12"/>
        </w:trPr>
        <w:tc>
          <w:tcPr>
            <w:tcW w:w="3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Long-term debt, net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1,566,298</w:t>
            </w: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1,577</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55" w:lineRule="exact"/>
        <w:rPr>
          <w:sz w:val="20"/>
          <w:szCs w:val="20"/>
          <w:color w:val="auto"/>
        </w:rPr>
      </w:pPr>
    </w:p>
    <w:p>
      <w:pPr>
        <w:ind w:left="220" w:hanging="217"/>
        <w:spacing w:after="0"/>
        <w:tabs>
          <w:tab w:leader="none" w:pos="220"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7"/>
          <w:szCs w:val="17"/>
          <w:color w:val="auto"/>
        </w:rPr>
        <w:t>Comprised of $8.5 million and $9.4 million relating to the Term Loan A and the Term Loan B, respectively, as of March 31, 2024.</w:t>
      </w:r>
    </w:p>
    <w:p>
      <w:pPr>
        <w:spacing w:after="0" w:line="215" w:lineRule="exact"/>
        <w:rPr>
          <w:sz w:val="20"/>
          <w:szCs w:val="20"/>
          <w:color w:val="auto"/>
        </w:rPr>
      </w:pPr>
    </w:p>
    <w:p>
      <w:pPr>
        <w:ind w:right="180" w:firstLine="619"/>
        <w:spacing w:after="0" w:line="287" w:lineRule="auto"/>
        <w:rPr>
          <w:sz w:val="20"/>
          <w:szCs w:val="20"/>
          <w:color w:val="auto"/>
        </w:rPr>
      </w:pPr>
      <w:r>
        <w:rPr>
          <w:rFonts w:ascii="Times New Roman" w:cs="Times New Roman" w:eastAsia="Times New Roman" w:hAnsi="Times New Roman"/>
          <w:sz w:val="17"/>
          <w:szCs w:val="17"/>
          <w:color w:val="auto"/>
        </w:rPr>
        <w:t>As of March 31, 2024, the aggregate amount of principal repayments of our long-term debt (including any current portion) for each of the next five years and thereafter is approximately (in thousands):</w:t>
      </w:r>
    </w:p>
    <w:p>
      <w:pPr>
        <w:spacing w:after="0" w:line="219" w:lineRule="exact"/>
        <w:rPr>
          <w:sz w:val="20"/>
          <w:szCs w:val="20"/>
          <w:color w:val="auto"/>
        </w:rPr>
      </w:pPr>
    </w:p>
    <w:tbl>
      <w:tblPr>
        <w:tblLayout w:type="fixed"/>
        <w:tblInd w:w="620" w:type="dxa"/>
        <w:tblCellMar>
          <w:top w:w="0" w:type="dxa"/>
          <w:left w:w="0" w:type="dxa"/>
          <w:bottom w:w="0" w:type="dxa"/>
          <w:right w:w="0" w:type="dxa"/>
        </w:tblCellMar>
      </w:tblP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2024</w:t>
            </w: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spacing w:after="0"/>
              <w:rPr>
                <w:sz w:val="19"/>
                <w:szCs w:val="19"/>
                <w:color w:val="auto"/>
              </w:rPr>
            </w:pPr>
          </w:p>
        </w:tc>
      </w:tr>
      <w:tr>
        <w:trPr>
          <w:trHeight w:val="219"/>
        </w:trPr>
        <w:tc>
          <w:tcPr>
            <w:tcW w:w="9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9"/>
        </w:trPr>
        <w:tc>
          <w:tcPr>
            <w:tcW w:w="9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9"/>
        </w:trPr>
        <w:tc>
          <w:tcPr>
            <w:tcW w:w="9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5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r>
      <w:tr>
        <w:trPr>
          <w:trHeight w:val="212"/>
        </w:trPr>
        <w:tc>
          <w:tcPr>
            <w:tcW w:w="9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5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0"/>
        </w:trPr>
        <w:tc>
          <w:tcPr>
            <w:tcW w:w="9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total interest expense related to our long-term debt (in thousands):</w:t>
      </w:r>
    </w:p>
    <w:p>
      <w:pPr>
        <w:spacing w:after="0" w:line="278"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7"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9" w:lineRule="exact"/>
        <w:rPr>
          <w:sz w:val="20"/>
          <w:szCs w:val="20"/>
          <w:color w:val="auto"/>
        </w:rPr>
      </w:pPr>
    </w:p>
    <w:tbl>
      <w:tblPr>
        <w:tblLayout w:type="fixed"/>
        <w:tblInd w:w="620" w:type="dxa"/>
        <w:tblCellMar>
          <w:top w:w="0" w:type="dxa"/>
          <w:left w:w="0" w:type="dxa"/>
          <w:bottom w:w="0" w:type="dxa"/>
          <w:right w:w="0" w:type="dxa"/>
        </w:tblCellMar>
      </w:tblPr>
      <w:tr>
        <w:trPr>
          <w:trHeight w:val="212"/>
        </w:trPr>
        <w:tc>
          <w:tcPr>
            <w:tcW w:w="744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Contractual interest</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32,276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19"/>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 fee — Revolving Credit Facility</w:t>
            </w:r>
          </w:p>
        </w:tc>
        <w:tc>
          <w:tcPr>
            <w:tcW w:w="1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r>
        <w:trPr>
          <w:trHeight w:val="212"/>
        </w:trPr>
        <w:tc>
          <w:tcPr>
            <w:tcW w:w="7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long-term debt-related interest expense</w:t>
            </w:r>
          </w:p>
        </w:tc>
        <w:tc>
          <w:tcPr>
            <w:tcW w:w="116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34,363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0"/>
        </w:trPr>
        <w:tc>
          <w:tcPr>
            <w:tcW w:w="7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currently hedge against the contractual interest expense on our long-term debt (see Note 7: Derivatives and Hedging Activities).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Stockholders' Equity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Shareholders Agreement</w:t>
      </w:r>
    </w:p>
    <w:p>
      <w:pPr>
        <w:spacing w:after="0" w:line="247" w:lineRule="exact"/>
        <w:rPr>
          <w:sz w:val="20"/>
          <w:szCs w:val="20"/>
          <w:color w:val="auto"/>
        </w:rPr>
      </w:pPr>
    </w:p>
    <w:p>
      <w:pPr>
        <w:ind w:right="140" w:firstLine="619"/>
        <w:spacing w:after="0" w:line="267" w:lineRule="auto"/>
        <w:rPr>
          <w:sz w:val="20"/>
          <w:szCs w:val="20"/>
          <w:color w:val="auto"/>
        </w:rPr>
      </w:pPr>
      <w:r>
        <w:rPr>
          <w:rFonts w:ascii="Times New Roman" w:cs="Times New Roman" w:eastAsia="Times New Roman" w:hAnsi="Times New Roman"/>
          <w:sz w:val="17"/>
          <w:szCs w:val="17"/>
          <w:color w:val="auto"/>
        </w:rPr>
        <w:t>At the completion of the Smiths Medical acquisition in 2022, Smiths owned approximately 10.5% of the total outstanding shares of our common stock (see Note 3: Restructuring, Strategic Transaction and Integration). At closing, in connection with the issuance of the share consideration, we entered into a Shareholders Agreement (the “Shareholders Agreement”) with Smiths. The Shareholders Agreement permits Smiths to designate one individual for election to our Board of</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420"/>
        <w:spacing w:after="0" w:line="264" w:lineRule="auto"/>
        <w:rPr>
          <w:sz w:val="20"/>
          <w:szCs w:val="20"/>
          <w:color w:val="auto"/>
        </w:rPr>
      </w:pPr>
      <w:r>
        <w:rPr>
          <w:rFonts w:ascii="Times New Roman" w:cs="Times New Roman" w:eastAsia="Times New Roman" w:hAnsi="Times New Roman"/>
          <w:sz w:val="17"/>
          <w:szCs w:val="17"/>
          <w:color w:val="auto"/>
        </w:rPr>
        <w:t>Directors (the "Board") so long as Smiths beneficially owns at least 5.0% of the total outstanding shares of our common stock. On February 28, 2024, Smiths designated board member, Mr. William Seeger, notified us of his resignation from our Board in anticipation of his retirement from the Board of Directors of Smiths. Currently, our Board consists of eight members, however Smiths retains the right to designate a board member subject to the share ownership requirements, mentioned above. See our Current Report on Form 8-K filed on February 29, 2024 for additional information.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Treasury Stock</w:t>
      </w:r>
    </w:p>
    <w:p>
      <w:pPr>
        <w:spacing w:after="0" w:line="247" w:lineRule="exact"/>
        <w:rPr>
          <w:sz w:val="20"/>
          <w:szCs w:val="20"/>
          <w:color w:val="auto"/>
        </w:rPr>
      </w:pPr>
    </w:p>
    <w:p>
      <w:pPr>
        <w:ind w:firstLine="172"/>
        <w:spacing w:after="0" w:line="264" w:lineRule="auto"/>
        <w:rPr>
          <w:sz w:val="20"/>
          <w:szCs w:val="20"/>
          <w:color w:val="auto"/>
        </w:rPr>
      </w:pPr>
      <w:r>
        <w:rPr>
          <w:rFonts w:ascii="Times New Roman" w:cs="Times New Roman" w:eastAsia="Times New Roman" w:hAnsi="Times New Roman"/>
          <w:sz w:val="17"/>
          <w:szCs w:val="17"/>
          <w:color w:val="auto"/>
        </w:rPr>
        <w:t>In August 2019, our Board approved a share purchase plan to purchase up to $100.0 million of our common stock. This plan has no expiration date. During the three months ended March 31, 2024, we did not purchase any shares of our common stock under our share purchase plan. As of March 31, 2024, all of the $100.0 million available for purchase was remaining under the plan. We are currently limited on share purchases in accordance with the terms and conditions of our Credit Agreement (see Note 16: Long-Term Debt).</w:t>
      </w:r>
    </w:p>
    <w:p>
      <w:pPr>
        <w:spacing w:after="0" w:line="197" w:lineRule="exact"/>
        <w:rPr>
          <w:sz w:val="20"/>
          <w:szCs w:val="20"/>
          <w:color w:val="auto"/>
        </w:rPr>
      </w:pPr>
    </w:p>
    <w:p>
      <w:pPr>
        <w:ind w:right="120" w:firstLine="172"/>
        <w:spacing w:after="0" w:line="261" w:lineRule="auto"/>
        <w:rPr>
          <w:sz w:val="20"/>
          <w:szCs w:val="20"/>
          <w:color w:val="auto"/>
        </w:rPr>
      </w:pPr>
      <w:r>
        <w:rPr>
          <w:rFonts w:ascii="Times New Roman" w:cs="Times New Roman" w:eastAsia="Times New Roman" w:hAnsi="Times New Roman"/>
          <w:sz w:val="17"/>
          <w:szCs w:val="17"/>
          <w:color w:val="auto"/>
        </w:rPr>
        <w:t>For the three months ended March 31, 2024, we withheld 110,119 shares of our common stock from employee vested restricted stock units in consideration for $11.4 million in payments made on the employees' behalf for their minimum statutory income tax withholding obligations. For the three months ended March 31, 2023, we withheld 52,764 shares of our common stock from employee vested restricted stock units in consideration for $8.4 million in payments made on the employees' behalf for their minimum statutory income tax withholding obligations. Treasury stock is used to issue shares for stock option exercises and restricted stock grants.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Accumulated Other Comprehensive (Loss) Income ("AOCI")</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components of AOCI, net of tax, were as follows (in thousands):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Unrealized Gains</w:t>
            </w: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40"/>
              <w:spacing w:after="0" w:line="167" w:lineRule="exact"/>
              <w:rPr>
                <w:sz w:val="20"/>
                <w:szCs w:val="20"/>
                <w:color w:val="auto"/>
              </w:rPr>
            </w:pPr>
            <w:r>
              <w:rPr>
                <w:rFonts w:ascii="Times New Roman" w:cs="Times New Roman" w:eastAsia="Times New Roman" w:hAnsi="Times New Roman"/>
                <w:sz w:val="17"/>
                <w:szCs w:val="17"/>
                <w:b w:val="1"/>
                <w:bCs w:val="1"/>
                <w:color w:val="auto"/>
                <w:w w:val="98"/>
              </w:rPr>
              <w:t>Translation</w:t>
            </w:r>
          </w:p>
        </w:tc>
        <w:tc>
          <w:tcPr>
            <w:tcW w:w="120" w:type="dxa"/>
            <w:vAlign w:val="bottom"/>
          </w:tcPr>
          <w:p>
            <w:pPr>
              <w:spacing w:after="0"/>
              <w:rPr>
                <w:sz w:val="14"/>
                <w:szCs w:val="14"/>
                <w:color w:val="auto"/>
              </w:rPr>
            </w:pPr>
          </w:p>
        </w:tc>
        <w:tc>
          <w:tcPr>
            <w:tcW w:w="1560" w:type="dxa"/>
            <w:vAlign w:val="bottom"/>
            <w:gridSpan w:val="2"/>
          </w:tcPr>
          <w:p>
            <w:pPr>
              <w:jc w:val="center"/>
              <w:ind w:right="240"/>
              <w:spacing w:after="0" w:line="167" w:lineRule="exact"/>
              <w:rPr>
                <w:sz w:val="20"/>
                <w:szCs w:val="20"/>
                <w:color w:val="auto"/>
              </w:rPr>
            </w:pPr>
            <w:r>
              <w:rPr>
                <w:rFonts w:ascii="Times New Roman" w:cs="Times New Roman" w:eastAsia="Times New Roman" w:hAnsi="Times New Roman"/>
                <w:sz w:val="17"/>
                <w:szCs w:val="17"/>
                <w:b w:val="1"/>
                <w:bCs w:val="1"/>
                <w:color w:val="auto"/>
              </w:rPr>
              <w:t>(Losses) on Cash</w:t>
            </w:r>
          </w:p>
        </w:tc>
        <w:tc>
          <w:tcPr>
            <w:tcW w:w="1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Other Adjustments</w:t>
            </w:r>
          </w:p>
        </w:tc>
        <w:tc>
          <w:tcPr>
            <w:tcW w:w="340" w:type="dxa"/>
            <w:vAlign w:val="bottom"/>
          </w:tcPr>
          <w:p>
            <w:pPr>
              <w:spacing w:after="0"/>
              <w:rPr>
                <w:sz w:val="14"/>
                <w:szCs w:val="14"/>
                <w:color w:val="auto"/>
              </w:rPr>
            </w:pPr>
          </w:p>
        </w:tc>
        <w:tc>
          <w:tcPr>
            <w:tcW w:w="1260" w:type="dxa"/>
            <w:vAlign w:val="bottom"/>
            <w:vMerge w:val="restart"/>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2"/>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Flow Hedges</w:t>
            </w:r>
          </w:p>
        </w:tc>
        <w:tc>
          <w:tcPr>
            <w:tcW w:w="1680" w:type="dxa"/>
            <w:vAlign w:val="bottom"/>
            <w:gridSpan w:val="3"/>
            <w:vMerge w:val="continue"/>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January 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(76,784)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21,884</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(53,081)</w:t>
            </w:r>
          </w:p>
        </w:tc>
        <w:tc>
          <w:tcPr>
            <w:tcW w:w="0" w:type="dxa"/>
            <w:vAlign w:val="bottom"/>
          </w:tcPr>
          <w:p>
            <w:pPr>
              <w:spacing w:after="0"/>
              <w:rPr>
                <w:sz w:val="1"/>
                <w:szCs w:val="1"/>
                <w:color w:val="auto"/>
              </w:rPr>
            </w:pPr>
          </w:p>
        </w:tc>
      </w:tr>
      <w:tr>
        <w:trPr>
          <w:trHeight w:val="168"/>
        </w:trPr>
        <w:tc>
          <w:tcPr>
            <w:tcW w:w="45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 comprehensive (loss) income before</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reclassifications</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13,908</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(8,909)</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(7,548)</w:t>
            </w:r>
          </w:p>
        </w:tc>
        <w:tc>
          <w:tcPr>
            <w:tcW w:w="0" w:type="dxa"/>
            <w:vAlign w:val="bottom"/>
          </w:tcPr>
          <w:p>
            <w:pPr>
              <w:spacing w:after="0"/>
              <w:rPr>
                <w:sz w:val="1"/>
                <w:szCs w:val="1"/>
                <w:color w:val="auto"/>
              </w:rPr>
            </w:pPr>
          </w:p>
        </w:tc>
      </w:tr>
      <w:tr>
        <w:trPr>
          <w:trHeight w:val="212"/>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(22,817)</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6,360</w:t>
            </w:r>
          </w:p>
        </w:tc>
        <w:tc>
          <w:tcPr>
            <w:tcW w:w="1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(16,457)</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March 31,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28,244</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(69,538)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Unrealized Gains</w:t>
            </w: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7"/>
                <w:szCs w:val="17"/>
                <w:b w:val="1"/>
                <w:bCs w:val="1"/>
                <w:color w:val="auto"/>
                <w:w w:val="98"/>
              </w:rPr>
              <w:t>Translation</w:t>
            </w:r>
          </w:p>
        </w:tc>
        <w:tc>
          <w:tcPr>
            <w:tcW w:w="120" w:type="dxa"/>
            <w:vAlign w:val="bottom"/>
          </w:tcPr>
          <w:p>
            <w:pPr>
              <w:spacing w:after="0"/>
              <w:rPr>
                <w:sz w:val="15"/>
                <w:szCs w:val="15"/>
                <w:color w:val="auto"/>
              </w:rPr>
            </w:pPr>
          </w:p>
        </w:tc>
        <w:tc>
          <w:tcPr>
            <w:tcW w:w="156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7"/>
                <w:szCs w:val="17"/>
                <w:b w:val="1"/>
                <w:bCs w:val="1"/>
                <w:color w:val="auto"/>
              </w:rPr>
              <w:t>(Losses) on Cash</w:t>
            </w:r>
          </w:p>
        </w:tc>
        <w:tc>
          <w:tcPr>
            <w:tcW w:w="1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Other Adjustments</w:t>
            </w:r>
          </w:p>
        </w:tc>
        <w:tc>
          <w:tcPr>
            <w:tcW w:w="340" w:type="dxa"/>
            <w:vAlign w:val="bottom"/>
          </w:tcPr>
          <w:p>
            <w:pPr>
              <w:spacing w:after="0"/>
              <w:rPr>
                <w:sz w:val="15"/>
                <w:szCs w:val="15"/>
                <w:color w:val="auto"/>
              </w:rPr>
            </w:pPr>
          </w:p>
        </w:tc>
        <w:tc>
          <w:tcPr>
            <w:tcW w:w="1260" w:type="dxa"/>
            <w:vAlign w:val="bottom"/>
            <w:vMerge w:val="restart"/>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7"/>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Flow Hedges</w:t>
            </w:r>
          </w:p>
        </w:tc>
        <w:tc>
          <w:tcPr>
            <w:tcW w:w="168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January 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(122,973)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40,779</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(80,978)</w:t>
            </w:r>
          </w:p>
        </w:tc>
        <w:tc>
          <w:tcPr>
            <w:tcW w:w="0" w:type="dxa"/>
            <w:vAlign w:val="bottom"/>
          </w:tcPr>
          <w:p>
            <w:pPr>
              <w:spacing w:after="0"/>
              <w:rPr>
                <w:sz w:val="1"/>
                <w:szCs w:val="1"/>
                <w:color w:val="auto"/>
              </w:rPr>
            </w:pPr>
          </w:p>
        </w:tc>
      </w:tr>
      <w:tr>
        <w:trPr>
          <w:trHeight w:val="168"/>
        </w:trPr>
        <w:tc>
          <w:tcPr>
            <w:tcW w:w="45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 comprehensive income (loss) before</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reclassifications</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24,839</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(5,464)</w:t>
            </w:r>
          </w:p>
        </w:tc>
        <w:tc>
          <w:tcPr>
            <w:tcW w:w="0" w:type="dxa"/>
            <w:vAlign w:val="bottom"/>
          </w:tcPr>
          <w:p>
            <w:pPr>
              <w:spacing w:after="0"/>
              <w:rPr>
                <w:sz w:val="1"/>
                <w:szCs w:val="1"/>
                <w:color w:val="auto"/>
              </w:rPr>
            </w:pPr>
          </w:p>
        </w:tc>
      </w:tr>
      <w:tr>
        <w:trPr>
          <w:trHeight w:val="212"/>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24,983</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(5,577)</w:t>
            </w:r>
          </w:p>
        </w:tc>
        <w:tc>
          <w:tcPr>
            <w:tcW w:w="1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19,375</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March 31,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35,202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(61,603)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Commitments and Contingencies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Legal Proceedings</w:t>
      </w:r>
    </w:p>
    <w:p>
      <w:pPr>
        <w:spacing w:after="0" w:line="247" w:lineRule="exact"/>
        <w:rPr>
          <w:sz w:val="20"/>
          <w:szCs w:val="20"/>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Off-Balance Sheet Arrangements</w:t>
      </w:r>
    </w:p>
    <w:p>
      <w:pPr>
        <w:spacing w:after="0" w:line="221" w:lineRule="exact"/>
        <w:rPr>
          <w:sz w:val="20"/>
          <w:szCs w:val="20"/>
          <w:color w:val="auto"/>
        </w:rPr>
      </w:pPr>
    </w:p>
    <w:p>
      <w:pPr>
        <w:ind w:firstLine="172"/>
        <w:spacing w:after="0" w:line="260" w:lineRule="auto"/>
        <w:rPr>
          <w:sz w:val="20"/>
          <w:szCs w:val="20"/>
          <w:color w:val="auto"/>
        </w:rPr>
      </w:pPr>
      <w:r>
        <w:rPr>
          <w:rFonts w:ascii="Times New Roman" w:cs="Times New Roman" w:eastAsia="Times New Roman" w:hAnsi="Times New Roman"/>
          <w:sz w:val="17"/>
          <w:szCs w:val="17"/>
          <w:color w:val="auto"/>
        </w:rPr>
        <w:t>In the normal course of business, we have agreed to indemnify our officers and directors to the maximum extent permitted under Delaware law and to indemnify customers as to certain intellectual property matters or other matters related to sales of our products. There is no maximum limit on the indemnification that may be required under these agreements.</w:t>
      </w:r>
    </w:p>
    <w:p>
      <w:pPr>
        <w:spacing w:after="0"/>
        <w:rPr>
          <w:sz w:val="20"/>
          <w:szCs w:val="20"/>
          <w:color w:val="auto"/>
        </w:rPr>
      </w:pPr>
      <w:r>
        <w:rPr>
          <w:rFonts w:ascii="Times New Roman" w:cs="Times New Roman" w:eastAsia="Times New Roman" w:hAnsi="Times New Roman"/>
          <w:sz w:val="17"/>
          <w:szCs w:val="17"/>
          <w:color w:val="auto"/>
        </w:rPr>
        <w:t>Although we can provide no assurances, we have never incurred, nor do we expect to incur, any material liability for indemnification.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Contingencies</w:t>
      </w:r>
    </w:p>
    <w:p>
      <w:pPr>
        <w:spacing w:after="0" w:line="247"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In January 2022, we acquired Smiths Medical. Total consideration for the acquisition included a potential earn-out payment of $100.0 million in cash contingent on our common stock achieving a certain volume-weighted average price from the closing date to either the third or fourth anniversary of closing. As of March 31, 2024, the estimated fair value of the contingent earn-out is $4.3 million (see Note 8: Fair Value Measurements).</w:t>
      </w:r>
    </w:p>
    <w:p>
      <w:pPr>
        <w:spacing w:after="0" w:line="191"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Prior to being acquired, during 2021, Smiths Medical received a Warning Letter from the FDA following an inspection of Smiths Medical’s Oakdale, Minnesota Facility. The Warning Letter cited, among other things, failures to comply with FDA's medical device reporting requirements and failures to comply with applicable portions of the Quality System Regulation. A provision for the estimated costs related to the field service corrective actions identified as of the closing date of the acquisition was recorded on the opening acquired balance sheet of Smiths Medical in the amount of $55.1 million. The initial estimate recorded was based on a probability-weighted estimate of the costs required to settle the obligation related to known field corrective actions. The actual costs to be incurred are dependent upon the scope of the work necessary to achieve regulatory clearance, including potential additional field corrective actions, and could differ from the original estimate. For the three months ended March 31, 2024 and 2023, we recorded additional expense of $0.4 million and $2.8 million, respectively, primarily related to additional field corrective actions identified and initiated during those periods. As of March 31, 2024, approximately $52.3 million of the $54.8 million of accrued field service corrective action recorded was related to Smiths Medical.</w:t>
      </w:r>
    </w:p>
    <w:p>
      <w:pPr>
        <w:spacing w:after="0" w:line="205" w:lineRule="exact"/>
        <w:rPr>
          <w:sz w:val="20"/>
          <w:szCs w:val="20"/>
          <w:color w:val="auto"/>
        </w:rPr>
      </w:pPr>
    </w:p>
    <w:p>
      <w:pPr>
        <w:ind w:right="20" w:firstLine="619"/>
        <w:spacing w:after="0" w:line="259" w:lineRule="auto"/>
        <w:rPr>
          <w:sz w:val="20"/>
          <w:szCs w:val="20"/>
          <w:color w:val="auto"/>
        </w:rPr>
      </w:pPr>
      <w:r>
        <w:rPr>
          <w:rFonts w:ascii="Times New Roman" w:cs="Times New Roman" w:eastAsia="Times New Roman" w:hAnsi="Times New Roman"/>
          <w:sz w:val="17"/>
          <w:szCs w:val="17"/>
          <w:color w:val="auto"/>
        </w:rPr>
        <w:t>In November 2021, we acquired a small foreign infusion systems supplier. Total consideration for the acquisition included a potential earn-out payment of up to $2.5 million, consisting of (i) a cash payment of $1.0 million contingent on the achievement of certain revenue targets for the annual period ended December 31, 2022 and, separately, (ii) a cash payment of $1.5 million contingent on certain product-related regulatory certifications obtained by May 26, 2024. As of December 31, 2022, the measurement period related to (i) above ended and based on the actual revenue achieved during the measurement period we determined that the fair value of the contingent earn-out was zero as the minimum threshold for earning the earn-out was not met. As of March 31, 2024, the estimated fair value of the remaining contingent earn-out related to certain product-related regulatory certification was estimated to be $1.5 million (see Note 8: Fair Value Measurements).</w:t>
      </w:r>
    </w:p>
    <w:p>
      <w:pPr>
        <w:spacing w:after="0" w:line="200" w:lineRule="exact"/>
        <w:rPr>
          <w:sz w:val="20"/>
          <w:szCs w:val="20"/>
          <w:color w:val="auto"/>
        </w:rPr>
      </w:pPr>
    </w:p>
    <w:p>
      <w:pPr>
        <w:spacing w:after="0" w:line="210" w:lineRule="exact"/>
        <w:rPr>
          <w:sz w:val="20"/>
          <w:szCs w:val="20"/>
          <w:color w:val="auto"/>
        </w:rPr>
      </w:pPr>
    </w:p>
    <w:p>
      <w:pPr>
        <w:ind w:right="100" w:firstLine="619"/>
        <w:spacing w:after="0" w:line="260" w:lineRule="auto"/>
        <w:rPr>
          <w:sz w:val="20"/>
          <w:szCs w:val="20"/>
          <w:color w:val="auto"/>
        </w:rPr>
      </w:pPr>
      <w:r>
        <w:rPr>
          <w:rFonts w:ascii="Times New Roman" w:cs="Times New Roman" w:eastAsia="Times New Roman" w:hAnsi="Times New Roman"/>
          <w:sz w:val="17"/>
          <w:szCs w:val="17"/>
          <w:color w:val="auto"/>
        </w:rPr>
        <w:t>In August 2021, we entered into an agreement with one of our international distributors whereby that distributor would not compete with us in a specific territory for a three-year period that ends September 2024. The terms of the agreement included a contingent earn-out payment. The contingent earn-out could not exceed $6.0 million, and was to be earned based on certain revenue targets over a twelve-month measurement period determined by the highest four consecutive quarters commencing over a two-year period starting on the closing date of the agreement and provided that the distributor is in compliance with its obligations under the agreement. As of December 31, 2023, the fair value of the contingent earn-out was determined to be $3.4 million and was paid out during the three months ended March 31, 2024 (see Note 8: Fair Value Measurements).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We have non-cancelable operating lease agreements where we are contractually obligated to pay certain lease payment amounts (see Note 5: Leases).</w:t>
      </w:r>
    </w:p>
    <w:p>
      <w:pPr>
        <w:spacing w:after="0" w:line="23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19:</w:t>
        <w:tab/>
        <w:t>Collaborative and Other Arrangements</w:t>
      </w:r>
    </w:p>
    <w:p>
      <w:pPr>
        <w:spacing w:after="0" w:line="247" w:lineRule="exact"/>
        <w:rPr>
          <w:sz w:val="20"/>
          <w:szCs w:val="20"/>
          <w:color w:val="auto"/>
        </w:rPr>
      </w:pPr>
    </w:p>
    <w:p>
      <w:pPr>
        <w:ind w:right="140" w:firstLine="172"/>
        <w:spacing w:after="0" w:line="264" w:lineRule="auto"/>
        <w:rPr>
          <w:sz w:val="20"/>
          <w:szCs w:val="20"/>
          <w:color w:val="auto"/>
        </w:rPr>
      </w:pPr>
      <w:r>
        <w:rPr>
          <w:rFonts w:ascii="Times New Roman" w:cs="Times New Roman" w:eastAsia="Times New Roman" w:hAnsi="Times New Roman"/>
          <w:sz w:val="17"/>
          <w:szCs w:val="17"/>
          <w:color w:val="auto"/>
        </w:rPr>
        <w:t>On February 3, 2017, we entered into two Manufacturing and Supply Agreements ("MSAs") whereby (i) Pfizer would manufacture and supply us with certain agreed upon products for an initial five-year term with a one-time two-year option to extend and (ii) we will manufacture and supply Pfizer certain agreed upon products for a term of five or ten years depending on the product, also with a one-time two-year option to extend. We no longer purchase products from Pfizer under the MSA as described in (i) above.</w:t>
      </w:r>
    </w:p>
    <w:p>
      <w:pPr>
        <w:spacing w:after="0" w:line="197"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The MSA described in (ii) above provides each party with mutually beneficial interests and is jointly managed by both Pfizer and ICU. The initial supply price, which will be annually updated, is in full consideration for all costs associated with the manufacture, documentation, packaging and certification of the products. On January 1, 2021, we amended our MSA with Pfizer, whereby we manufacture and supply certain agreed upon products to Pfizer. The amendments included a change to the term of the agreement to end on December 31, 2024 with Pfizer's unilateral election to extend through December 31, 2025. Other changes to the terms of the MSA included (i) amendments to our level of supply of products to Pfizer, (ii) certain changes to our manufacturing lines, (iii) updates to our supply price with added volume price tiers for annual periods and (iv) certain minimum purchase requirements for certain products.</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37" w:name="page38"/>
    <w:bookmarkEnd w:id="37"/>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20: Accounts Receivable Purchase Program</w:t>
      </w:r>
    </w:p>
    <w:p>
      <w:pPr>
        <w:spacing w:after="0" w:line="247"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17"/>
          <w:szCs w:val="17"/>
          <w:color w:val="auto"/>
        </w:rPr>
        <w:t>On January 19, 2023, we entered into a revolving $150 million uncommitted receivables purchase agreement with Bank of The West, which was subsequently acquired by BMO in February 2023. This agreement provided for a less expensive form of capital. The discount rate applied to the sold receivables equals a rate per annum equal to the sum of (i) an applicable margin of 1.75%, plus (ii) Term SOFR for a period equal to the discount period which is calculated with respect to the payment terms of the specific receivable. The accounts receivable sold have payment terms ranging between 30 and 60 days, and are related to customer accounts with good credit history. The transfer of the purchased accounts receivable under the agreement is intended to be an absolute and irrevocable transfer constituting a true sale as the transferred receivables have been isolated beyond the reach of the Company and our creditors, even in bankruptcy or other receivership. We do not retain effective control over the sold receivables and BMO has the right upon purchase to pledge and/or exchange the transferred assets without restrictions. The Company acts as collection agent for BMO and collection services are undertaken by our accounts receivable personnel in their normal course of business and collected funds are remitted to BMO. We do not have any continuing involvement with the sold receivables other than the collection services which does not provide us with more than a trivial benefit. The discount rate has been negotiated net of consideration for the collection services, the cost of collection is immaterial to the Company; therefore, we did not separately record any related servicing assets or liabilities related to the sold receivables.</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information in connection with the purchase program (in thousands):</w:t>
      </w:r>
    </w:p>
    <w:p>
      <w:pPr>
        <w:spacing w:after="0" w:line="272"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ind w:left="89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4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receivables sold</w:t>
            </w:r>
            <w:r>
              <w:rPr>
                <w:rFonts w:ascii="Times New Roman" w:cs="Times New Roman" w:eastAsia="Times New Roman" w:hAnsi="Times New Roman"/>
                <w:sz w:val="10"/>
                <w:szCs w:val="10"/>
                <w:color w:val="auto"/>
              </w:rPr>
              <w:t>(1)</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175,692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139,606</w:t>
            </w:r>
          </w:p>
        </w:tc>
      </w:tr>
      <w:tr>
        <w:trPr>
          <w:trHeight w:val="219"/>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received in exchange for trade receivables sold</w:t>
            </w:r>
            <w:r>
              <w:rPr>
                <w:rFonts w:ascii="Times New Roman" w:cs="Times New Roman" w:eastAsia="Times New Roman" w:hAnsi="Times New Roman"/>
                <w:sz w:val="10"/>
                <w:szCs w:val="10"/>
                <w:color w:val="auto"/>
              </w:rPr>
              <w:t>(2)</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174,600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138,829</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sale of receivables</w:t>
            </w:r>
            <w:r>
              <w:rPr>
                <w:rFonts w:ascii="Times New Roman" w:cs="Times New Roman" w:eastAsia="Times New Roman" w:hAnsi="Times New Roman"/>
                <w:sz w:val="10"/>
                <w:szCs w:val="10"/>
                <w:color w:val="auto"/>
              </w:rPr>
              <w:t>(3)</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33" w:lineRule="exact"/>
        <w:rPr>
          <w:sz w:val="20"/>
          <w:szCs w:val="20"/>
          <w:color w:val="auto"/>
        </w:rPr>
      </w:pPr>
    </w:p>
    <w:p>
      <w:pPr>
        <w:ind w:left="220" w:hanging="217"/>
        <w:spacing w:after="0"/>
        <w:tabs>
          <w:tab w:leader="none" w:pos="220"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carrying value of trade receivables sold to BMO.</w:t>
      </w:r>
    </w:p>
    <w:p>
      <w:pPr>
        <w:ind w:left="280" w:hanging="277"/>
        <w:spacing w:after="0" w:line="188" w:lineRule="auto"/>
        <w:tabs>
          <w:tab w:leader="none" w:pos="280"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Cash proceeds received from BMO.</w:t>
      </w:r>
    </w:p>
    <w:p>
      <w:pPr>
        <w:ind w:left="160" w:hanging="157"/>
        <w:spacing w:after="0" w:line="191" w:lineRule="auto"/>
        <w:tabs>
          <w:tab w:leader="none" w:pos="160"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Reflected in other expense, net in our condensed consolidated statement of operations.</w:t>
      </w:r>
    </w:p>
    <w:p>
      <w:pPr>
        <w:spacing w:after="0" w:line="222" w:lineRule="exact"/>
        <w:rPr>
          <w:sz w:val="20"/>
          <w:szCs w:val="20"/>
          <w:color w:val="auto"/>
        </w:rPr>
      </w:pPr>
    </w:p>
    <w:p>
      <w:pPr>
        <w:ind w:right="320" w:firstLine="619"/>
        <w:spacing w:after="0" w:line="264" w:lineRule="auto"/>
        <w:rPr>
          <w:sz w:val="20"/>
          <w:szCs w:val="20"/>
          <w:color w:val="auto"/>
        </w:rPr>
      </w:pPr>
      <w:r>
        <w:rPr>
          <w:rFonts w:ascii="Times New Roman" w:cs="Times New Roman" w:eastAsia="Times New Roman" w:hAnsi="Times New Roman"/>
          <w:sz w:val="17"/>
          <w:szCs w:val="17"/>
          <w:color w:val="auto"/>
        </w:rPr>
        <w:t>As of March 31, 2024 and December 31, 2023, cash remaining to be collected on behalf of BMO was $63.0 million and $75.9 million, respectively, which has been removed from our condensed consolidated balance sheets as of March 31, 2024 and December 31, 2023, respectively and is reflected as cash provided by operating activities in the condensed consolidated statement of cash flows in each respective period. The carrying value of the sold receivables approximated the fair value at March 31, 2024.</w:t>
      </w:r>
    </w:p>
    <w:p>
      <w:pPr>
        <w:spacing w:after="0" w:line="200" w:lineRule="exact"/>
        <w:rPr>
          <w:sz w:val="20"/>
          <w:szCs w:val="20"/>
          <w:color w:val="auto"/>
        </w:rPr>
      </w:pPr>
    </w:p>
    <w:p>
      <w:pPr>
        <w:spacing w:after="0" w:line="2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19"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2. Management’s Discussion and Analysis of Financial Condition and Results of Operations</w:t>
      </w:r>
    </w:p>
    <w:p>
      <w:pPr>
        <w:spacing w:after="0" w:line="217" w:lineRule="exact"/>
        <w:rPr>
          <w:sz w:val="20"/>
          <w:szCs w:val="20"/>
          <w:color w:val="auto"/>
        </w:rPr>
      </w:pPr>
    </w:p>
    <w:p>
      <w:pPr>
        <w:ind w:firstLine="172"/>
        <w:spacing w:after="0" w:line="261"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the condensed consolidated financial statements and accompanying notes in this Quarterly Report on Form 10-Q, as well as the audited consolidated financial statements and related notes thereto included in our 2023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the caption entitled “Forward-Looking Statements” in this section and Part I, Item 1A. “Risk Factors” in our 2023 Annual Report on Form 10-K.</w:t>
      </w:r>
    </w:p>
    <w:p>
      <w:pPr>
        <w:spacing w:after="0" w:line="168" w:lineRule="exact"/>
        <w:rPr>
          <w:sz w:val="20"/>
          <w:szCs w:val="20"/>
          <w:color w:val="auto"/>
        </w:rPr>
      </w:pPr>
    </w:p>
    <w:p>
      <w:pPr>
        <w:ind w:right="380" w:firstLine="172"/>
        <w:spacing w:after="0" w:line="292" w:lineRule="auto"/>
        <w:rPr>
          <w:sz w:val="20"/>
          <w:szCs w:val="20"/>
          <w:color w:val="auto"/>
        </w:rPr>
      </w:pPr>
      <w:r>
        <w:rPr>
          <w:rFonts w:ascii="Times New Roman" w:cs="Times New Roman" w:eastAsia="Times New Roman" w:hAnsi="Times New Roman"/>
          <w:sz w:val="17"/>
          <w:szCs w:val="17"/>
          <w:i w:val="1"/>
          <w:iCs w:val="1"/>
          <w:color w:val="auto"/>
        </w:rPr>
        <w:t>When used in this report, the terms “we,” “us,” and “our” refer to ICU Medical, Inc. ("ICU") and its consolidated subsidiaries included in our condensed consolidated financial statements unless context requires otherwise.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Overview and Highlights</w:t>
      </w:r>
    </w:p>
    <w:p>
      <w:pPr>
        <w:spacing w:after="0" w:line="234"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17"/>
          <w:szCs w:val="17"/>
          <w:color w:val="auto"/>
        </w:rPr>
        <w:t>We develop, manufacture, and sell innovative medical products used in infusion systems, infusion consumables and high-value critical care products used in hospital, alternate site and home care settings. Our team is focused on providing quality, innovation and value to our clinical customers worldwide. Our product portfolio includes ambulatory, syringe, and large volume IV pumps and safety software; dedicated and non-dedicated IV sets, needlefree IV connectors, peripheral IV catheters, and sterile IV solutions; closed system transfer devices and pharmacy compounding systems; as well as a range of respiratory, anesthesia, patient monitoring, and temperature management products.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Products</w:t>
      </w:r>
    </w:p>
    <w:p>
      <w:pPr>
        <w:spacing w:after="0" w:line="247" w:lineRule="exact"/>
        <w:rPr>
          <w:sz w:val="20"/>
          <w:szCs w:val="20"/>
          <w:color w:val="auto"/>
        </w:rPr>
      </w:pPr>
    </w:p>
    <w:p>
      <w:pPr>
        <w:ind w:right="140" w:firstLine="619"/>
        <w:spacing w:after="0" w:line="287" w:lineRule="auto"/>
        <w:rPr>
          <w:sz w:val="20"/>
          <w:szCs w:val="20"/>
          <w:color w:val="auto"/>
        </w:rPr>
      </w:pPr>
      <w:r>
        <w:rPr>
          <w:rFonts w:ascii="Times New Roman" w:cs="Times New Roman" w:eastAsia="Times New Roman" w:hAnsi="Times New Roman"/>
          <w:sz w:val="17"/>
          <w:szCs w:val="17"/>
          <w:color w:val="auto"/>
        </w:rPr>
        <w:t>Our primary product offerings are organized under three business units as listed below. We have presented our financial results in accordance with these business units: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Consumables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Consumables business unit includes Infusion Therapy, Oncology, Vascular Access and Tracheostomy products.</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Infusion Therapy</w:t>
      </w:r>
    </w:p>
    <w:p>
      <w:pPr>
        <w:spacing w:after="0" w:line="247"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Our Infusion Therapy products include non-dedicated infusion sets, extension sets, needle-free connectors, and disinfection caps. Infusion sets used in hospitals and ambulatory clinics consist of flexible sterile tubing running from an IV bag or bottle containing a drug product or solution to a catheter inserted in a patient’s vein that may or may not be used with an infusion pump. Disinfection caps are used to actively disinfect access points into the infusion sets and catheters. Our primary Infusion Therapy products are:</w:t>
      </w:r>
    </w:p>
    <w:p>
      <w:pPr>
        <w:spacing w:after="0" w:line="197" w:lineRule="exact"/>
        <w:rPr>
          <w:sz w:val="20"/>
          <w:szCs w:val="20"/>
          <w:color w:val="auto"/>
        </w:rPr>
      </w:pPr>
    </w:p>
    <w:p>
      <w:pPr>
        <w:ind w:left="1240" w:right="240" w:hanging="309"/>
        <w:spacing w:after="0" w:line="287" w:lineRule="auto"/>
        <w:tabs>
          <w:tab w:leader="none" w:pos="12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Clave™ needlefree products, including the MicroClave, MicroClave Clear, and NanoClave™ brand of connectors, accessories, extension and administration sets used for the administration of IV fluids and medications;</w:t>
      </w:r>
    </w:p>
    <w:p>
      <w:pPr>
        <w:spacing w:after="0" w:line="17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Neutron™ catheter patency device, used to help maintain patency of central venous catheters;</w:t>
      </w:r>
    </w:p>
    <w:p>
      <w:pPr>
        <w:spacing w:after="0" w:line="263"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Tego™ needlefree connector utilized to access catheters for hemodialysis and apheresis applications; and</w:t>
      </w:r>
    </w:p>
    <w:p>
      <w:pPr>
        <w:spacing w:after="0" w:line="215" w:lineRule="exact"/>
        <w:rPr>
          <w:rFonts w:ascii="Arial" w:cs="Arial" w:eastAsia="Arial" w:hAnsi="Arial"/>
          <w:sz w:val="21"/>
          <w:szCs w:val="21"/>
          <w:color w:val="auto"/>
        </w:rPr>
      </w:pPr>
    </w:p>
    <w:p>
      <w:pPr>
        <w:ind w:left="1240" w:hanging="309"/>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ClearGuard™, SwabCap™ and SwabTip™ disinfection caps.</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Oncology</w:t>
      </w:r>
    </w:p>
    <w:p>
      <w:pPr>
        <w:spacing w:after="0" w:line="247" w:lineRule="exact"/>
        <w:rPr>
          <w:sz w:val="20"/>
          <w:szCs w:val="20"/>
          <w:color w:val="auto"/>
        </w:rPr>
      </w:pPr>
    </w:p>
    <w:p>
      <w:pPr>
        <w:ind w:right="120" w:firstLine="619"/>
        <w:spacing w:after="0" w:line="287" w:lineRule="auto"/>
        <w:rPr>
          <w:sz w:val="20"/>
          <w:szCs w:val="20"/>
          <w:color w:val="auto"/>
        </w:rPr>
      </w:pPr>
      <w:r>
        <w:rPr>
          <w:rFonts w:ascii="Times New Roman" w:cs="Times New Roman" w:eastAsia="Times New Roman" w:hAnsi="Times New Roman"/>
          <w:sz w:val="17"/>
          <w:szCs w:val="17"/>
          <w:color w:val="auto"/>
        </w:rPr>
        <w:t>Closed System Transfer Devices ("CSTD") and hazardous drug compounding systems are used to prepare and deliver hazardous IV medications such as those used in chemotherapy, which, if released, can have harmful effects on the healthcare worker and environment. Our primary Oncology products are:</w:t>
      </w:r>
    </w:p>
    <w:p>
      <w:pPr>
        <w:spacing w:after="0" w:line="172" w:lineRule="exact"/>
        <w:rPr>
          <w:sz w:val="20"/>
          <w:szCs w:val="20"/>
          <w:color w:val="auto"/>
        </w:rPr>
      </w:pPr>
    </w:p>
    <w:p>
      <w:pPr>
        <w:ind w:left="1240" w:right="260" w:hanging="309"/>
        <w:spacing w:after="0" w:line="232" w:lineRule="auto"/>
        <w:tabs>
          <w:tab w:leader="none" w:pos="12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ChemoLock</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CSTD, which utilizes a proprietary needlefree connection method, is used for the preparation and administration of hazardous drugs. ChemoLock is used to limit the escape of hazardous drug or vapor</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concentrations, block the transfer of environmental contaminants into the system, and eliminates the risk of needlestick injury;</w:t>
      </w:r>
    </w:p>
    <w:p>
      <w:pPr>
        <w:spacing w:after="0" w:line="238" w:lineRule="exact"/>
        <w:rPr>
          <w:sz w:val="20"/>
          <w:szCs w:val="20"/>
          <w:color w:val="auto"/>
        </w:rPr>
      </w:pPr>
    </w:p>
    <w:p>
      <w:pPr>
        <w:ind w:left="1240" w:right="60" w:hanging="309"/>
        <w:spacing w:after="0" w:line="242" w:lineRule="auto"/>
        <w:tabs>
          <w:tab w:leader="none" w:pos="12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ChemoClave</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an ISO Connection standard and universally compatible CSTD used for the preparation and administration of hazardous drugs. ChemoClave utilizes standard ISO luer locking connections, making it compatible with all brands of needlefree connectors and pump delivery systems. ChemoClave also is used to limit the escape of hazardous drug or vapor concentrations, block the transfer of environmental contaminants into the system, and eliminate the risk of needlestick injury; and</w:t>
      </w:r>
    </w:p>
    <w:p>
      <w:pPr>
        <w:spacing w:after="0" w:line="215"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Deltec® GRIPPER® non-coring needles for portal access.</w:t>
      </w:r>
    </w:p>
    <w:p>
      <w:pPr>
        <w:spacing w:after="0" w:line="243"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The preparation of hazardous drugs typically takes place in a pharmacy where drugs are removed from vials and prepared for delivery to a patient. Those prepared drugs are then transferred to a nursing unit where the chemotherapy is administered via an infusion pump set to a patient. Components of the ChemoClave and ChemoLock product lines are used both in pharmacies and on the nursing floors for the preparation and administration of hazardous drugs.</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Vascular Access</w:t>
      </w:r>
    </w:p>
    <w:p>
      <w:pPr>
        <w:spacing w:after="0" w:line="247"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Our Vascular Access products are used by clinicians to access the patients' bloodstream to deliver fluids and medication or to obtain blood samples. Our primary Vascular Access products are:</w:t>
      </w:r>
    </w:p>
    <w:p>
      <w:pPr>
        <w:spacing w:after="0" w:line="177" w:lineRule="exact"/>
        <w:rPr>
          <w:sz w:val="20"/>
          <w:szCs w:val="20"/>
          <w:color w:val="auto"/>
        </w:rPr>
      </w:pPr>
    </w:p>
    <w:p>
      <w:pPr>
        <w:ind w:left="1240" w:right="120" w:hanging="309"/>
        <w:spacing w:after="0" w:line="287" w:lineRule="auto"/>
        <w:tabs>
          <w:tab w:leader="none" w:pos="12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Jelco® safety and conventional peripheral IV catheters and sharps safety devices for hypodermic injection, designed to help prevent accidental needlestick injury;</w:t>
      </w:r>
    </w:p>
    <w:p>
      <w:pPr>
        <w:spacing w:after="0" w:line="17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Safe-T Wing® venipuncture and blood collection devices;</w:t>
      </w:r>
    </w:p>
    <w:p>
      <w:pPr>
        <w:spacing w:after="0" w:line="24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Port-A-Cath® implantable ports;</w:t>
      </w:r>
    </w:p>
    <w:p>
      <w:pPr>
        <w:spacing w:after="0" w:line="24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Portex® arterial blood sampling syringes;</w:t>
      </w:r>
    </w:p>
    <w:p>
      <w:pPr>
        <w:spacing w:after="0" w:line="24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PowerWand® midline catheters; and</w:t>
      </w:r>
    </w:p>
    <w:p>
      <w:pPr>
        <w:spacing w:after="0" w:line="24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Cleo® subcutaneous infusion catheters and sets.</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Tracheostomy</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tracheostomy products are used in the placement of a secure airway using both surgical and percutaneous insertion techniques. Our primary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Tracheostomy products are:</w:t>
      </w:r>
    </w:p>
    <w:p>
      <w:pPr>
        <w:spacing w:after="0" w:line="226" w:lineRule="exact"/>
        <w:rPr>
          <w:sz w:val="20"/>
          <w:szCs w:val="20"/>
          <w:color w:val="auto"/>
        </w:rPr>
      </w:pPr>
    </w:p>
    <w:p>
      <w:pPr>
        <w:ind w:left="1240" w:right="220" w:hanging="309"/>
        <w:spacing w:after="0" w:line="287" w:lineRule="auto"/>
        <w:tabs>
          <w:tab w:leader="none" w:pos="12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Portex BLUselect® PVC tracheostomy tubes, which feature an inner cannula as well as a Suctionaid option for above the cuff suctioning and vocalization capability;</w:t>
      </w:r>
    </w:p>
    <w:p>
      <w:pPr>
        <w:spacing w:after="0" w:line="177" w:lineRule="exact"/>
        <w:rPr>
          <w:rFonts w:ascii="Times New Roman" w:cs="Times New Roman" w:eastAsia="Times New Roman" w:hAnsi="Times New Roman"/>
          <w:sz w:val="17"/>
          <w:szCs w:val="17"/>
          <w:color w:val="auto"/>
        </w:rPr>
      </w:pPr>
    </w:p>
    <w:p>
      <w:pPr>
        <w:ind w:left="1240" w:right="260" w:hanging="309"/>
        <w:spacing w:after="0" w:line="287" w:lineRule="auto"/>
        <w:tabs>
          <w:tab w:leader="none" w:pos="12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Portex Bivona® silicone tracheostomy tubes, which offer the added benefits of comfort and mobility and come in a variety of configurations suited to meet the clinical needs of neonatal through adult patients; and</w:t>
      </w:r>
    </w:p>
    <w:p>
      <w:pPr>
        <w:spacing w:after="0" w:line="17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Portex BLUperc® percutaneous insertion kits, which allow for safe placement of the tracheostomy tube at the bedside.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Infusion Systems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offer a comprehensive portfolio of infusion pumps, dedicated IV sets, software and professional services to meet the wide range of infusion needs.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primary Infusion System products are:</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Large Volume Pump ("LVP") Hardware:</w:t>
      </w:r>
    </w:p>
    <w:p>
      <w:pPr>
        <w:spacing w:after="0" w:line="247" w:lineRule="exact"/>
        <w:rPr>
          <w:sz w:val="20"/>
          <w:szCs w:val="20"/>
          <w:color w:val="auto"/>
        </w:rPr>
      </w:pPr>
    </w:p>
    <w:p>
      <w:pPr>
        <w:ind w:left="1240" w:hanging="309"/>
        <w:spacing w:after="0" w:line="287" w:lineRule="auto"/>
        <w:tabs>
          <w:tab w:leader="none" w:pos="12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Plum 360™infusion pumps feature a unique delivery system that helps to enhance patient safety and workflow efficiency. The pumps work with PlumSet™ dedicated IV sets that include an air trap to help</w:t>
      </w: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40" w:right="60"/>
        <w:spacing w:after="0" w:line="264" w:lineRule="auto"/>
        <w:rPr>
          <w:sz w:val="20"/>
          <w:szCs w:val="20"/>
          <w:color w:val="auto"/>
        </w:rPr>
      </w:pPr>
      <w:r>
        <w:rPr>
          <w:rFonts w:ascii="Times New Roman" w:cs="Times New Roman" w:eastAsia="Times New Roman" w:hAnsi="Times New Roman"/>
          <w:sz w:val="17"/>
          <w:szCs w:val="17"/>
          <w:color w:val="auto"/>
        </w:rPr>
        <w:t>minimize interruptions and a direct connection to the secondary line that eliminates the risk of setup errors and enables concurrent delivery of two compatible medications through a single line. Plum 360 has been named Best in KLAS for seven years in a row (2018, 2019, 2020, 2023 – Best in KLAS Smart Pump Traditional; 2021, 2022, 2023, 2024 Best in KLAS Smart Pump EMR Integrated) and was the first medical device to be awarded UL Cybersecurity Assurance Program Certification.</w:t>
      </w:r>
    </w:p>
    <w:p>
      <w:pPr>
        <w:spacing w:after="0" w:line="197" w:lineRule="exact"/>
        <w:rPr>
          <w:sz w:val="20"/>
          <w:szCs w:val="20"/>
          <w:color w:val="auto"/>
        </w:rPr>
      </w:pPr>
    </w:p>
    <w:p>
      <w:pPr>
        <w:ind w:left="1240" w:right="40" w:hanging="309"/>
        <w:spacing w:after="0" w:line="270" w:lineRule="auto"/>
        <w:tabs>
          <w:tab w:leader="none" w:pos="12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Plum Duo™ infusion pumps with LifeShield™ safety software are dual channel devices capable of delivering up to four compatible medications at independent rates with a single pump. The Plum Duo combines the award-winning legacy of Plum 360 with modern innovation, including a large touch screen and highly intuitive user interface to help guide users through programming, while streamlining complex tasks.</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Ambulatory Infusion Hardware:</w:t>
      </w:r>
    </w:p>
    <w:p>
      <w:pPr>
        <w:spacing w:after="0" w:line="247" w:lineRule="exact"/>
        <w:rPr>
          <w:sz w:val="20"/>
          <w:szCs w:val="20"/>
          <w:color w:val="auto"/>
        </w:rPr>
      </w:pPr>
    </w:p>
    <w:p>
      <w:pPr>
        <w:ind w:left="1240" w:right="280" w:hanging="309"/>
        <w:spacing w:after="0" w:line="287" w:lineRule="auto"/>
        <w:tabs>
          <w:tab w:leader="none" w:pos="12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CADD™ ambulatory infusion pumps and disposables, including administration sets and medication cassette reservoirs, serve as a single pain management platform across all types of IV pain management therapies and all clinical care areas from the hospital to outpatient treatment.</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Syringe Infusion Hardware:</w:t>
      </w:r>
    </w:p>
    <w:p>
      <w:pPr>
        <w:spacing w:after="0" w:line="247" w:lineRule="exact"/>
        <w:rPr>
          <w:sz w:val="20"/>
          <w:szCs w:val="20"/>
          <w:color w:val="auto"/>
        </w:rPr>
      </w:pPr>
    </w:p>
    <w:p>
      <w:pPr>
        <w:ind w:left="1240" w:right="280" w:hanging="309"/>
        <w:spacing w:after="0" w:line="270" w:lineRule="auto"/>
        <w:tabs>
          <w:tab w:leader="none" w:pos="12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Medfusion™ syringe infusion pumps are designed for the administration of fluids and medication to address the needs of the most vulnerable patients requiring precisely controlled infusion rates. Focused on delivery accuracy, the Medfusion 4000 can deliver from a comprehensive portfolio of syringes to meet syringe pump guidance to deliver medication from the smallest syringe size possible.</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IV Medication Safety Software:</w:t>
      </w:r>
    </w:p>
    <w:p>
      <w:pPr>
        <w:spacing w:after="0" w:line="247" w:lineRule="exact"/>
        <w:rPr>
          <w:sz w:val="20"/>
          <w:szCs w:val="20"/>
          <w:color w:val="auto"/>
        </w:rPr>
      </w:pPr>
    </w:p>
    <w:p>
      <w:pPr>
        <w:ind w:left="1240" w:hanging="309"/>
        <w:spacing w:after="0" w:line="270" w:lineRule="auto"/>
        <w:tabs>
          <w:tab w:leader="none" w:pos="12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ICU Medical MedNet™ software is an enterprise-class medication management platform that can help reduce medication errors, improve quality of care, streamline workflows and maximize revenue capture. ICU Medical MedNet connects our industry-leading Plum 360 smart pumps to a hospital’s EHR, asset tracking systems, and alarm notification platforms to further enhance infusion safety and efficiency.</w:t>
      </w:r>
    </w:p>
    <w:p>
      <w:pPr>
        <w:spacing w:after="0" w:line="191" w:lineRule="exact"/>
        <w:rPr>
          <w:rFonts w:ascii="Times New Roman" w:cs="Times New Roman" w:eastAsia="Times New Roman" w:hAnsi="Times New Roman"/>
          <w:sz w:val="17"/>
          <w:szCs w:val="17"/>
          <w:color w:val="auto"/>
        </w:rPr>
      </w:pPr>
    </w:p>
    <w:p>
      <w:pPr>
        <w:ind w:left="1240" w:right="120" w:hanging="309"/>
        <w:spacing w:after="0" w:line="270" w:lineRule="auto"/>
        <w:tabs>
          <w:tab w:leader="none" w:pos="12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LifeShield™ infusion safety software for Plum Duo infusion pumps is an enterprise-wide platform designed with the input of pharmacists, nurses and administrators to empower health systems to raise the bar in IV performance. The system’s hybrid architecture provides cloud-based functionality to allowing access anywhere with on-premise management providing security and control.</w:t>
      </w:r>
    </w:p>
    <w:p>
      <w:pPr>
        <w:spacing w:after="0" w:line="191" w:lineRule="exact"/>
        <w:rPr>
          <w:rFonts w:ascii="Times New Roman" w:cs="Times New Roman" w:eastAsia="Times New Roman" w:hAnsi="Times New Roman"/>
          <w:sz w:val="17"/>
          <w:szCs w:val="17"/>
          <w:color w:val="auto"/>
        </w:rPr>
      </w:pPr>
    </w:p>
    <w:p>
      <w:pPr>
        <w:ind w:left="1240" w:right="500" w:hanging="309"/>
        <w:spacing w:after="0" w:line="287" w:lineRule="auto"/>
        <w:tabs>
          <w:tab w:leader="none" w:pos="12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PharmGuard™ medication safety software for Medfusion 4000 syringe and CADD-Solis™ pumps allows for customized drug libraries to support the standardization of protocols for medication administration throughout the facility.</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Professional Services:</w:t>
      </w:r>
    </w:p>
    <w:p>
      <w:pPr>
        <w:spacing w:after="0" w:line="247" w:lineRule="exact"/>
        <w:rPr>
          <w:sz w:val="20"/>
          <w:szCs w:val="20"/>
          <w:color w:val="auto"/>
        </w:rPr>
      </w:pPr>
    </w:p>
    <w:p>
      <w:pPr>
        <w:ind w:right="660" w:firstLine="619"/>
        <w:spacing w:after="0" w:line="287" w:lineRule="auto"/>
        <w:rPr>
          <w:sz w:val="20"/>
          <w:szCs w:val="20"/>
          <w:color w:val="auto"/>
        </w:rPr>
      </w:pPr>
      <w:r>
        <w:rPr>
          <w:rFonts w:ascii="Times New Roman" w:cs="Times New Roman" w:eastAsia="Times New Roman" w:hAnsi="Times New Roman"/>
          <w:sz w:val="17"/>
          <w:szCs w:val="17"/>
          <w:color w:val="auto"/>
        </w:rPr>
        <w:t>In addition to the products above, our teams of clinical and technical experts work with customers to develop safe and efficient infusion systems, providing customized and personalized configuration, implementation, and data analytics services to optimize our infusion hardware and software.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Vital Care</w:t>
      </w:r>
    </w:p>
    <w:p>
      <w:pPr>
        <w:spacing w:after="0" w:line="249"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Our Vital Care business unit includes IV Solutions, Hemodynamic Monitoring, General Anesthesia and Respiratory, Temperature Management Solutions and Regional Anesthesia/Pain Management products.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IV Solutions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IV Solutions products include a broad portfolio of injection, irrigation, nutrition and specialty IV solutions including:</w:t>
      </w:r>
    </w:p>
    <w:p>
      <w:pPr>
        <w:spacing w:after="0" w:line="243" w:lineRule="exact"/>
        <w:rPr>
          <w:sz w:val="20"/>
          <w:szCs w:val="20"/>
          <w:color w:val="auto"/>
        </w:rPr>
      </w:pPr>
    </w:p>
    <w:p>
      <w:pPr>
        <w:ind w:left="620" w:right="140" w:firstLine="311"/>
        <w:spacing w:after="0" w:line="287" w:lineRule="auto"/>
        <w:tabs>
          <w:tab w:leader="none" w:pos="1234" w:val="left"/>
        </w:tabs>
        <w:numPr>
          <w:ilvl w:val="0"/>
          <w:numId w:val="3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IV Therapy and Diluents, including Sodium Chloride, Dextrose, Balanced Electrolyte Solutions, Lactated Ringer's, Ringer's, Mannitol, Sodium Chloride/Dextrose and Sterile Water.</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20" w:right="400" w:firstLine="311"/>
        <w:spacing w:after="0" w:line="287" w:lineRule="auto"/>
        <w:tabs>
          <w:tab w:leader="none" w:pos="123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Irrigation, including Sodium Chloride Irrigation, Sterile Water Irrigation, Physiologic Solutions, Ringer's Irrigation, Acetic Acid Irrigation, Glycine Irrigation, Sorbitol-Mannitol Irrigation, Flexible Containers and Pour Bottle Options.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Hemodynamic Monitoring</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Hemodynamic Monitoring products are designed to help clinicians get accurate real-time access to patients’ hemodynamic and cardiac status with an extensive portfolio of monitoring systems and advanced sensors &amp; catheters. Measurements provided by our systems help clinicians determine how well the heart is pumping blood and how efficiently oxygen from the blood is being used by the tissues. Our Hemodynamic Monitoring products include:</w:t>
      </w:r>
    </w:p>
    <w:p>
      <w:pPr>
        <w:spacing w:after="0" w:line="191" w:lineRule="exact"/>
        <w:rPr>
          <w:sz w:val="20"/>
          <w:szCs w:val="20"/>
          <w:color w:val="auto"/>
        </w:rPr>
      </w:pPr>
    </w:p>
    <w:p>
      <w:pPr>
        <w:ind w:left="1240" w:hanging="309"/>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Cogent™ 2-in-1 hemodynamic monitoring system;</w:t>
      </w:r>
    </w:p>
    <w:p>
      <w:pPr>
        <w:spacing w:after="0" w:line="2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CardioFlo™ hemodynamic monitoring system;</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TDQ™ and OptiQ™ cardiac output monitoring catheters;</w:t>
      </w:r>
    </w:p>
    <w:p>
      <w:pPr>
        <w:spacing w:after="0" w:line="10" w:lineRule="exact"/>
        <w:rPr>
          <w:rFonts w:ascii="Times New Roman" w:cs="Times New Roman" w:eastAsia="Times New Roman" w:hAnsi="Times New Roman"/>
          <w:sz w:val="17"/>
          <w:szCs w:val="17"/>
          <w:color w:val="auto"/>
        </w:rPr>
      </w:pPr>
    </w:p>
    <w:p>
      <w:pPr>
        <w:ind w:left="1240" w:hanging="309"/>
        <w:spacing w:after="0" w:line="196" w:lineRule="auto"/>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TriOx</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venous oximetry catheters;</w:t>
      </w:r>
    </w:p>
    <w:p>
      <w:pPr>
        <w:ind w:left="1240" w:hanging="309"/>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Transpac™ blood pressure transducers;</w:t>
      </w:r>
    </w:p>
    <w:p>
      <w:pPr>
        <w:spacing w:after="0" w:line="9"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SafeSet™ closed blood sampling and conservation system; and</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MEDEX® LogiCal® Pressure Monitoring System and components.</w:t>
      </w: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General Anesthesia &amp; Respiratory</w:t>
      </w:r>
    </w:p>
    <w:p>
      <w:pPr>
        <w:spacing w:after="0" w:line="247" w:lineRule="exact"/>
        <w:rPr>
          <w:sz w:val="20"/>
          <w:szCs w:val="20"/>
          <w:color w:val="auto"/>
        </w:rPr>
      </w:pPr>
    </w:p>
    <w:p>
      <w:pPr>
        <w:ind w:right="400" w:firstLine="619"/>
        <w:spacing w:after="0" w:line="287" w:lineRule="auto"/>
        <w:rPr>
          <w:sz w:val="20"/>
          <w:szCs w:val="20"/>
          <w:color w:val="auto"/>
        </w:rPr>
      </w:pPr>
      <w:r>
        <w:rPr>
          <w:rFonts w:ascii="Times New Roman" w:cs="Times New Roman" w:eastAsia="Times New Roman" w:hAnsi="Times New Roman"/>
          <w:sz w:val="17"/>
          <w:szCs w:val="17"/>
          <w:color w:val="auto"/>
        </w:rPr>
        <w:t>We offer a broad range of anesthesia systems and devices and breathing circuits, ventilation, respiratory and specialty airway products that maintain patients’ airways before, during and after surgery. Our primary Anesthesia &amp; Respiratory products are:</w:t>
      </w:r>
    </w:p>
    <w:p>
      <w:pPr>
        <w:spacing w:after="0" w:line="177" w:lineRule="exact"/>
        <w:rPr>
          <w:sz w:val="20"/>
          <w:szCs w:val="20"/>
          <w:color w:val="auto"/>
        </w:rPr>
      </w:pPr>
    </w:p>
    <w:p>
      <w:pPr>
        <w:ind w:left="1240" w:right="480" w:hanging="309"/>
        <w:spacing w:after="0" w:line="287" w:lineRule="auto"/>
        <w:tabs>
          <w:tab w:leader="none" w:pos="12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Portex® acapella® bronchial hygiene products used to mobilize pulmonary secretions to facilitate the opening of airways in patients with chronic respiratory diseases such as chronic obstructive pulmonary disease, or COPD, asthma and cystic fibrosis.</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Temperature Management Solutions</w:t>
      </w:r>
    </w:p>
    <w:p>
      <w:pPr>
        <w:spacing w:after="0" w:line="247" w:lineRule="exact"/>
        <w:rPr>
          <w:sz w:val="20"/>
          <w:szCs w:val="20"/>
          <w:color w:val="auto"/>
        </w:rPr>
      </w:pPr>
    </w:p>
    <w:p>
      <w:pPr>
        <w:ind w:right="340" w:firstLine="619"/>
        <w:spacing w:after="0" w:line="287" w:lineRule="auto"/>
        <w:rPr>
          <w:sz w:val="20"/>
          <w:szCs w:val="20"/>
          <w:color w:val="auto"/>
        </w:rPr>
      </w:pPr>
      <w:r>
        <w:rPr>
          <w:rFonts w:ascii="Times New Roman" w:cs="Times New Roman" w:eastAsia="Times New Roman" w:hAnsi="Times New Roman"/>
          <w:sz w:val="17"/>
          <w:szCs w:val="17"/>
          <w:color w:val="auto"/>
        </w:rPr>
        <w:t>Temperature Management solutions systems are used in perioperative and critical care settings to help monitor and regulate patient temperature. Our primary Temperature Management products include:</w:t>
      </w:r>
    </w:p>
    <w:p>
      <w:pPr>
        <w:spacing w:after="0" w:line="177" w:lineRule="exact"/>
        <w:rPr>
          <w:sz w:val="20"/>
          <w:szCs w:val="20"/>
          <w:color w:val="auto"/>
        </w:rPr>
      </w:pPr>
    </w:p>
    <w:p>
      <w:pPr>
        <w:ind w:left="1240" w:right="20" w:hanging="309"/>
        <w:spacing w:after="0" w:line="287" w:lineRule="auto"/>
        <w:tabs>
          <w:tab w:leader="none" w:pos="123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rapid infusion, fluid warming, routine blood and fluid warming, irrigation fluid warming, convective patient warming and temperature probes.</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Regional Anesthesia/Pain Management Trays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offer a comprehensive range of Portex® regional anesthesia/pain management trays and components. Our primary products include:</w:t>
      </w:r>
    </w:p>
    <w:p>
      <w:pPr>
        <w:spacing w:after="0" w:line="230" w:lineRule="exact"/>
        <w:rPr>
          <w:sz w:val="20"/>
          <w:szCs w:val="20"/>
          <w:color w:val="auto"/>
        </w:rPr>
      </w:pPr>
    </w:p>
    <w:p>
      <w:pPr>
        <w:ind w:left="1240" w:hanging="309"/>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Epidural Trays;</w:t>
      </w:r>
    </w:p>
    <w:p>
      <w:pPr>
        <w:spacing w:after="0" w:line="2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Spinal Trays;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Combined (CSE) Trays;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Peripheral Nerve Block Trays; and</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Specialty Trays (Lumbar Puncture, Amniocentesis, Myelogram).</w:t>
      </w:r>
    </w:p>
    <w:p>
      <w:pPr>
        <w:spacing w:after="0" w:line="226" w:lineRule="exact"/>
        <w:rPr>
          <w:sz w:val="20"/>
          <w:szCs w:val="20"/>
          <w:color w:val="auto"/>
        </w:rPr>
      </w:pPr>
    </w:p>
    <w:p>
      <w:pPr>
        <w:ind w:right="140" w:firstLine="619"/>
        <w:spacing w:after="0" w:line="270" w:lineRule="auto"/>
        <w:rPr>
          <w:sz w:val="20"/>
          <w:szCs w:val="20"/>
          <w:color w:val="auto"/>
        </w:rPr>
      </w:pPr>
      <w:r>
        <w:rPr>
          <w:rFonts w:ascii="Times New Roman" w:cs="Times New Roman" w:eastAsia="Times New Roman" w:hAnsi="Times New Roman"/>
          <w:sz w:val="17"/>
          <w:szCs w:val="17"/>
          <w:color w:val="auto"/>
        </w:rPr>
        <w:t>In the U.S. a substantial amount of our products are sold to group purchasing organization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Supply Constraints, Global Economic Conditions</w:t>
      </w:r>
    </w:p>
    <w:p>
      <w:pPr>
        <w:spacing w:after="0" w:line="234" w:lineRule="exact"/>
        <w:rPr>
          <w:sz w:val="20"/>
          <w:szCs w:val="20"/>
          <w:color w:val="auto"/>
        </w:rPr>
      </w:pPr>
    </w:p>
    <w:p>
      <w:pPr>
        <w:ind w:right="420" w:firstLine="619"/>
        <w:spacing w:after="0" w:line="271" w:lineRule="auto"/>
        <w:rPr>
          <w:sz w:val="20"/>
          <w:szCs w:val="20"/>
          <w:color w:val="auto"/>
        </w:rPr>
      </w:pPr>
      <w:r>
        <w:rPr>
          <w:rFonts w:ascii="Times New Roman" w:cs="Times New Roman" w:eastAsia="Times New Roman" w:hAnsi="Times New Roman"/>
          <w:sz w:val="17"/>
          <w:szCs w:val="17"/>
          <w:color w:val="auto"/>
        </w:rPr>
        <w:t>We have experienced and may continute to experience significant impacts to our business as a result of global economic challenges, resulting from, among other events, the COVID-19 pandemic and the ongoing conflicts in Eastern Europe</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7"/>
          <w:szCs w:val="17"/>
          <w:color w:val="auto"/>
        </w:rPr>
        <w:t>and the Middle East. These impacts, which negatively impacted our gross profit margin during 2023, included the impact of rising inflation, especially with respect to freight costs driven by higher fuel prices, increased cost and shortages of raw materials, and supply chain disruptions. While we expect the pressure on the supply chain to lessen and inflation to continue to subside during 2024, freight costs are expected to remain subject to volatility in the market. We also expect rising interest rates and foreign currency impact due to the strengthening of the U.S. dollar and Mexican peso that impacted our 2023 financial results to continue to impact our results of operations in 2024.</w:t>
      </w:r>
    </w:p>
    <w:p>
      <w:pPr>
        <w:spacing w:after="0" w:line="201" w:lineRule="exact"/>
        <w:rPr>
          <w:sz w:val="20"/>
          <w:szCs w:val="20"/>
          <w:color w:val="auto"/>
        </w:rPr>
      </w:pPr>
    </w:p>
    <w:p>
      <w:pPr>
        <w:ind w:right="160" w:firstLine="619"/>
        <w:spacing w:after="0" w:line="241" w:lineRule="auto"/>
        <w:rPr>
          <w:sz w:val="20"/>
          <w:szCs w:val="20"/>
          <w:color w:val="auto"/>
        </w:rPr>
      </w:pPr>
      <w:r>
        <w:rPr>
          <w:rFonts w:ascii="Times New Roman" w:cs="Times New Roman" w:eastAsia="Times New Roman" w:hAnsi="Times New Roman"/>
          <w:sz w:val="17"/>
          <w:szCs w:val="17"/>
          <w:color w:val="auto"/>
        </w:rPr>
        <w:t>While we continually monitor the ongoing and evolving impact of the above events on our operations the overall impact remains uncertain and may not be fully reflected in our results of operations until future periods. The overall impact to our results of operations will depend on a number of factors, many of which are out of our control, none of which can be fully predicted at this time. See “Part I. Item 1A. Risk Factors: Heightened inflation, higher interest rates and foreign currency rate fluctuations as a result of global macroeconomic and geopolitical conditions have had and could in the future have a material adverse effect on our operations” in our 2023 Annual Report on Form 10-K for a discussion of risks and uncertainties.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Results of Operations</w:t>
      </w:r>
    </w:p>
    <w:p>
      <w:pPr>
        <w:spacing w:after="0" w:line="247" w:lineRule="exact"/>
        <w:rPr>
          <w:sz w:val="20"/>
          <w:szCs w:val="20"/>
          <w:color w:val="auto"/>
        </w:rPr>
      </w:pPr>
    </w:p>
    <w:p>
      <w:pPr>
        <w:ind w:right="240" w:firstLine="169"/>
        <w:spacing w:after="0" w:line="287" w:lineRule="auto"/>
        <w:rPr>
          <w:sz w:val="20"/>
          <w:szCs w:val="20"/>
          <w:color w:val="auto"/>
        </w:rPr>
      </w:pPr>
      <w:r>
        <w:rPr>
          <w:rFonts w:ascii="Times New Roman" w:cs="Times New Roman" w:eastAsia="Times New Roman" w:hAnsi="Times New Roman"/>
          <w:sz w:val="17"/>
          <w:szCs w:val="17"/>
          <w:color w:val="auto"/>
        </w:rPr>
        <w:t>We present income statement data in Part I, Item 1. "Financial Statements." The following table shows, for the three months ended March 31, 2024 and 2023, the percentages of each income statement caption in relation to total revenue:</w:t>
      </w:r>
    </w:p>
    <w:p>
      <w:pPr>
        <w:spacing w:after="0" w:line="64"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ind w:left="934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19"/>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34 %</w:t>
            </w:r>
          </w:p>
        </w:tc>
      </w:tr>
      <w:tr>
        <w:trPr>
          <w:trHeight w:val="219"/>
        </w:trPr>
        <w:tc>
          <w:tcPr>
            <w:tcW w:w="9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r>
      <w:tr>
        <w:trPr>
          <w:trHeight w:val="219"/>
        </w:trPr>
        <w:tc>
          <w:tcPr>
            <w:tcW w:w="91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19"/>
        </w:trPr>
        <w:tc>
          <w:tcPr>
            <w:tcW w:w="9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Restructuring, strategic transaction and integration expenses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219"/>
        </w:trPr>
        <w:tc>
          <w:tcPr>
            <w:tcW w:w="91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Change in fair value of contingent earn-out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2"/>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32 %</w:t>
            </w: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Income from operations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219"/>
        </w:trPr>
        <w:tc>
          <w:tcPr>
            <w:tcW w:w="9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 net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9"/>
        </w:trPr>
        <w:tc>
          <w:tcPr>
            <w:tcW w:w="91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Other expense, net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2"/>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Benefit for income taxes</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32"/>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Seasonality/Quarterly Results</w:t>
      </w:r>
    </w:p>
    <w:p>
      <w:pPr>
        <w:spacing w:after="0" w:line="249"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There are no significant seasonal aspects to our business. We can experience fluctuations in net sales as a result of variations in the ordering patterns of our largest customers, which may be driven more by production scheduling and customer inventory levels, and less by seasonality. Our expenses often do not fluctuate in the same manner as net sales, which may cause fluctuations in operating income that are disproportionate to fluctuations in our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Measures</w:t>
      </w:r>
    </w:p>
    <w:p>
      <w:pPr>
        <w:spacing w:after="0" w:line="223"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In addition to comparing changes in revenue on a U.S. GAAP basis, we also compare the changes in revenue from one period to another using constant currency. The presentation of revenues on a constant currency basis is a non-GAAP financial measure that excludes the impact of fluctuations in foreign currency exchange rates that occurred between the comparative periods. We provide constant currency information to enhance the visibility of underlying business trends, excluding the effects of changes in foreign currency translation rates. We believe this information is useful to investors to facilitate comparisons and better identify trends in our business. Our constant currency revenues reflect current period local currency revenues at prior period's average exchange rates. We consistently apply this approach to revenues for all currencies where the functional currency is not the U.S. dollar.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Consumables</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our total Consumables revenue (in millions, except percentages):</w:t>
      </w:r>
    </w:p>
    <w:p>
      <w:pPr>
        <w:spacing w:after="0" w:line="12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6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5"/>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20" w:type="dxa"/>
            <w:vAlign w:val="bottom"/>
          </w:tcPr>
          <w:p>
            <w:pPr>
              <w:spacing w:after="0"/>
              <w:rPr>
                <w:sz w:val="15"/>
                <w:szCs w:val="15"/>
                <w:color w:val="auto"/>
              </w:rPr>
            </w:pPr>
          </w:p>
        </w:tc>
      </w:tr>
      <w:tr>
        <w:trPr>
          <w:trHeight w:val="205"/>
        </w:trPr>
        <w:tc>
          <w:tcPr>
            <w:tcW w:w="66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220" w:type="dxa"/>
            <w:vAlign w:val="bottom"/>
            <w:tcBorders>
              <w:bottom w:val="single" w:sz="8" w:color="auto"/>
            </w:tcBorders>
          </w:tcPr>
          <w:p>
            <w:pPr>
              <w:spacing w:after="0"/>
              <w:rPr>
                <w:sz w:val="17"/>
                <w:szCs w:val="17"/>
                <w:color w:val="auto"/>
              </w:rPr>
            </w:pPr>
          </w:p>
        </w:tc>
      </w:tr>
      <w:tr>
        <w:trPr>
          <w:trHeight w:val="199"/>
        </w:trPr>
        <w:tc>
          <w:tcPr>
            <w:tcW w:w="6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22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00"/>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Consumables revenue (GAAP)</w:t>
            </w: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236.1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3.4 %</w:t>
            </w: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Impact of foreign currency exchange rate changes</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Consumables revenue on a constant currency basis (non-GAAP)</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3.5 %</w:t>
            </w:r>
          </w:p>
        </w:tc>
      </w:tr>
    </w:tbl>
    <w:p>
      <w:pPr>
        <w:spacing w:after="0" w:line="267"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Consumables revenue increased for the three months ended March 31, 2024, as compared to the same period in the prior year, primarily due to growth in our Vascular Access and Oncology product lines.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Infusion Systems</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our total Infusion Systems revenue (in millions, except percentages):</w:t>
      </w:r>
    </w:p>
    <w:p>
      <w:pPr>
        <w:spacing w:after="0" w:line="35"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6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5"/>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20" w:type="dxa"/>
            <w:vAlign w:val="bottom"/>
          </w:tcPr>
          <w:p>
            <w:pPr>
              <w:spacing w:after="0"/>
              <w:rPr>
                <w:sz w:val="15"/>
                <w:szCs w:val="15"/>
                <w:color w:val="auto"/>
              </w:rPr>
            </w:pPr>
          </w:p>
        </w:tc>
      </w:tr>
      <w:tr>
        <w:trPr>
          <w:trHeight w:val="205"/>
        </w:trPr>
        <w:tc>
          <w:tcPr>
            <w:tcW w:w="66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220" w:type="dxa"/>
            <w:vAlign w:val="bottom"/>
            <w:tcBorders>
              <w:bottom w:val="single" w:sz="8" w:color="auto"/>
            </w:tcBorders>
          </w:tcPr>
          <w:p>
            <w:pPr>
              <w:spacing w:after="0"/>
              <w:rPr>
                <w:sz w:val="17"/>
                <w:szCs w:val="17"/>
                <w:color w:val="auto"/>
              </w:rPr>
            </w:pPr>
          </w:p>
        </w:tc>
      </w:tr>
      <w:tr>
        <w:trPr>
          <w:trHeight w:val="199"/>
        </w:trPr>
        <w:tc>
          <w:tcPr>
            <w:tcW w:w="6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22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00"/>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Infusion Systems (GAAP)</w:t>
            </w: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203"/>
        </w:trPr>
        <w:tc>
          <w:tcPr>
            <w:tcW w:w="6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Impact of foreign currency exchange rate changes</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Infusion Systems on a constant currency basis (non-GAAP)</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0.4 %</w:t>
            </w:r>
          </w:p>
        </w:tc>
      </w:tr>
    </w:tbl>
    <w:p>
      <w:pPr>
        <w:spacing w:after="0" w:line="280"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Infusion Systems revenue decreased for the three months ended March 31, 2024, as compared to the same period in the prior year, primarily due to the impact of foreign currency exchange rate changes and lower LVP and ambulatory hardware sales, partially offset by higher sales of LVP dedicated sets and syringe pumps.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Vital Care</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our total Vital Care revenue (in millions, except percentages):</w:t>
      </w:r>
    </w:p>
    <w:p>
      <w:pPr>
        <w:spacing w:after="0" w:line="125"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6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5"/>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20" w:type="dxa"/>
            <w:vAlign w:val="bottom"/>
          </w:tcPr>
          <w:p>
            <w:pPr>
              <w:spacing w:after="0"/>
              <w:rPr>
                <w:sz w:val="15"/>
                <w:szCs w:val="15"/>
                <w:color w:val="auto"/>
              </w:rPr>
            </w:pPr>
          </w:p>
        </w:tc>
      </w:tr>
      <w:tr>
        <w:trPr>
          <w:trHeight w:val="205"/>
        </w:trPr>
        <w:tc>
          <w:tcPr>
            <w:tcW w:w="67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220" w:type="dxa"/>
            <w:vAlign w:val="bottom"/>
            <w:tcBorders>
              <w:bottom w:val="single" w:sz="8" w:color="auto"/>
            </w:tcBorders>
          </w:tcPr>
          <w:p>
            <w:pPr>
              <w:spacing w:after="0"/>
              <w:rPr>
                <w:sz w:val="17"/>
                <w:szCs w:val="17"/>
                <w:color w:val="auto"/>
              </w:rPr>
            </w:pPr>
          </w:p>
        </w:tc>
      </w:tr>
      <w:tr>
        <w:trPr>
          <w:trHeight w:val="199"/>
        </w:trPr>
        <w:tc>
          <w:tcPr>
            <w:tcW w:w="6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22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00"/>
        </w:trPr>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Vital Care (GAAP)</w:t>
            </w: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165.3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203"/>
        </w:trPr>
        <w:tc>
          <w:tcPr>
            <w:tcW w:w="6720" w:type="dxa"/>
            <w:vAlign w:val="bottom"/>
          </w:tcPr>
          <w:p>
            <w:pPr>
              <w:spacing w:after="0"/>
              <w:rPr>
                <w:sz w:val="20"/>
                <w:szCs w:val="20"/>
                <w:color w:val="auto"/>
              </w:rPr>
            </w:pPr>
            <w:r>
              <w:rPr>
                <w:rFonts w:ascii="Times New Roman" w:cs="Times New Roman" w:eastAsia="Times New Roman" w:hAnsi="Times New Roman"/>
                <w:sz w:val="15"/>
                <w:szCs w:val="15"/>
                <w:color w:val="auto"/>
              </w:rPr>
              <w:t>Impact of foreign currency exchange rate changes</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0.9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Vital Care on a constant currency basis (non-GAAP)</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r>
    </w:tbl>
    <w:p>
      <w:pPr>
        <w:spacing w:after="0" w:line="26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Vital Care revenue decreased for the three months ended March 31, 2024, as compared to the same period in the prior year, primarily due to lower sales of Critical Care products in certain geographies and lower Temperature Management sales. IV Solutions sales were flat compared to the same prior year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Gross Margins</w:t>
      </w:r>
    </w:p>
    <w:p>
      <w:pPr>
        <w:spacing w:after="0" w:line="236" w:lineRule="exact"/>
        <w:rPr>
          <w:sz w:val="20"/>
          <w:szCs w:val="20"/>
          <w:color w:val="auto"/>
        </w:rPr>
      </w:pPr>
    </w:p>
    <w:p>
      <w:pPr>
        <w:ind w:right="100" w:firstLine="172"/>
        <w:spacing w:after="0" w:line="248" w:lineRule="auto"/>
        <w:rPr>
          <w:sz w:val="20"/>
          <w:szCs w:val="20"/>
          <w:color w:val="auto"/>
        </w:rPr>
      </w:pPr>
      <w:r>
        <w:rPr>
          <w:rFonts w:ascii="Times New Roman" w:cs="Times New Roman" w:eastAsia="Times New Roman" w:hAnsi="Times New Roman"/>
          <w:sz w:val="17"/>
          <w:szCs w:val="17"/>
          <w:color w:val="auto"/>
        </w:rPr>
        <w:t>For the three months ended March 31, 2024 and 2023, gross margins were 32.7% and 33.8%, respectively. The decrease in gross margin for the three months ended March 31, 2024, as compared to the same period in the prior year, was primarily driven by lower manufacturing absorption from lower production volumes and the impact of foreign currency exchange rate changes, particularly the strength of the Mexican Peso. These were partially offset by lower quality remediation spend, price increases, and lower supply chain and freight costs in the three months ended March 31, 2024 compared to the same prior year period in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(“SG&amp;A”) Expenses</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our total SG&amp;A Expenses (in millions, except percentages):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2"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5"/>
          <w:szCs w:val="15"/>
          <w:b w:val="1"/>
          <w:bCs w:val="1"/>
          <w:color w:val="auto"/>
        </w:rPr>
        <w:t>March 31,</w:t>
      </w:r>
    </w:p>
    <w:p>
      <w:pPr>
        <w:spacing w:after="0" w:line="11" w:lineRule="exact"/>
        <w:rPr>
          <w:sz w:val="20"/>
          <w:szCs w:val="20"/>
          <w:color w:val="auto"/>
        </w:rPr>
      </w:pPr>
    </w:p>
    <w:tbl>
      <w:tblPr>
        <w:tblLayout w:type="fixed"/>
        <w:tblInd w:w="180" w:type="dxa"/>
        <w:tblCellMar>
          <w:top w:w="0" w:type="dxa"/>
          <w:left w:w="0" w:type="dxa"/>
          <w:bottom w:w="0" w:type="dxa"/>
          <w:right w:w="0" w:type="dxa"/>
        </w:tblCellMar>
      </w:tblPr>
      <w:tr>
        <w:trPr>
          <w:trHeight w:val="204"/>
        </w:trPr>
        <w:tc>
          <w:tcPr>
            <w:tcW w:w="60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240" w:type="dxa"/>
            <w:vAlign w:val="bottom"/>
            <w:tcBorders>
              <w:top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00"/>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SG&amp;A</w:t>
            </w: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3.3 %</w:t>
            </w:r>
          </w:p>
        </w:tc>
      </w:tr>
    </w:tbl>
    <w:p>
      <w:pPr>
        <w:spacing w:after="0" w:line="267" w:lineRule="exact"/>
        <w:rPr>
          <w:sz w:val="20"/>
          <w:szCs w:val="20"/>
          <w:color w:val="auto"/>
        </w:rPr>
      </w:pPr>
    </w:p>
    <w:p>
      <w:pPr>
        <w:ind w:right="100" w:firstLine="619"/>
        <w:spacing w:after="0" w:line="258" w:lineRule="auto"/>
        <w:rPr>
          <w:sz w:val="20"/>
          <w:szCs w:val="20"/>
          <w:color w:val="auto"/>
        </w:rPr>
      </w:pPr>
      <w:r>
        <w:rPr>
          <w:rFonts w:ascii="Times New Roman" w:cs="Times New Roman" w:eastAsia="Times New Roman" w:hAnsi="Times New Roman"/>
          <w:sz w:val="17"/>
          <w:szCs w:val="17"/>
          <w:color w:val="auto"/>
        </w:rPr>
        <w:t>SG&amp;A expenses increased for the three months ended March 31, 2024, as compared to the same period in the prior year, primarily due to increases of $3.3 million in compensation costs and commissions, $2.2 million in stock based compensation and $2.2 million in dealer fees. These increases were partially offset by an decrease of $3.4 million in IT expenses. Compensation costs and commissions increased primarily due to an increase in cash incentive compensation including sales commissions. Stock based compensation increased due to (i) changes in the number of shares expected to vest for certain of our executive performance awards; (ii) later timing of certain annual awards granted in the prior year that were subject to shareholder approval of an increase to the number of issuable shares to employees under our equity plan and (iii) the stock compensation expense related to the employees of Smiths Medical included the expense of three years of grants in the current year as compared to the expense of two years of grants in the prior year. Dealer fees increased due to an increase in revenues to distributors. IT expenses decreased based on current operating needs.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(“R&amp;D”) Expenses</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our total R&amp;D Expenses (in millions, except percentages):</w:t>
      </w:r>
    </w:p>
    <w:p>
      <w:pPr>
        <w:spacing w:after="0" w:line="140"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2"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5"/>
          <w:szCs w:val="15"/>
          <w:b w:val="1"/>
          <w:bCs w:val="1"/>
          <w:color w:val="auto"/>
        </w:rPr>
        <w:t>March 31,</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632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22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00"/>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R&amp;D</w:t>
            </w:r>
          </w:p>
        </w:tc>
        <w:tc>
          <w:tcPr>
            <w:tcW w:w="740" w:type="dxa"/>
            <w:vAlign w:val="bottom"/>
            <w:tcBorders>
              <w:top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21.8</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10.1 %</w:t>
            </w:r>
          </w:p>
        </w:tc>
      </w:tr>
    </w:tbl>
    <w:p>
      <w:pPr>
        <w:spacing w:after="0" w:line="280"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R&amp;D expenses increased for the three months ended March 31, 2024, as compared to the same period in the prior year. R&amp;D expenses during both periods primarily related to headcount and employment expense in support of ongoing R&amp;D projects. R&amp;D expenses for both periods presented generally included compensation and benefit expenses, consulting fees, production supplies, samples, travel costs, utilities and other miscellaneous administrative costs incurred in our ongoing R&amp;D projects.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Restructuring, Strategic Transaction and Integration Expenses</w:t>
      </w:r>
    </w:p>
    <w:p>
      <w:pPr>
        <w:spacing w:after="0" w:line="249" w:lineRule="exact"/>
        <w:rPr>
          <w:sz w:val="20"/>
          <w:szCs w:val="20"/>
          <w:color w:val="auto"/>
        </w:rPr>
      </w:pPr>
    </w:p>
    <w:p>
      <w:pPr>
        <w:ind w:right="580" w:firstLine="172"/>
        <w:spacing w:after="0" w:line="287" w:lineRule="auto"/>
        <w:rPr>
          <w:sz w:val="20"/>
          <w:szCs w:val="20"/>
          <w:color w:val="auto"/>
        </w:rPr>
      </w:pPr>
      <w:r>
        <w:rPr>
          <w:rFonts w:ascii="Times New Roman" w:cs="Times New Roman" w:eastAsia="Times New Roman" w:hAnsi="Times New Roman"/>
          <w:sz w:val="17"/>
          <w:szCs w:val="17"/>
          <w:color w:val="auto"/>
        </w:rPr>
        <w:t>Restructuring, strategic transaction and integration expenses were $16.1 million and $11.0 million for the three months ended March 31, 2024 and 2023,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Restructuring charges</w:t>
      </w:r>
    </w:p>
    <w:p>
      <w:pPr>
        <w:spacing w:after="0" w:line="247" w:lineRule="exact"/>
        <w:rPr>
          <w:sz w:val="20"/>
          <w:szCs w:val="20"/>
          <w:color w:val="auto"/>
        </w:rPr>
      </w:pPr>
    </w:p>
    <w:p>
      <w:pPr>
        <w:ind w:right="200" w:firstLine="172"/>
        <w:spacing w:after="0" w:line="258" w:lineRule="auto"/>
        <w:rPr>
          <w:sz w:val="20"/>
          <w:szCs w:val="20"/>
          <w:color w:val="auto"/>
        </w:rPr>
      </w:pPr>
      <w:r>
        <w:rPr>
          <w:rFonts w:ascii="Times New Roman" w:cs="Times New Roman" w:eastAsia="Times New Roman" w:hAnsi="Times New Roman"/>
          <w:sz w:val="17"/>
          <w:szCs w:val="17"/>
          <w:color w:val="auto"/>
        </w:rPr>
        <w:t>Restructuring charges were $5.3 million and $2.7 million for the three months ended March 31, 2024 and 2023, respectively, and were primarily related to severance costs. The restructuring charges for the three months ended March 31, 2023 is net of $0.9 million related to facility closures costs and severance costs that were reversed during the three months ended March 31, 2023. As of March 31, 2024, we expect to pay the majority of our outstanding restructuring charges during the remainder of 2024 and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Strategic transaction and integration expenses</w:t>
      </w:r>
    </w:p>
    <w:p>
      <w:pPr>
        <w:spacing w:after="0" w:line="226" w:lineRule="exact"/>
        <w:rPr>
          <w:sz w:val="20"/>
          <w:szCs w:val="20"/>
          <w:color w:val="auto"/>
        </w:rPr>
      </w:pPr>
    </w:p>
    <w:p>
      <w:pPr>
        <w:ind w:firstLine="172"/>
        <w:spacing w:after="0" w:line="270" w:lineRule="auto"/>
        <w:rPr>
          <w:sz w:val="20"/>
          <w:szCs w:val="20"/>
          <w:color w:val="auto"/>
        </w:rPr>
      </w:pPr>
      <w:r>
        <w:rPr>
          <w:rFonts w:ascii="Times New Roman" w:cs="Times New Roman" w:eastAsia="Times New Roman" w:hAnsi="Times New Roman"/>
          <w:sz w:val="17"/>
          <w:szCs w:val="17"/>
          <w:color w:val="auto"/>
        </w:rPr>
        <w:t>Strategic transaction and integration expenses were $10.8 million and $8.3 million for the three months ended March 31, 2024 and 2023, respectively. The strategic transaction and integration expenses during the three months ended March 31, 2024 and 2023 were primarily related to consulting expenses and employee costs incurred to integrate our Smiths Medical business acquired in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Contingent Earn-out</w:t>
      </w:r>
    </w:p>
    <w:p>
      <w:pPr>
        <w:spacing w:after="0" w:line="249" w:lineRule="exact"/>
        <w:rPr>
          <w:sz w:val="20"/>
          <w:szCs w:val="20"/>
          <w:color w:val="auto"/>
        </w:rPr>
      </w:pPr>
    </w:p>
    <w:p>
      <w:pPr>
        <w:jc w:val="both"/>
        <w:ind w:right="180" w:firstLine="619"/>
        <w:spacing w:after="0" w:line="270" w:lineRule="auto"/>
        <w:rPr>
          <w:sz w:val="20"/>
          <w:szCs w:val="20"/>
          <w:color w:val="auto"/>
        </w:rPr>
      </w:pPr>
      <w:r>
        <w:rPr>
          <w:rFonts w:ascii="Times New Roman" w:cs="Times New Roman" w:eastAsia="Times New Roman" w:hAnsi="Times New Roman"/>
          <w:sz w:val="17"/>
          <w:szCs w:val="17"/>
          <w:color w:val="auto"/>
        </w:rPr>
        <w:t>For the three months ended March 31, 2024 and 2023, we recorded a loss of $0.3 million and a gain of $0.7 million, respectively, related to a change in the fair value of contingent earn-out related to the Smiths Medical acquisition. During the three months ended March 31, 2024 and 2023, the change in fair value of the Smiths Medical contingent earn-out was driven by changes in our stock price.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net</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interest expense, net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00" w:type="dxa"/>
            <w:vAlign w:val="bottom"/>
            <w:gridSpan w:val="4"/>
          </w:tcPr>
          <w:p>
            <w:pPr>
              <w:jc w:val="right"/>
              <w:ind w:right="616"/>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9"/>
        </w:trPr>
        <w:tc>
          <w:tcPr>
            <w:tcW w:w="84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960" w:type="dxa"/>
            <w:vAlign w:val="bottom"/>
            <w:tcBorders>
              <w:bottom w:val="single" w:sz="8" w:color="auto"/>
            </w:tcBorders>
          </w:tcPr>
          <w:p>
            <w:pPr>
              <w:spacing w:after="0"/>
              <w:rPr>
                <w:sz w:val="18"/>
                <w:szCs w:val="18"/>
                <w:color w:val="auto"/>
              </w:rPr>
            </w:pPr>
          </w:p>
        </w:tc>
      </w:tr>
      <w:tr>
        <w:trPr>
          <w:trHeight w:val="201"/>
        </w:trPr>
        <w:tc>
          <w:tcPr>
            <w:tcW w:w="84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13"/>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(26,417)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(24,266)</w:t>
            </w:r>
          </w:p>
        </w:tc>
      </w:tr>
      <w:tr>
        <w:trPr>
          <w:trHeight w:val="219"/>
        </w:trPr>
        <w:tc>
          <w:tcPr>
            <w:tcW w:w="8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1,751</w:t>
            </w:r>
          </w:p>
        </w:tc>
      </w:tr>
      <w:tr>
        <w:trPr>
          <w:trHeight w:val="237"/>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(23,772)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(22,515)</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60" w:firstLine="172"/>
        <w:spacing w:after="0" w:line="261" w:lineRule="auto"/>
        <w:rPr>
          <w:sz w:val="20"/>
          <w:szCs w:val="20"/>
          <w:color w:val="auto"/>
        </w:rPr>
      </w:pPr>
      <w:r>
        <w:rPr>
          <w:rFonts w:ascii="Times New Roman" w:cs="Times New Roman" w:eastAsia="Times New Roman" w:hAnsi="Times New Roman"/>
          <w:sz w:val="17"/>
          <w:szCs w:val="17"/>
          <w:color w:val="auto"/>
        </w:rPr>
        <w:t>Interest expense, net for the three months ended March 31, 2024 and 2023 primarily included the contractual interest incurred on borrowings under the Credit Agreement, the per annum commitment fee charged on the available amount of the revolving credit facility contained in the Credit Agreement, the amortization of debt issuance costs incurred in connection with entering into the Credit Agreement (see Note 16: Long-Term Debt in our accompanying condensed consolidated financial statements) and the impact of the interest rate swaps. The interest expense increased for the three months ended March 31, 2024, as compared to March 31, 2023, primarily due to increases in the applicable SOFR reference rate.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Expense, net</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other expense, net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00" w:type="dxa"/>
            <w:vAlign w:val="bottom"/>
          </w:tcPr>
          <w:p>
            <w:pPr>
              <w:spacing w:after="0"/>
              <w:rPr>
                <w:sz w:val="17"/>
                <w:szCs w:val="17"/>
                <w:color w:val="auto"/>
              </w:rPr>
            </w:pPr>
          </w:p>
        </w:tc>
        <w:tc>
          <w:tcPr>
            <w:tcW w:w="2380" w:type="dxa"/>
            <w:vAlign w:val="bottom"/>
            <w:gridSpan w:val="4"/>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60" w:type="dxa"/>
            <w:vAlign w:val="bottom"/>
          </w:tcPr>
          <w:p>
            <w:pPr>
              <w:spacing w:after="0"/>
              <w:rPr>
                <w:sz w:val="17"/>
                <w:szCs w:val="17"/>
                <w:color w:val="auto"/>
              </w:rPr>
            </w:pPr>
          </w:p>
        </w:tc>
      </w:tr>
      <w:tr>
        <w:trPr>
          <w:trHeight w:val="209"/>
        </w:trPr>
        <w:tc>
          <w:tcPr>
            <w:tcW w:w="84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536"/>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460" w:type="dxa"/>
            <w:vAlign w:val="bottom"/>
            <w:tcBorders>
              <w:bottom w:val="single" w:sz="8" w:color="auto"/>
            </w:tcBorders>
          </w:tcPr>
          <w:p>
            <w:pPr>
              <w:spacing w:after="0"/>
              <w:rPr>
                <w:sz w:val="18"/>
                <w:szCs w:val="18"/>
                <w:color w:val="auto"/>
              </w:rPr>
            </w:pPr>
          </w:p>
        </w:tc>
      </w:tr>
      <w:tr>
        <w:trPr>
          <w:trHeight w:val="201"/>
        </w:trPr>
        <w:tc>
          <w:tcPr>
            <w:tcW w:w="84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460" w:type="dxa"/>
            <w:vAlign w:val="bottom"/>
            <w:tcBorders>
              <w:bottom w:val="single" w:sz="8" w:color="auto"/>
            </w:tcBorders>
          </w:tcPr>
          <w:p>
            <w:pPr>
              <w:spacing w:after="0"/>
              <w:rPr>
                <w:sz w:val="17"/>
                <w:szCs w:val="17"/>
                <w:color w:val="auto"/>
              </w:rPr>
            </w:pPr>
          </w:p>
        </w:tc>
      </w:tr>
      <w:tr>
        <w:trPr>
          <w:trHeight w:val="213"/>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exchange (losses) gain, net</w:t>
            </w:r>
          </w:p>
        </w:tc>
        <w:tc>
          <w:tcPr>
            <w:tcW w:w="86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(1,724)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162</w:t>
            </w:r>
          </w:p>
        </w:tc>
      </w:tr>
      <w:tr>
        <w:trPr>
          <w:trHeight w:val="219"/>
        </w:trPr>
        <w:tc>
          <w:tcPr>
            <w:tcW w:w="8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(loss) on disposition of assets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Pr>
          <w:p>
            <w:pPr>
              <w:spacing w:after="0"/>
              <w:rPr>
                <w:sz w:val="19"/>
                <w:szCs w:val="19"/>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(297)</w:t>
            </w: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miscellaneous expense, net</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(134)</w:t>
            </w:r>
          </w:p>
        </w:tc>
      </w:tr>
      <w:tr>
        <w:trPr>
          <w:trHeight w:val="212"/>
        </w:trPr>
        <w:tc>
          <w:tcPr>
            <w:tcW w:w="8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86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(2,341)</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(269)</w:t>
            </w:r>
          </w:p>
        </w:tc>
      </w:tr>
      <w:tr>
        <w:trPr>
          <w:trHeight w:val="20"/>
        </w:trPr>
        <w:tc>
          <w:tcPr>
            <w:tcW w:w="8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For the three months ended March 31, 2024 and 2023, income taxes were accrued at an estimated effective tax rate of (7)% and 27%, respectively.</w:t>
      </w:r>
    </w:p>
    <w:p>
      <w:pPr>
        <w:spacing w:after="0" w:line="243"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The effective tax rate for the three months ended March 31, 2024 differs from the federal statutory rate of 21% principally because of the effect of the mix of U.S. and foreign incomes, state income taxes, section 162(m) excess compensation, tax credits, and a valuation allowance against certain U.S. federal and state deferred tax assets. The effective tax rate during the three months ended March 31, 2024 included a tax benefit of $2.3 million related to the excess tax recognized on stock option exercises and the vesting of restricted stock during the period.</w:t>
      </w:r>
    </w:p>
    <w:p>
      <w:pPr>
        <w:spacing w:after="0" w:line="1" w:lineRule="exact"/>
        <w:rPr>
          <w:sz w:val="20"/>
          <w:szCs w:val="20"/>
          <w:color w:val="auto"/>
        </w:rPr>
      </w:pPr>
    </w:p>
    <w:p>
      <w:pPr>
        <w:ind w:right="40" w:firstLine="619"/>
        <w:spacing w:after="0" w:line="254" w:lineRule="auto"/>
        <w:rPr>
          <w:sz w:val="20"/>
          <w:szCs w:val="20"/>
          <w:color w:val="auto"/>
        </w:rPr>
      </w:pPr>
      <w:r>
        <w:rPr>
          <w:rFonts w:ascii="Times New Roman" w:cs="Times New Roman" w:eastAsia="Times New Roman" w:hAnsi="Times New Roman"/>
          <w:sz w:val="17"/>
          <w:szCs w:val="17"/>
          <w:color w:val="auto"/>
        </w:rPr>
        <w:t>The Company regularly assesses the realizability of deferred tax assets and records a valuation allowance to reduce the deferred tax assets to the amount that is more likely than not to be realized. In assessing the realizability of our deferred tax assets, we weigh all available positive and negative evidence. This evidence includes, but is not limited to, historical earnings, scheduled reversal of taxable temporary differences, tax planning strategies and projected future taxable income. Due to the weight of objectively verifiable negative evidence, the Company recorded a valuation allowance of $10.1 million tax expense, against certain U.S. federal and state deferred tax assets during the three months ended March 31, 2024. The significant piece of objectively verifiable negative evidence evaluated was the recent U.S. cumulative losses. Our ability to use our deferred tax assets depends on the amount of taxable income in future periods. Based on current earnings and anticipated future earnings along with expected changes in our deferred tax asset and liability balances, it is likely that the current valuation allowance position will be adjusted during the year. An additional valuation allowance may be required beyond the current year if future earnings are not sufficient to support the realization of deferred tax assets.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20" w:firstLine="619"/>
        <w:spacing w:after="0" w:line="260" w:lineRule="auto"/>
        <w:rPr>
          <w:sz w:val="20"/>
          <w:szCs w:val="20"/>
          <w:color w:val="auto"/>
        </w:rPr>
      </w:pPr>
      <w:r>
        <w:rPr>
          <w:rFonts w:ascii="Times New Roman" w:cs="Times New Roman" w:eastAsia="Times New Roman" w:hAnsi="Times New Roman"/>
          <w:sz w:val="17"/>
          <w:szCs w:val="17"/>
          <w:color w:val="auto"/>
        </w:rPr>
        <w:t>In 2021, the Organization for Economic Cooperation and Development ("OECD") released model rules for a 15% global minimum tax, known as Pillar Two. On December 15, 2022, the European Union agreed to implement the OECD’s global minimum tax of 15% for multinationals that meet a global revenue threshold. A number of countries have enacted or have announced plans to enact legislation to adopt Pillar Two. We considered the applicable tax law changes on Pillar Two implementation in the relevant countries, and there was no material impact to our tax provision for the three months ended March 31, 2024. We do not expect the provisions currently in effect for 2024 to have a material impact on our tax provision and effective tax rate for the remainder of 2024 but will continue to assess the impact of tax legislation in the jurisdictions in which we operate.</w:t>
      </w:r>
    </w:p>
    <w:p>
      <w:pPr>
        <w:spacing w:after="0" w:line="199"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The effective tax rate for the three months ended March 31, 2023 differs from the federal statutory rate of 21% principally because of the effect of the mix of U.S. and foreign incomes, state income taxes, section 162(m) excess compensation, FDII and tax credits. The effective tax rate during the three months ended March 31, 2023 included a discrete tax expense of $0.7 million related to excess tax recognized on stock option exercises and the vesting of restricted stock units during the period.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Liquidity and Capital Resources</w:t>
      </w:r>
    </w:p>
    <w:p>
      <w:pPr>
        <w:spacing w:after="0" w:line="221" w:lineRule="exact"/>
        <w:rPr>
          <w:sz w:val="20"/>
          <w:szCs w:val="20"/>
          <w:color w:val="auto"/>
        </w:rPr>
      </w:pPr>
    </w:p>
    <w:p>
      <w:pPr>
        <w:ind w:right="300" w:firstLine="619"/>
        <w:spacing w:after="0" w:line="264" w:lineRule="auto"/>
        <w:rPr>
          <w:sz w:val="20"/>
          <w:szCs w:val="20"/>
          <w:color w:val="auto"/>
        </w:rPr>
      </w:pPr>
      <w:r>
        <w:rPr>
          <w:rFonts w:ascii="Times New Roman" w:cs="Times New Roman" w:eastAsia="Times New Roman" w:hAnsi="Times New Roman"/>
          <w:sz w:val="17"/>
          <w:szCs w:val="17"/>
          <w:color w:val="auto"/>
        </w:rPr>
        <w:t>We regularly evaluate our liquidity and capital resources, including our access to external capital, to assess our ability to meet our principal cash requirements, which include working capital requirements, planned capital investments in our business, commitments, acquisition restructuring and integration expenses, investments in quality systems and quality compliance objectives, payment of interest expense, repayment of outstanding borrowings, income tax obligations and acquisition opportunities in accordance with our growth strategy.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Liquidity</w:t>
      </w:r>
    </w:p>
    <w:p>
      <w:pPr>
        <w:spacing w:after="0" w:line="249" w:lineRule="exact"/>
        <w:rPr>
          <w:sz w:val="20"/>
          <w:szCs w:val="20"/>
          <w:color w:val="auto"/>
        </w:rPr>
      </w:pPr>
    </w:p>
    <w:p>
      <w:pPr>
        <w:ind w:right="640" w:firstLine="619"/>
        <w:spacing w:after="0" w:line="287" w:lineRule="auto"/>
        <w:rPr>
          <w:sz w:val="20"/>
          <w:szCs w:val="20"/>
          <w:color w:val="auto"/>
        </w:rPr>
      </w:pPr>
      <w:r>
        <w:rPr>
          <w:rFonts w:ascii="Times New Roman" w:cs="Times New Roman" w:eastAsia="Times New Roman" w:hAnsi="Times New Roman"/>
          <w:sz w:val="17"/>
          <w:szCs w:val="17"/>
          <w:color w:val="auto"/>
        </w:rPr>
        <w:t>Our primary sources of liquidity are cash and cash equivalents, our short-term investment portfolio, cash flows from our operations and access to borrowing arrangements.</w:t>
      </w:r>
    </w:p>
    <w:p>
      <w:pPr>
        <w:spacing w:after="0" w:line="177" w:lineRule="exact"/>
        <w:rPr>
          <w:sz w:val="20"/>
          <w:szCs w:val="20"/>
          <w:color w:val="auto"/>
        </w:rPr>
      </w:pPr>
    </w:p>
    <w:p>
      <w:pPr>
        <w:ind w:right="260" w:firstLine="619"/>
        <w:spacing w:after="0" w:line="261" w:lineRule="auto"/>
        <w:rPr>
          <w:sz w:val="20"/>
          <w:szCs w:val="20"/>
          <w:color w:val="auto"/>
        </w:rPr>
      </w:pPr>
      <w:r>
        <w:rPr>
          <w:rFonts w:ascii="Times New Roman" w:cs="Times New Roman" w:eastAsia="Times New Roman" w:hAnsi="Times New Roman"/>
          <w:sz w:val="17"/>
          <w:szCs w:val="17"/>
          <w:color w:val="auto"/>
        </w:rPr>
        <w:t>Funds generated from operations are held in cash and cash equivalents and investment securities. During the three months ended March 31, 2024, our cash and cash equivalents and short-term investment securities decreased by $3.3 million from $254.7 million at December 31, 2023 to $251.4 million at March 31, 2024. This decrease was primarily driven by a decrease in our accrued liabilities balances, capital expenditures, principal payments on our long-term debt and the related interest payments. As of March 31, 2024, we did not have any investments. Our short-term investment portfolio historically consisted of investment-grade corporate and federal treasury bonds and is primarily intended to facilitate capital preservation.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Credit Agreement and Access to Capital</w:t>
      </w:r>
    </w:p>
    <w:p>
      <w:pPr>
        <w:spacing w:after="0" w:line="247"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As discussed in Note 16: Long-Term Debt to our accompanying condensed consolidated financial statements, we entered into the Credit Agreement with various lenders on January 6, 2022 in connection with the closing of the Smiths Medical acquisition. The Credit Agreement provides for a five-year term loan A facility of $850.0 million (the "Term Loan A"), a seven-year term loan B facility of $850.0 million (the "Term Loan B") and a five-year revolving credit facility of $500.0 million (the "Revolving Credit Facility") (collectively, the "Senior Secured Credit Facilities"). The proceeds from the term loans were used to finance a portion of the cash consideration for the Smiths Medical acquisition. The outstanding aggregate principal amount of the term loans is $1.6 billion as of March 31, 2024, which includes the Term Loan A that will mature in January 2027 and the Term Loan B that will mature in January 2029. The proceeds of future borrowings under the Revolving Credit Facility, which expires in January 2027, may be used as a source of liquidity to support our ongoing working capital requirements and other general corporate purposes. There are no outstanding borrowings under the Revolving Credit Facility as of March 31, 2024. As part of entering into the Senior Secured Credit Facilities, we were assigned issuer and Term Loan B credit ratings. At the date of issuance of this report, our issuer and Term Loan B credit ratings assigned and outlook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80" w:type="dxa"/>
            <w:vAlign w:val="bottom"/>
          </w:tcPr>
          <w:p>
            <w:pPr>
              <w:spacing w:after="0"/>
              <w:rPr>
                <w:sz w:val="16"/>
                <w:szCs w:val="16"/>
                <w:color w:val="auto"/>
              </w:rPr>
            </w:pPr>
          </w:p>
        </w:tc>
        <w:tc>
          <w:tcPr>
            <w:tcW w:w="2440" w:type="dxa"/>
            <w:vAlign w:val="bottom"/>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Issuer/Term Loan B</w:t>
            </w:r>
          </w:p>
        </w:tc>
        <w:tc>
          <w:tcPr>
            <w:tcW w:w="2020" w:type="dxa"/>
            <w:vAlign w:val="bottom"/>
            <w:vMerge w:val="restart"/>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Outlook</w:t>
            </w:r>
          </w:p>
        </w:tc>
        <w:tc>
          <w:tcPr>
            <w:tcW w:w="0" w:type="dxa"/>
            <w:vAlign w:val="bottom"/>
          </w:tcPr>
          <w:p>
            <w:pPr>
              <w:spacing w:after="0"/>
              <w:rPr>
                <w:sz w:val="1"/>
                <w:szCs w:val="1"/>
                <w:color w:val="auto"/>
              </w:rPr>
            </w:pPr>
          </w:p>
        </w:tc>
      </w:tr>
      <w:tr>
        <w:trPr>
          <w:trHeight w:val="232"/>
        </w:trPr>
        <w:tc>
          <w:tcPr>
            <w:tcW w:w="6780" w:type="dxa"/>
            <w:vAlign w:val="bottom"/>
            <w:tcBorders>
              <w:bottom w:val="single" w:sz="8" w:color="CCEEFF"/>
            </w:tcBorders>
          </w:tcPr>
          <w:p>
            <w:pPr>
              <w:spacing w:after="0"/>
              <w:rPr>
                <w:sz w:val="20"/>
                <w:szCs w:val="20"/>
                <w:color w:val="auto"/>
              </w:rPr>
            </w:pPr>
          </w:p>
        </w:tc>
        <w:tc>
          <w:tcPr>
            <w:tcW w:w="24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Credit Ratings</w:t>
            </w:r>
          </w:p>
        </w:tc>
        <w:tc>
          <w:tcPr>
            <w:tcW w:w="2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Moody's</w:t>
            </w:r>
          </w:p>
        </w:tc>
        <w:tc>
          <w:tcPr>
            <w:tcW w:w="244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rPr>
              <w:t>Ba3/Ba3</w:t>
            </w:r>
          </w:p>
        </w:tc>
        <w:tc>
          <w:tcPr>
            <w:tcW w:w="202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w w:val="98"/>
              </w:rPr>
              <w:t>Stable</w:t>
            </w:r>
          </w:p>
        </w:tc>
        <w:tc>
          <w:tcPr>
            <w:tcW w:w="0" w:type="dxa"/>
            <w:vAlign w:val="bottom"/>
          </w:tcPr>
          <w:p>
            <w:pPr>
              <w:spacing w:after="0"/>
              <w:rPr>
                <w:sz w:val="1"/>
                <w:szCs w:val="1"/>
                <w:color w:val="auto"/>
              </w:rPr>
            </w:pPr>
          </w:p>
        </w:tc>
      </w:tr>
      <w:tr>
        <w:trPr>
          <w:trHeight w:val="219"/>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Fitch</w:t>
            </w:r>
          </w:p>
        </w:tc>
        <w:tc>
          <w:tcPr>
            <w:tcW w:w="244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BB/BB+</w:t>
            </w:r>
          </w:p>
        </w:tc>
        <w:tc>
          <w:tcPr>
            <w:tcW w:w="202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Negative</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Standard &amp; Poor's</w:t>
            </w:r>
          </w:p>
        </w:tc>
        <w:tc>
          <w:tcPr>
            <w:tcW w:w="2440" w:type="dxa"/>
            <w:vAlign w:val="bottom"/>
            <w:shd w:val="clear" w:color="auto" w:fill="CCEEFF"/>
          </w:tcPr>
          <w:p>
            <w:pPr>
              <w:jc w:val="center"/>
              <w:ind w:right="134"/>
              <w:spacing w:after="0"/>
              <w:rPr>
                <w:sz w:val="20"/>
                <w:szCs w:val="20"/>
                <w:color w:val="auto"/>
              </w:rPr>
            </w:pPr>
            <w:r>
              <w:rPr>
                <w:rFonts w:ascii="Times New Roman" w:cs="Times New Roman" w:eastAsia="Times New Roman" w:hAnsi="Times New Roman"/>
                <w:sz w:val="17"/>
                <w:szCs w:val="17"/>
                <w:color w:val="auto"/>
              </w:rPr>
              <w:t>BB-/BB-</w:t>
            </w:r>
          </w:p>
        </w:tc>
        <w:tc>
          <w:tcPr>
            <w:tcW w:w="202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rPr>
              <w:t>Negative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00" w:firstLine="619"/>
        <w:spacing w:after="0" w:line="264" w:lineRule="auto"/>
        <w:rPr>
          <w:sz w:val="20"/>
          <w:szCs w:val="20"/>
          <w:color w:val="auto"/>
        </w:rPr>
      </w:pPr>
      <w:r>
        <w:rPr>
          <w:rFonts w:ascii="Times New Roman" w:cs="Times New Roman" w:eastAsia="Times New Roman" w:hAnsi="Times New Roman"/>
          <w:sz w:val="17"/>
          <w:szCs w:val="17"/>
          <w:color w:val="auto"/>
        </w:rPr>
        <w:t>The Credit Agreement contains financial covenants that pertain to the Term Loan A and the Revolving Credit Facility. Specifically, we are required to maintain a Senior Secured Leverage Ratio of no more than 4.50 to 1.00 until June 30, 2024, with stepdowns to 4.00 to 1.00 thereafter, and an Interest Coverage Ratio of no less than 3.00 to 1.00 (defined and discussed in greater detail in Note 16: Long-Term Debt to our accompanying condensed consolidated financial statements). We were in compliance with these financial covenants as of March 31, 2024.</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January 2023, we entered into a receivables purchase agreement with Bank of the West, which was subsequently acquired by BMO in February 2023.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agreement accelerates our access to capital (see Note 20: Accounts Receivable Purchase Program).</w:t>
      </w:r>
    </w:p>
    <w:p>
      <w:pPr>
        <w:spacing w:after="0" w:line="226"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We believe that our existing cash and cash equivalents along with cash flows expected to be generated from future operations including the cash received from our uncommitted trade accounts receivable purchase facility and the funds received and accessible under the Senior Secured Credit Facilities will provide us with sufficient liquidity to finance our cash requirements for the next twelve months. In the event that we experience downturns, cyclical fluctuations in our business that are more severe or longer than anticipated, fail to achieve anticipated revenue and expense levels, or have significant unplanned cash expenditures, we may need to obtain or seek alternative sources of capital or financing, and we can provide no assurances that the terms of such capital or financing will be available to us on favorable terms, if at all. Our ability to generate cash flows from operations, issue debt or enter into other financing arrangements on acceptable terms could be adversely affected if there is a material decline in the demand for our products or in the solvency of our customers or suppliers, deterioration in our key financial ratios or credit ratings or other significantly unfavorable changes in economic conditions. See Part I. Item 1A. "Risk Factors” in our 2023 Annual Report on Form 10-K for discussion of the risks and uncertainties associated with our debt financing.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Uses of Liquidity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Capital Expenditures</w:t>
      </w:r>
    </w:p>
    <w:p>
      <w:pPr>
        <w:spacing w:after="0" w:line="234" w:lineRule="exact"/>
        <w:rPr>
          <w:sz w:val="20"/>
          <w:szCs w:val="20"/>
          <w:color w:val="auto"/>
        </w:rPr>
      </w:pPr>
    </w:p>
    <w:p>
      <w:pPr>
        <w:ind w:right="320" w:firstLine="619"/>
        <w:spacing w:after="0" w:line="271" w:lineRule="auto"/>
        <w:rPr>
          <w:sz w:val="20"/>
          <w:szCs w:val="20"/>
          <w:color w:val="auto"/>
        </w:rPr>
      </w:pPr>
      <w:r>
        <w:rPr>
          <w:rFonts w:ascii="Times New Roman" w:cs="Times New Roman" w:eastAsia="Times New Roman" w:hAnsi="Times New Roman"/>
          <w:sz w:val="17"/>
          <w:szCs w:val="17"/>
          <w:color w:val="auto"/>
        </w:rPr>
        <w:t>At March 31, 2024, there have been no material changes to our range of $90 million to $110 million for estimated 2024 planned capital expenditures previously disclosed in our 2023 Annual Report on Form 10-K.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Contractual Obligations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principal commitments at March 31, 2024 include both short and long-term future obligations.</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Operating Leases</w:t>
      </w:r>
    </w:p>
    <w:p>
      <w:pPr>
        <w:spacing w:after="0" w:line="247" w:lineRule="exact"/>
        <w:rPr>
          <w:sz w:val="20"/>
          <w:szCs w:val="20"/>
          <w:color w:val="auto"/>
        </w:rPr>
      </w:pPr>
    </w:p>
    <w:p>
      <w:pPr>
        <w:ind w:right="300" w:firstLine="619"/>
        <w:spacing w:after="0" w:line="270" w:lineRule="auto"/>
        <w:rPr>
          <w:sz w:val="20"/>
          <w:szCs w:val="20"/>
          <w:color w:val="auto"/>
        </w:rPr>
      </w:pPr>
      <w:r>
        <w:rPr>
          <w:rFonts w:ascii="Times New Roman" w:cs="Times New Roman" w:eastAsia="Times New Roman" w:hAnsi="Times New Roman"/>
          <w:sz w:val="17"/>
          <w:szCs w:val="17"/>
          <w:color w:val="auto"/>
        </w:rPr>
        <w:t>We have non-cancelable operating lease agreements where we are contractually obligated for certain lease payment amounts. We assumed additional operating leases as a result of our acquisition of Smiths Medical. For more information regarding our operating lease obligations, (see Note 5: Leases to our accompanying condensed consolidated financial statements).</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Long-term Debt</w:t>
      </w:r>
    </w:p>
    <w:p>
      <w:pPr>
        <w:spacing w:after="0" w:line="247"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In January 2022, we incurred borrowings under Senior Secured Credit Facilities. The principal repayment obligations and estimated interest payments on the term loans and estimated commitment fee payments on the revolver are estimated in the table below. Interest payments on the term loans were estimated using an Adjusted Term SOFR rate and an applicable margin of 2.00% for Term Loan A and 2.50% for Term Loan B and the revolver commitment fees were estimated using the rate of 0.30%. The applicable margin rate and commitment fee rate will change from time to time in accordance with a preset pricing grid based on the leverage ratio (see Note 16: Long-Term Debt to our accompanying condensed consolidated financial statements for pricing grids related to the Senior Secured Credit Facilities). We expect to fund these obligations with our existing cash and cash equivalents and cash generated from our future operations.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60" w:type="dxa"/>
            <w:vAlign w:val="bottom"/>
          </w:tcPr>
          <w:p>
            <w:pPr>
              <w:spacing w:after="0"/>
              <w:rPr>
                <w:sz w:val="19"/>
                <w:szCs w:val="19"/>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Remainder of</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0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260" w:type="dxa"/>
            <w:vAlign w:val="bottom"/>
          </w:tcPr>
          <w:p>
            <w:pPr>
              <w:spacing w:after="0"/>
              <w:rPr>
                <w:sz w:val="14"/>
                <w:szCs w:val="14"/>
                <w:color w:val="auto"/>
              </w:rPr>
            </w:pPr>
          </w:p>
        </w:tc>
        <w:tc>
          <w:tcPr>
            <w:tcW w:w="88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40" w:type="dxa"/>
            <w:vAlign w:val="bottom"/>
          </w:tcPr>
          <w:p>
            <w:pPr>
              <w:spacing w:after="0"/>
              <w:rPr>
                <w:sz w:val="14"/>
                <w:szCs w:val="14"/>
                <w:color w:val="auto"/>
              </w:rPr>
            </w:pPr>
          </w:p>
        </w:tc>
        <w:tc>
          <w:tcPr>
            <w:tcW w:w="102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2027</w:t>
            </w:r>
          </w:p>
        </w:tc>
        <w:tc>
          <w:tcPr>
            <w:tcW w:w="280" w:type="dxa"/>
            <w:vAlign w:val="bottom"/>
          </w:tcPr>
          <w:p>
            <w:pPr>
              <w:spacing w:after="0"/>
              <w:rPr>
                <w:sz w:val="14"/>
                <w:szCs w:val="14"/>
                <w:color w:val="auto"/>
              </w:rPr>
            </w:pPr>
          </w:p>
        </w:tc>
        <w:tc>
          <w:tcPr>
            <w:tcW w:w="88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2028</w:t>
            </w:r>
          </w:p>
        </w:tc>
        <w:tc>
          <w:tcPr>
            <w:tcW w:w="280" w:type="dxa"/>
            <w:vAlign w:val="bottom"/>
          </w:tcPr>
          <w:p>
            <w:pPr>
              <w:spacing w:after="0"/>
              <w:rPr>
                <w:sz w:val="14"/>
                <w:szCs w:val="14"/>
                <w:color w:val="auto"/>
              </w:rPr>
            </w:pPr>
          </w:p>
        </w:tc>
        <w:tc>
          <w:tcPr>
            <w:tcW w:w="920" w:type="dxa"/>
            <w:vAlign w:val="bottom"/>
            <w:vMerge w:val="restart"/>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2029</w:t>
            </w:r>
          </w:p>
        </w:tc>
        <w:tc>
          <w:tcPr>
            <w:tcW w:w="140" w:type="dxa"/>
            <w:vAlign w:val="bottom"/>
          </w:tcPr>
          <w:p>
            <w:pPr>
              <w:spacing w:after="0"/>
              <w:rPr>
                <w:sz w:val="14"/>
                <w:szCs w:val="14"/>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Thereafter</w:t>
            </w:r>
          </w:p>
        </w:tc>
        <w:tc>
          <w:tcPr>
            <w:tcW w:w="0" w:type="dxa"/>
            <w:vAlign w:val="bottom"/>
          </w:tcPr>
          <w:p>
            <w:pPr>
              <w:spacing w:after="0"/>
              <w:rPr>
                <w:sz w:val="1"/>
                <w:szCs w:val="1"/>
                <w:color w:val="auto"/>
              </w:rPr>
            </w:pPr>
          </w:p>
        </w:tc>
      </w:tr>
      <w:tr>
        <w:trPr>
          <w:trHeight w:val="232"/>
        </w:trPr>
        <w:tc>
          <w:tcPr>
            <w:tcW w:w="30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A Principal Payments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664.1</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Loan A Interest Payments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B Principal Payments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792.6</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Loan B Interest Payments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Revolver Commitment Fee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06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133.4</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156.4</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722.9</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Other Future Capital Investments</w:t>
      </w:r>
    </w:p>
    <w:p>
      <w:pPr>
        <w:spacing w:after="0" w:line="247" w:lineRule="exact"/>
        <w:rPr>
          <w:sz w:val="20"/>
          <w:szCs w:val="20"/>
          <w:color w:val="auto"/>
        </w:rPr>
      </w:pPr>
    </w:p>
    <w:p>
      <w:pPr>
        <w:ind w:right="180" w:firstLine="619"/>
        <w:spacing w:after="0" w:line="270" w:lineRule="auto"/>
        <w:rPr>
          <w:sz w:val="20"/>
          <w:szCs w:val="20"/>
          <w:color w:val="auto"/>
        </w:rPr>
      </w:pPr>
      <w:r>
        <w:rPr>
          <w:rFonts w:ascii="Times New Roman" w:cs="Times New Roman" w:eastAsia="Times New Roman" w:hAnsi="Times New Roman"/>
          <w:sz w:val="17"/>
          <w:szCs w:val="17"/>
          <w:color w:val="auto"/>
        </w:rPr>
        <w:t>At March 31, 2024, there have been no material changes to our range of $90 million to $110 million for estimated 2024 other future capital investments previously disclosed in our 2023 Annual Report on Form 10-K. This includes restructuring and integration expenses along with spending to support quality systems and quality compliance objectives, which includes acquired field action liabilities.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Indemnifications</w:t>
      </w:r>
    </w:p>
    <w:p>
      <w:pPr>
        <w:spacing w:after="0" w:line="247" w:lineRule="exact"/>
        <w:rPr>
          <w:sz w:val="20"/>
          <w:szCs w:val="20"/>
          <w:color w:val="auto"/>
        </w:rPr>
      </w:pPr>
    </w:p>
    <w:p>
      <w:pPr>
        <w:jc w:val="both"/>
        <w:ind w:right="320" w:firstLine="619"/>
        <w:spacing w:after="0" w:line="270" w:lineRule="auto"/>
        <w:rPr>
          <w:sz w:val="20"/>
          <w:szCs w:val="20"/>
          <w:color w:val="auto"/>
        </w:rPr>
      </w:pPr>
      <w:r>
        <w:rPr>
          <w:rFonts w:ascii="Times New Roman" w:cs="Times New Roman" w:eastAsia="Times New Roman" w:hAnsi="Times New Roman"/>
          <w:sz w:val="17"/>
          <w:szCs w:val="17"/>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liability for indemnification.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Historical Cash Flows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p>
      <w:pPr>
        <w:spacing w:after="0" w:line="249" w:lineRule="exact"/>
        <w:rPr>
          <w:sz w:val="20"/>
          <w:szCs w:val="20"/>
          <w:color w:val="auto"/>
        </w:rPr>
      </w:pPr>
    </w:p>
    <w:p>
      <w:pPr>
        <w:ind w:right="60" w:firstLine="619"/>
        <w:spacing w:after="0" w:line="257" w:lineRule="auto"/>
        <w:rPr>
          <w:sz w:val="20"/>
          <w:szCs w:val="20"/>
          <w:color w:val="auto"/>
        </w:rPr>
      </w:pPr>
      <w:r>
        <w:rPr>
          <w:rFonts w:ascii="Times New Roman" w:cs="Times New Roman" w:eastAsia="Times New Roman" w:hAnsi="Times New Roman"/>
          <w:sz w:val="17"/>
          <w:szCs w:val="17"/>
          <w:color w:val="auto"/>
        </w:rPr>
        <w:t>Our net cash provided by operations for the three months ended March 31, 2024 was $45.8 million. The changes in operating assets and liabilities included a $14.0 million decrease in accounts receivable, $14.2 million decrease in inventories, and a $5.3 million increase in accounts payable. Offsetting these amounts was a $5.7 million increase in prepaid expenses and other current assets, a $5.2 million increase in other assets, $16.5 million decrease in accrued liabilities, and $1.9 million in net changes in income taxes, including excess tax benefits and deferred income taxes. The decrease in accounts receivable was primarily due to the amount and timing of revenues. The decrease in inventory was primarily due to our focus on reducing inventory levels. The increase in accounts payable was due to the timing of payments. The increase in prepaid expenses and other current assets was primarily due to increase in deferred costs and the payment of other miscellaneous prepaid invoices. The increase in other assets was due to the purchase of spare parts. The net changes in income taxes was a result of recording the current deferred provision, the timing of payments, and valuation allowance. The decrease in accrued liabilities was primarily due to payout of annual bonuses, accrued freight charges and payments of field service corrective action.</w:t>
      </w:r>
    </w:p>
    <w:p>
      <w:pPr>
        <w:spacing w:after="0" w:line="205"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Our net cash used in operations for the three months ended March 31, 2023 was $41.2 million. The changes in operating assets and liabilities included a $49.4 million increase in inventories, a $6.4 million increase in other assets, a $21.1 million decrease in accrued liabilities, a $27.5 million decrease in accounts payable, and $9.3 million in net changes in income taxes, including excess tax benefits and deferred income taxes. Offsetting these amounts was a $82.0 million decrease in accounts receivable and a $1.9 million decrease in prepaid expenses and other current assets. The increase in inventory was primarily to build inventory safety stock levels. The increase in other assets was due to the purchase of spare parts. The decrease in accrued liabilities was primarily due to the payout of annual bonuses, payment of accrued freight charges and payment of distribution fees. The decrease in accounts payable was due to the timing of payments. The net changes in income taxes was a result of recording the current deferred provision and the timing of payments. The decrease in accounts receivable was primarily due to the sale of accounts receivable as part of our accounts receivable purchase program with BMO (see Note 20: Accounts Receivable Purchase Program).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95"/>
        </w:trPr>
        <w:tc>
          <w:tcPr>
            <w:tcW w:w="6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947"/>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The following table summarizes the changes in our investing cash flows (in thousands):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83"/>
        </w:trPr>
        <w:tc>
          <w:tcPr>
            <w:tcW w:w="12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gridSpan w:val="5"/>
          </w:tcPr>
          <w:p>
            <w:pPr>
              <w:ind w:left="3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7"/>
        </w:trPr>
        <w:tc>
          <w:tcPr>
            <w:tcW w:w="12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7"/>
        </w:trPr>
        <w:tc>
          <w:tcPr>
            <w:tcW w:w="1220" w:type="dxa"/>
            <w:vAlign w:val="bottom"/>
            <w:tcBorders>
              <w:bottom w:val="single" w:sz="8" w:color="CCEEFF"/>
            </w:tcBorders>
          </w:tcPr>
          <w:p>
            <w:pPr>
              <w:spacing w:after="0"/>
              <w:rPr>
                <w:sz w:val="18"/>
                <w:szCs w:val="18"/>
                <w:color w:val="auto"/>
              </w:rPr>
            </w:pPr>
          </w:p>
        </w:tc>
        <w:tc>
          <w:tcPr>
            <w:tcW w:w="5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400" w:type="dxa"/>
            <w:vAlign w:val="bottom"/>
            <w:tcBorders>
              <w:bottom w:val="single" w:sz="8" w:color="auto"/>
            </w:tcBorders>
          </w:tcPr>
          <w:p>
            <w:pPr>
              <w:spacing w:after="0"/>
              <w:rPr>
                <w:sz w:val="18"/>
                <w:szCs w:val="18"/>
                <w:color w:val="auto"/>
              </w:rPr>
            </w:pPr>
          </w:p>
        </w:tc>
      </w:tr>
      <w:tr>
        <w:trPr>
          <w:trHeight w:val="199"/>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Cash Flows: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9"/>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(15,915)</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(14,205)</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(1,710)</w:t>
            </w:r>
          </w:p>
        </w:tc>
        <w:tc>
          <w:tcPr>
            <w:tcW w:w="4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sale of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507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400" w:type="dxa"/>
            <w:vAlign w:val="bottom"/>
            <w:shd w:val="clear" w:color="auto" w:fill="CCEEFF"/>
          </w:tcPr>
          <w:p>
            <w:pPr>
              <w:spacing w:after="0"/>
              <w:rPr>
                <w:sz w:val="19"/>
                <w:szCs w:val="19"/>
                <w:color w:val="auto"/>
              </w:rPr>
            </w:pPr>
          </w:p>
        </w:tc>
      </w:tr>
      <w:tr>
        <w:trPr>
          <w:trHeight w:val="219"/>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Intangible asset additions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400" w:type="dxa"/>
            <w:vAlign w:val="bottom"/>
          </w:tcPr>
          <w:p>
            <w:pPr>
              <w:spacing w:after="0"/>
              <w:rPr>
                <w:sz w:val="19"/>
                <w:szCs w:val="19"/>
                <w:color w:val="auto"/>
              </w:rPr>
            </w:pPr>
          </w:p>
        </w:tc>
      </w:tr>
      <w:tr>
        <w:trPr>
          <w:trHeight w:val="219"/>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sale of investment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4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(17,862)</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(15,183)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400" w:type="dxa"/>
            <w:vAlign w:val="bottom"/>
          </w:tcPr>
          <w:p>
            <w:pPr>
              <w:spacing w:after="0"/>
              <w:rPr>
                <w:sz w:val="18"/>
                <w:szCs w:val="18"/>
                <w:color w:val="auto"/>
              </w:rPr>
            </w:pPr>
          </w:p>
        </w:tc>
      </w:tr>
      <w:tr>
        <w:trPr>
          <w:trHeight w:val="20"/>
        </w:trPr>
        <w:tc>
          <w:tcPr>
            <w:tcW w:w="12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62" w:lineRule="exact"/>
        <w:rPr>
          <w:sz w:val="20"/>
          <w:szCs w:val="20"/>
          <w:color w:val="auto"/>
        </w:rPr>
      </w:pPr>
    </w:p>
    <w:p>
      <w:pPr>
        <w:ind w:left="320" w:right="260" w:hanging="317"/>
        <w:spacing w:after="0" w:line="229" w:lineRule="auto"/>
        <w:tabs>
          <w:tab w:leader="none" w:pos="183"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Our purchases of property, plant and equipment will vary from period to period based on additional investments needed to support new and existing products and expansion of our manufacturing facilities.</w:t>
      </w:r>
    </w:p>
    <w:p>
      <w:pPr>
        <w:spacing w:after="0" w:line="6" w:lineRule="exact"/>
        <w:rPr>
          <w:rFonts w:ascii="Times New Roman" w:cs="Times New Roman" w:eastAsia="Times New Roman" w:hAnsi="Times New Roman"/>
          <w:sz w:val="22"/>
          <w:szCs w:val="22"/>
          <w:color w:val="auto"/>
          <w:vertAlign w:val="superscript"/>
        </w:rPr>
      </w:pPr>
    </w:p>
    <w:p>
      <w:pPr>
        <w:ind w:left="180" w:hanging="177"/>
        <w:spacing w:after="0"/>
        <w:tabs>
          <w:tab w:leader="none" w:pos="180"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Proceeds from the sale of our investment securities will vary from period to period based on the maturity dates of the investments.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3"/>
        </w:trPr>
        <w:tc>
          <w:tcPr>
            <w:tcW w:w="6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following table summarizes the changes in our financing cash flows (in thousands):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01"/>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gridSpan w:val="5"/>
          </w:tcPr>
          <w:p>
            <w:pPr>
              <w:ind w:left="3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7"/>
        </w:trPr>
        <w:tc>
          <w:tcPr>
            <w:tcW w:w="6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2"/>
        </w:trPr>
        <w:tc>
          <w:tcPr>
            <w:tcW w:w="6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400" w:type="dxa"/>
            <w:vAlign w:val="bottom"/>
            <w:tcBorders>
              <w:bottom w:val="single" w:sz="8" w:color="auto"/>
            </w:tcBorders>
          </w:tcPr>
          <w:p>
            <w:pPr>
              <w:spacing w:after="0"/>
              <w:rPr>
                <w:sz w:val="18"/>
                <w:szCs w:val="18"/>
                <w:color w:val="auto"/>
              </w:rPr>
            </w:pPr>
          </w:p>
        </w:tc>
      </w:tr>
      <w:tr>
        <w:trPr>
          <w:trHeight w:val="19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Cash Flows: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9"/>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payments on long-term debt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(5,375)</w:t>
            </w:r>
          </w:p>
        </w:tc>
        <w:tc>
          <w:tcPr>
            <w:tcW w:w="4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4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on finance leases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400" w:type="dxa"/>
            <w:vAlign w:val="bottom"/>
          </w:tcPr>
          <w:p>
            <w:pPr>
              <w:spacing w:after="0"/>
              <w:rPr>
                <w:sz w:val="19"/>
                <w:szCs w:val="19"/>
                <w:color w:val="auto"/>
              </w:rPr>
            </w:pP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 of contingent earn-out liability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w:t>
            </w:r>
          </w:p>
        </w:tc>
        <w:tc>
          <w:tcPr>
            <w:tcW w:w="4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Tax withholding payments related to net share settlement of equity awards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(2,975)</w:t>
            </w:r>
          </w:p>
        </w:tc>
        <w:tc>
          <w:tcPr>
            <w:tcW w:w="400" w:type="dxa"/>
            <w:vAlign w:val="bottom"/>
            <w:tcBorders>
              <w:bottom w:val="single" w:sz="8" w:color="CCEEFF"/>
            </w:tcBorders>
          </w:tcPr>
          <w:p>
            <w:pPr>
              <w:jc w:val="right"/>
              <w:ind w:right="94"/>
              <w:spacing w:after="0"/>
              <w:rPr>
                <w:sz w:val="20"/>
                <w:szCs w:val="20"/>
                <w:color w:val="auto"/>
              </w:rPr>
            </w:pPr>
            <w:r>
              <w:rPr>
                <w:rFonts w:ascii="Times New Roman" w:cs="Times New Roman" w:eastAsia="Times New Roman" w:hAnsi="Times New Roman"/>
                <w:sz w:val="17"/>
                <w:szCs w:val="17"/>
                <w:color w:val="auto"/>
              </w:rPr>
              <w:t>(4)</w:t>
            </w:r>
          </w:p>
        </w:tc>
      </w:tr>
      <w:tr>
        <w:trPr>
          <w:trHeight w:val="237"/>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by financing activities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(26,845)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(15,837)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(11,008)</w:t>
            </w:r>
          </w:p>
        </w:tc>
        <w:tc>
          <w:tcPr>
            <w:tcW w:w="400" w:type="dxa"/>
            <w:vAlign w:val="bottom"/>
            <w:tcBorders>
              <w:bottom w:val="single" w:sz="8" w:color="CCEEFF"/>
            </w:tcBorders>
            <w:shd w:val="clear" w:color="auto" w:fill="CCEEFF"/>
          </w:tcPr>
          <w:p>
            <w:pPr>
              <w:spacing w:after="0"/>
              <w:rPr>
                <w:sz w:val="20"/>
                <w:szCs w:val="20"/>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32" w:lineRule="exact"/>
        <w:rPr>
          <w:sz w:val="20"/>
          <w:szCs w:val="20"/>
          <w:color w:val="auto"/>
        </w:rPr>
      </w:pPr>
    </w:p>
    <w:p>
      <w:pPr>
        <w:ind w:left="240" w:hanging="237"/>
        <w:spacing w:after="0"/>
        <w:tabs>
          <w:tab w:leader="none" w:pos="240"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Relates to scheduled principal payments on the Senior Secured Credit Facilities.</w:t>
      </w:r>
    </w:p>
    <w:p>
      <w:pPr>
        <w:spacing w:after="0" w:line="52" w:lineRule="exact"/>
        <w:rPr>
          <w:rFonts w:ascii="Times New Roman" w:cs="Times New Roman" w:eastAsia="Times New Roman" w:hAnsi="Times New Roman"/>
          <w:sz w:val="22"/>
          <w:szCs w:val="22"/>
          <w:color w:val="auto"/>
          <w:vertAlign w:val="superscript"/>
        </w:rPr>
      </w:pPr>
    </w:p>
    <w:p>
      <w:pPr>
        <w:ind w:left="320" w:right="320" w:hanging="317"/>
        <w:spacing w:after="0" w:line="220" w:lineRule="auto"/>
        <w:tabs>
          <w:tab w:leader="none" w:pos="312"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Proceeds from the exercise of stock options will vary from period to period based on the volume of options exercised and the exercise price of the specific options exercised.</w:t>
      </w:r>
    </w:p>
    <w:p>
      <w:pPr>
        <w:spacing w:after="0" w:line="35" w:lineRule="exact"/>
        <w:rPr>
          <w:rFonts w:ascii="Times New Roman" w:cs="Times New Roman" w:eastAsia="Times New Roman" w:hAnsi="Times New Roman"/>
          <w:sz w:val="22"/>
          <w:szCs w:val="22"/>
          <w:color w:val="auto"/>
          <w:vertAlign w:val="superscript"/>
        </w:rPr>
      </w:pPr>
    </w:p>
    <w:p>
      <w:pPr>
        <w:ind w:left="320" w:right="200" w:hanging="317"/>
        <w:spacing w:after="0" w:line="229" w:lineRule="auto"/>
        <w:tabs>
          <w:tab w:leader="none" w:pos="312"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first quarter of 2024, we paid $3.4 million in cash related to the settlement of the Mediverse contingent earn-out. Of the $3.4 million, the amount recorded as the acquisition date fair value, which is considered financing cash flows, was $2.6 million (see Note 8: Fair Value Measurements).</w:t>
      </w:r>
    </w:p>
    <w:p>
      <w:pPr>
        <w:spacing w:after="0" w:line="1" w:lineRule="exact"/>
        <w:rPr>
          <w:rFonts w:ascii="Times New Roman" w:cs="Times New Roman" w:eastAsia="Times New Roman" w:hAnsi="Times New Roman"/>
          <w:sz w:val="22"/>
          <w:szCs w:val="22"/>
          <w:color w:val="auto"/>
          <w:vertAlign w:val="superscript"/>
        </w:rPr>
      </w:pPr>
    </w:p>
    <w:p>
      <w:pPr>
        <w:ind w:left="320" w:right="40" w:hanging="317"/>
        <w:spacing w:after="0" w:line="235" w:lineRule="auto"/>
        <w:tabs>
          <w:tab w:leader="none" w:pos="312"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three months ended March 31, 2024, our employees surrendered 110,119 shares of our common stock from vested restricted stock unit awards as consideration for approximately $11.4 million in minimum statutory withholding obligations paid on their behalf. During the three months ended March 31, 2023, our employees surrendered 52,764 shares of our common stock from vested restricted stock unit awards as consideration for approximately $8.4 million in minimum statutory withholding obligations paid on their behalf.</w:t>
      </w:r>
    </w:p>
    <w:p>
      <w:pPr>
        <w:spacing w:after="0" w:line="270"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Our common stock purchase plan, which authorized the repurchase of up to $100.0 million of our common stock, was approved by our Board of Directors in August 2019. This plan has no expiration date. As of March 31, 2024, all of the $100.0 million available for purchase was remaining under the plan. We are limited on share purchases in accordance with the terms and conditions of our Credit Agreement (see Note 16: Long-Term Obligations in our accompanying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47"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In our 2023 Annual Report on Form 10-K, we identified the critical accounting policies which affect our more significant estimates and assumptions used in preparing our consolidated financial statements. There have been no material changes to our critical accounting policies from those previously disclosed in our 2023 Annual Report on Form 10-K.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Accounting Pronouncements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2: New Accounting Pronouncements in Part I, Item 1. "Financial Statements."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3. Quantitative and Qualitative Disclosures about Market Risk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Credit Facility</w:t>
      </w:r>
    </w:p>
    <w:p>
      <w:pPr>
        <w:spacing w:after="0" w:line="247" w:lineRule="exact"/>
        <w:rPr>
          <w:sz w:val="20"/>
          <w:szCs w:val="20"/>
          <w:color w:val="auto"/>
        </w:rPr>
      </w:pPr>
    </w:p>
    <w:p>
      <w:pPr>
        <w:jc w:val="both"/>
        <w:ind w:right="220" w:firstLine="172"/>
        <w:spacing w:after="0" w:line="270" w:lineRule="auto"/>
        <w:rPr>
          <w:sz w:val="20"/>
          <w:szCs w:val="20"/>
          <w:color w:val="auto"/>
        </w:rPr>
      </w:pPr>
      <w:r>
        <w:rPr>
          <w:rFonts w:ascii="Times New Roman" w:cs="Times New Roman" w:eastAsia="Times New Roman" w:hAnsi="Times New Roman"/>
          <w:sz w:val="17"/>
          <w:szCs w:val="17"/>
          <w:color w:val="auto"/>
        </w:rPr>
        <w:t>In connection with the Smiths Medical acquisition on January 6, 2022 we entered into the Senior Secured Credit Facilities totaling approximately $2.2 billion consisting of a variable-rate term loan A facility of $850.0 million, a variable-rate term loan B facility of $850.0 million and a revolving credit facility of $500.0 million. We are exposed to changes in interest rates on all of these variable-rate debt instruments.</w:t>
      </w:r>
    </w:p>
    <w:p>
      <w:pPr>
        <w:spacing w:after="0" w:line="191"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The term loan A facility currently bears interest based on Adjusted Term SOFR plus an applicable margin of 2.00% per year. The term loan B facility currently bears interest based on Adjusted Term SOFR subject to a 0.50% floor plus an applicable margin of 2.50%. We used a sensitivity analysis to measure our interest rate risk exposure. If the SOFR rate increases or decreases 1% from March 31, 2024, the additional annual interest expense or savings related to the term loans would amount to approximately $16.4 million.</w:t>
      </w:r>
    </w:p>
    <w:p>
      <w:pPr>
        <w:spacing w:after="0" w:line="197" w:lineRule="exact"/>
        <w:rPr>
          <w:sz w:val="20"/>
          <w:szCs w:val="20"/>
          <w:color w:val="auto"/>
        </w:rPr>
      </w:pPr>
    </w:p>
    <w:p>
      <w:pPr>
        <w:ind w:right="200" w:firstLine="619"/>
        <w:spacing w:after="0" w:line="260" w:lineRule="auto"/>
        <w:rPr>
          <w:sz w:val="20"/>
          <w:szCs w:val="20"/>
          <w:color w:val="auto"/>
        </w:rPr>
      </w:pPr>
      <w:r>
        <w:rPr>
          <w:rFonts w:ascii="Times New Roman" w:cs="Times New Roman" w:eastAsia="Times New Roman" w:hAnsi="Times New Roman"/>
          <w:sz w:val="17"/>
          <w:szCs w:val="17"/>
          <w:color w:val="auto"/>
        </w:rPr>
        <w:t>In order to mitigate and offset a portion of this interest rate risk exposure associated with these debt instruments we entered into interest rate swaps to achieve a targeted mix of fixed and variable-rate debt. The term loan A swap has an initial notional amount of $300.0 million, reducing to $150.0 million evenly on a quarterly basis through its final maturity on March 30, 2027 and we will pay a fixed rate of 1.32% and will receive the greater of 3-month USD SOFR or</w:t>
      </w:r>
    </w:p>
    <w:p>
      <w:pPr>
        <w:spacing w:after="0" w:line="257" w:lineRule="auto"/>
        <w:rPr>
          <w:sz w:val="20"/>
          <w:szCs w:val="20"/>
          <w:color w:val="auto"/>
        </w:rPr>
      </w:pPr>
      <w:r>
        <w:rPr>
          <w:rFonts w:ascii="Times New Roman" w:cs="Times New Roman" w:eastAsia="Times New Roman" w:hAnsi="Times New Roman"/>
          <w:sz w:val="17"/>
          <w:szCs w:val="17"/>
          <w:color w:val="auto"/>
        </w:rPr>
        <w:t>(0.15)%. The term loan B swap has an initial notional amount of $750.0 million, reducing to $46.9 million evenly on a quarterly basis through its final maturity on March 30, 2026 and we will pay a fixed rate of 1.17% and will receive the greater of 3-month USD SOFR or 0.35%. In June 2023, we entered into an additional swap with a notional amount of $300.0 million with a maturity date of June 30, 2028 and we will pay a fixed rate of 3.8765% starting on June 30, 2023 and receive 3-month USD SOFR. See Note 7: Derivatives and Hedging Activities to the condensed consolidated financial statements in Part I, Item 1 of this Form 10-Q.</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Accounts Receivable Purchase Program</w:t>
      </w:r>
    </w:p>
    <w:p>
      <w:pPr>
        <w:spacing w:after="0" w:line="247" w:lineRule="exact"/>
        <w:rPr>
          <w:sz w:val="20"/>
          <w:szCs w:val="20"/>
          <w:color w:val="auto"/>
        </w:rPr>
      </w:pPr>
    </w:p>
    <w:p>
      <w:pPr>
        <w:ind w:right="200" w:firstLine="619"/>
        <w:spacing w:after="0" w:line="264" w:lineRule="auto"/>
        <w:rPr>
          <w:sz w:val="20"/>
          <w:szCs w:val="20"/>
          <w:color w:val="auto"/>
        </w:rPr>
      </w:pPr>
      <w:r>
        <w:rPr>
          <w:rFonts w:ascii="Times New Roman" w:cs="Times New Roman" w:eastAsia="Times New Roman" w:hAnsi="Times New Roman"/>
          <w:sz w:val="17"/>
          <w:szCs w:val="17"/>
          <w:color w:val="auto"/>
        </w:rPr>
        <w:t>Additionally, our accounts receivable purchase program with BMO bears discount rates tied to SOFR. These variable discount rates would affect the amount of factoring costs we incur, and the amount of cash we receive upon the sales of accounts receivable under this program. A 1% change in SOFR rates on the accounts receivable sales would not have a material impact on our results of operations. See Note 20: Accounts Receivables Purchase Program to the condensed consolidated financial statements in Part I, Item 1 of this Form 10-Q.</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Foreign Currency Exchange Rate Risk</w:t>
      </w:r>
    </w:p>
    <w:p>
      <w:pPr>
        <w:spacing w:after="0" w:line="247" w:lineRule="exact"/>
        <w:rPr>
          <w:sz w:val="20"/>
          <w:szCs w:val="20"/>
          <w:color w:val="auto"/>
        </w:rPr>
      </w:pPr>
    </w:p>
    <w:p>
      <w:pPr>
        <w:ind w:right="40" w:firstLine="169"/>
        <w:spacing w:after="0" w:line="258" w:lineRule="auto"/>
        <w:rPr>
          <w:sz w:val="20"/>
          <w:szCs w:val="20"/>
          <w:color w:val="auto"/>
        </w:rPr>
      </w:pPr>
      <w:r>
        <w:rPr>
          <w:rFonts w:ascii="Times New Roman" w:cs="Times New Roman" w:eastAsia="Times New Roman" w:hAnsi="Times New Roman"/>
          <w:sz w:val="17"/>
          <w:szCs w:val="17"/>
          <w:color w:val="auto"/>
        </w:rPr>
        <w:t>We transact business globally in multiple currencies, some of which are considered volatile. Our international revenues and expenses and working capital positions denominated in these foreign currencies expose us to the risk of fluctuations in foreign currency exchange rates against the U.S. dollar. As the receiver of foreign currencies we are adversely affected by the strengthening of the U.S. dollar and other currencies relative to the operating unit functional currency. Our hedging policy attempts to manage these risks to an acceptable level. We manage our foreign currency exposures on a consolidated basis to take advantage of net exposures and natural offsets, which are then further reduced by the gains and losses of our hedging instruments. Gains and losses on the hedging instruments offset gains and losses on the hedged forecasted transactions and reduce the earnings volatility related to foreign exchange, however we do not hedge our entire foreign exchange exposure and are still subject to earnings volatility due to foreign currency exchange rate risk.</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Our foreign currency exchange forward contracts hedge a portion of our forecasted foreign currency-denominated revenues and expenses (principally U.S. Dollar, Euros, Mexican Pesos, Japanese Yen, Canadian Dollar, Australian Dollar, and Chinese Renminbi) that differ from the functional currency of the operating unit. These derivative contracts are designated and qualify as cash flow hedges (see Note 7: Derivatives and Hedging Activities to the condensed consolidated financial statements in Part I, Item 1 of this Quarterly Report on Form 10-Q). We performed a sensitivity analysis to estimate changes in the fair value of our foreign exchange derivatives due to potential changes in near-term foreign currency exchange rates. At March 31, 2024, the effect of a hypothetical 10% weakening in the actual foreign currency exchange rates used for the applicable currencies would result in an estimated decrease in the fair value of these outstanding derivative contracts by approximately $5.4 million.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4. Controls and Procedures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Limitations on Effectiveness of Controls and Procedures</w:t>
      </w:r>
    </w:p>
    <w:p>
      <w:pPr>
        <w:spacing w:after="0" w:line="247" w:lineRule="exact"/>
        <w:rPr>
          <w:sz w:val="20"/>
          <w:szCs w:val="20"/>
          <w:color w:val="auto"/>
        </w:rPr>
      </w:pPr>
    </w:p>
    <w:p>
      <w:pPr>
        <w:ind w:right="3080" w:firstLine="619"/>
        <w:spacing w:after="0" w:line="261" w:lineRule="auto"/>
        <w:rPr>
          <w:sz w:val="20"/>
          <w:szCs w:val="20"/>
          <w:color w:val="auto"/>
        </w:rPr>
      </w:pPr>
      <w:r>
        <w:rPr>
          <w:rFonts w:ascii="Times New Roman" w:cs="Times New Roman" w:eastAsia="Times New Roman" w:hAnsi="Times New Roman"/>
          <w:sz w:val="17"/>
          <w:szCs w:val="17"/>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p>
    <w:p>
      <w:pPr>
        <w:spacing w:after="0" w:line="221" w:lineRule="exact"/>
        <w:rPr>
          <w:sz w:val="20"/>
          <w:szCs w:val="20"/>
          <w:color w:val="auto"/>
        </w:rPr>
      </w:pPr>
    </w:p>
    <w:p>
      <w:pPr>
        <w:jc w:val="both"/>
        <w:ind w:right="80" w:firstLine="619"/>
        <w:spacing w:after="0" w:line="276" w:lineRule="auto"/>
        <w:rPr>
          <w:sz w:val="20"/>
          <w:szCs w:val="20"/>
          <w:color w:val="auto"/>
        </w:rPr>
      </w:pPr>
      <w:r>
        <w:rPr>
          <w:rFonts w:ascii="Times New Roman" w:cs="Times New Roman" w:eastAsia="Times New Roman" w:hAnsi="Times New Roman"/>
          <w:sz w:val="17"/>
          <w:szCs w:val="17"/>
          <w:color w:val="auto"/>
        </w:rPr>
        <w:t>Our management, with the participation of our principal executive officer and principal financial officer, has evaluated the effectiveness of our disclosure controls and procedures (as such term is defined in Rules 13a-15(e) and 15d-15(e) under the Securities Exchange Act of 1934, as amended (the "Exchange Act")),</w:t>
      </w:r>
    </w:p>
    <w:p>
      <w:pPr>
        <w:spacing w:after="0" w:line="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as of the end of the period covered by this Quarterly Report. Based on the evaluation, our principal executive officer and principal financial officer concluded that, as of March 31, 2024, our disclosure controls and procedures were effective at the reasonable assurance level.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234" w:lineRule="exact"/>
        <w:rPr>
          <w:sz w:val="20"/>
          <w:szCs w:val="20"/>
          <w:color w:val="auto"/>
        </w:rPr>
      </w:pPr>
    </w:p>
    <w:p>
      <w:pPr>
        <w:ind w:right="360" w:firstLine="619"/>
        <w:spacing w:after="0" w:line="271"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(as defined in Rules 13a-15(f) and 15d-15(f) under the Exchange Act) during the quarter ended March 31, 2024 that has materially affected, or is reasonably likely to materially affect, our internal control over financial reporting.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1. Legal Proceedings</w:t>
      </w:r>
    </w:p>
    <w:p>
      <w:pPr>
        <w:spacing w:after="0" w:line="221" w:lineRule="exact"/>
        <w:rPr>
          <w:sz w:val="20"/>
          <w:szCs w:val="20"/>
          <w:color w:val="auto"/>
        </w:rPr>
      </w:pPr>
    </w:p>
    <w:p>
      <w:pPr>
        <w:ind w:right="380" w:firstLine="172"/>
        <w:spacing w:after="0" w:line="287" w:lineRule="auto"/>
        <w:rPr>
          <w:sz w:val="20"/>
          <w:szCs w:val="20"/>
          <w:color w:val="auto"/>
        </w:rPr>
      </w:pPr>
      <w:r>
        <w:rPr>
          <w:rFonts w:ascii="Times New Roman" w:cs="Times New Roman" w:eastAsia="Times New Roman" w:hAnsi="Times New Roman"/>
          <w:sz w:val="17"/>
          <w:szCs w:val="17"/>
          <w:color w:val="auto"/>
        </w:rPr>
        <w:t>Certain legal proceedings in which we are involved are discussed in Part I, Item 1. "Financial Statements" of this Form 10-Q in Note 18. Commitments and Contingencies to the Condensed Consolidated Financial Statements, and is incorporated herein by reference.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1A.  Risk Factors</w:t>
      </w:r>
    </w:p>
    <w:p>
      <w:pPr>
        <w:spacing w:after="0" w:line="221" w:lineRule="exact"/>
        <w:rPr>
          <w:sz w:val="20"/>
          <w:szCs w:val="20"/>
          <w:color w:val="auto"/>
        </w:rPr>
      </w:pPr>
    </w:p>
    <w:p>
      <w:pPr>
        <w:ind w:right="20" w:firstLine="172"/>
        <w:spacing w:after="0" w:line="264" w:lineRule="auto"/>
        <w:rPr>
          <w:sz w:val="20"/>
          <w:szCs w:val="20"/>
          <w:color w:val="auto"/>
        </w:rPr>
      </w:pPr>
      <w:r>
        <w:rPr>
          <w:rFonts w:ascii="Times New Roman" w:cs="Times New Roman" w:eastAsia="Times New Roman" w:hAnsi="Times New Roman"/>
          <w:sz w:val="17"/>
          <w:szCs w:val="17"/>
          <w:color w:val="auto"/>
        </w:rPr>
        <w:t>In evaluating an investment in our common stock, investors should consider carefully, among other things, the risk factors previously disclosed in Part I, Item 1A of our 2023 Annual Report on Form 10-K, as well as the information contained in this Quarterly Report, in each case as updated by our periodic reports and registration statements filed with the SEC. There have been no material changes to the risk factors disclosed in Part I. Item 1A of our 2023 Annual Report on Form 10-K.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2. Unregistered Sales of Equity Securities and Use of Proceeds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Purchase of Equity Securities</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is a summary of our stock repurchasing activity during the first quarter of 2024:</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01/01/2024 — 01/31/2024</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02/01/2024 — 02/29/2024</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03/01/2024 — 03/31/2024</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First quarter of 2024 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number of shares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vMerge w:val="restart"/>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8"/>
              </w:rPr>
              <w:t>Approximate</w:t>
            </w:r>
          </w:p>
        </w:tc>
        <w:tc>
          <w:tcPr>
            <w:tcW w:w="0" w:type="dxa"/>
            <w:vAlign w:val="bottom"/>
          </w:tcPr>
          <w:p>
            <w:pPr>
              <w:spacing w:after="0"/>
              <w:rPr>
                <w:sz w:val="1"/>
                <w:szCs w:val="1"/>
                <w:color w:val="auto"/>
              </w:rPr>
            </w:pPr>
          </w:p>
        </w:tc>
      </w:tr>
      <w:tr>
        <w:trPr>
          <w:trHeight w:val="140"/>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purchased as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4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part of a</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84"/>
              <w:spacing w:after="0" w:line="142" w:lineRule="exact"/>
              <w:rPr>
                <w:sz w:val="20"/>
                <w:szCs w:val="20"/>
                <w:color w:val="auto"/>
              </w:rPr>
            </w:pPr>
            <w:r>
              <w:rPr>
                <w:rFonts w:ascii="Times New Roman" w:cs="Times New Roman" w:eastAsia="Times New Roman" w:hAnsi="Times New Roman"/>
                <w:sz w:val="14"/>
                <w:szCs w:val="14"/>
                <w:b w:val="1"/>
                <w:bCs w:val="1"/>
                <w:color w:val="auto"/>
                <w:w w:val="97"/>
              </w:rPr>
              <w:t>dollar value that</w:t>
            </w:r>
          </w:p>
        </w:tc>
        <w:tc>
          <w:tcPr>
            <w:tcW w:w="0" w:type="dxa"/>
            <w:vAlign w:val="bottom"/>
          </w:tcPr>
          <w:p>
            <w:pPr>
              <w:spacing w:after="0"/>
              <w:rPr>
                <w:sz w:val="1"/>
                <w:szCs w:val="1"/>
                <w:color w:val="auto"/>
              </w:rPr>
            </w:pPr>
          </w:p>
        </w:tc>
      </w:tr>
      <w:tr>
        <w:trPr>
          <w:trHeight w:val="130"/>
        </w:trPr>
        <w:tc>
          <w:tcPr>
            <w:tcW w:w="14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Total number of shares</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4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publicly</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84"/>
              <w:spacing w:after="0" w:line="131" w:lineRule="exact"/>
              <w:rPr>
                <w:sz w:val="20"/>
                <w:szCs w:val="20"/>
                <w:color w:val="auto"/>
              </w:rPr>
            </w:pPr>
            <w:r>
              <w:rPr>
                <w:rFonts w:ascii="Times New Roman" w:cs="Times New Roman" w:eastAsia="Times New Roman" w:hAnsi="Times New Roman"/>
                <w:sz w:val="14"/>
                <w:szCs w:val="14"/>
                <w:b w:val="1"/>
                <w:bCs w:val="1"/>
                <w:color w:val="auto"/>
                <w:w w:val="99"/>
              </w:rPr>
              <w:t>may yet be</w:t>
            </w:r>
          </w:p>
        </w:tc>
        <w:tc>
          <w:tcPr>
            <w:tcW w:w="0" w:type="dxa"/>
            <w:vAlign w:val="bottom"/>
          </w:tcPr>
          <w:p>
            <w:pPr>
              <w:spacing w:after="0"/>
              <w:rPr>
                <w:sz w:val="1"/>
                <w:szCs w:val="1"/>
                <w:color w:val="auto"/>
              </w:rPr>
            </w:pPr>
          </w:p>
        </w:tc>
      </w:tr>
      <w:tr>
        <w:trPr>
          <w:trHeight w:val="140"/>
        </w:trPr>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price paid</w:t>
            </w:r>
          </w:p>
        </w:tc>
        <w:tc>
          <w:tcPr>
            <w:tcW w:w="14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announced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84"/>
              <w:spacing w:after="0" w:line="141" w:lineRule="exact"/>
              <w:rPr>
                <w:sz w:val="20"/>
                <w:szCs w:val="20"/>
                <w:color w:val="auto"/>
              </w:rPr>
            </w:pPr>
            <w:r>
              <w:rPr>
                <w:rFonts w:ascii="Times New Roman" w:cs="Times New Roman" w:eastAsia="Times New Roman" w:hAnsi="Times New Roman"/>
                <w:sz w:val="14"/>
                <w:szCs w:val="14"/>
                <w:b w:val="1"/>
                <w:bCs w:val="1"/>
                <w:color w:val="auto"/>
                <w:w w:val="98"/>
              </w:rPr>
              <w:t>purchased under</w:t>
            </w:r>
          </w:p>
        </w:tc>
        <w:tc>
          <w:tcPr>
            <w:tcW w:w="0" w:type="dxa"/>
            <w:vAlign w:val="bottom"/>
          </w:tcPr>
          <w:p>
            <w:pPr>
              <w:spacing w:after="0"/>
              <w:rPr>
                <w:sz w:val="1"/>
                <w:szCs w:val="1"/>
                <w:color w:val="auto"/>
              </w:rPr>
            </w:pPr>
          </w:p>
        </w:tc>
      </w:tr>
      <w:tr>
        <w:trPr>
          <w:trHeight w:val="193"/>
        </w:trPr>
        <w:tc>
          <w:tcPr>
            <w:tcW w:w="14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per share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program</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84"/>
              <w:spacing w:after="0" w:line="194" w:lineRule="exact"/>
              <w:rPr>
                <w:sz w:val="20"/>
                <w:szCs w:val="20"/>
                <w:color w:val="auto"/>
              </w:rPr>
            </w:pPr>
            <w:r>
              <w:rPr>
                <w:rFonts w:ascii="Times New Roman" w:cs="Times New Roman" w:eastAsia="Times New Roman" w:hAnsi="Times New Roman"/>
                <w:sz w:val="14"/>
                <w:szCs w:val="14"/>
                <w:b w:val="1"/>
                <w:bCs w:val="1"/>
                <w:color w:val="auto"/>
                <w:w w:val="95"/>
              </w:rPr>
              <w:t>the program</w:t>
            </w:r>
            <w:r>
              <w:rPr>
                <w:rFonts w:ascii="Times New Roman" w:cs="Times New Roman" w:eastAsia="Times New Roman" w:hAnsi="Times New Roman"/>
                <w:sz w:val="17"/>
                <w:szCs w:val="17"/>
                <w:b w:val="1"/>
                <w:bCs w:val="1"/>
                <w:color w:val="auto"/>
                <w:w w:val="95"/>
                <w:vertAlign w:val="superscript"/>
              </w:rPr>
              <w:t>(1)</w:t>
            </w:r>
          </w:p>
        </w:tc>
        <w:tc>
          <w:tcPr>
            <w:tcW w:w="0" w:type="dxa"/>
            <w:vAlign w:val="bottom"/>
          </w:tcPr>
          <w:p>
            <w:pPr>
              <w:spacing w:after="0"/>
              <w:rPr>
                <w:sz w:val="1"/>
                <w:szCs w:val="1"/>
                <w:color w:val="auto"/>
              </w:rPr>
            </w:pPr>
          </w:p>
        </w:tc>
      </w:tr>
      <w:tr>
        <w:trPr>
          <w:trHeight w:val="209"/>
        </w:trPr>
        <w:tc>
          <w:tcPr>
            <w:tcW w:w="1420" w:type="dxa"/>
            <w:vAlign w:val="bottom"/>
            <w:tcBorders>
              <w:top w:val="single" w:sz="8" w:color="auto"/>
            </w:tcBorders>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4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7"/>
                <w:szCs w:val="17"/>
                <w:color w:val="auto"/>
              </w:rPr>
              <w:t>100,000,000</w:t>
            </w:r>
          </w:p>
        </w:tc>
        <w:tc>
          <w:tcPr>
            <w:tcW w:w="0" w:type="dxa"/>
            <w:vAlign w:val="bottom"/>
          </w:tcPr>
          <w:p>
            <w:pPr>
              <w:spacing w:after="0"/>
              <w:rPr>
                <w:sz w:val="1"/>
                <w:szCs w:val="1"/>
                <w:color w:val="auto"/>
              </w:rPr>
            </w:pPr>
          </w:p>
        </w:tc>
      </w:tr>
      <w:tr>
        <w:trPr>
          <w:trHeight w:val="219"/>
        </w:trPr>
        <w:tc>
          <w:tcPr>
            <w:tcW w:w="142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100,000,000</w:t>
            </w:r>
          </w:p>
        </w:tc>
        <w:tc>
          <w:tcPr>
            <w:tcW w:w="0" w:type="dxa"/>
            <w:vAlign w:val="bottom"/>
          </w:tcPr>
          <w:p>
            <w:pPr>
              <w:spacing w:after="0"/>
              <w:rPr>
                <w:sz w:val="1"/>
                <w:szCs w:val="1"/>
                <w:color w:val="auto"/>
              </w:rPr>
            </w:pPr>
          </w:p>
        </w:tc>
      </w:tr>
      <w:tr>
        <w:trPr>
          <w:trHeight w:val="223"/>
        </w:trPr>
        <w:tc>
          <w:tcPr>
            <w:tcW w:w="14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100,000,000</w:t>
            </w:r>
          </w:p>
        </w:tc>
        <w:tc>
          <w:tcPr>
            <w:tcW w:w="0" w:type="dxa"/>
            <w:vAlign w:val="bottom"/>
          </w:tcPr>
          <w:p>
            <w:pPr>
              <w:spacing w:after="0"/>
              <w:rPr>
                <w:sz w:val="1"/>
                <w:szCs w:val="1"/>
                <w:color w:val="auto"/>
              </w:rPr>
            </w:pPr>
          </w:p>
        </w:tc>
      </w:tr>
      <w:tr>
        <w:trPr>
          <w:trHeight w:val="212"/>
        </w:trPr>
        <w:tc>
          <w:tcPr>
            <w:tcW w:w="14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100,000,000</w:t>
            </w:r>
          </w:p>
        </w:tc>
        <w:tc>
          <w:tcPr>
            <w:tcW w:w="0" w:type="dxa"/>
            <w:vAlign w:val="bottom"/>
          </w:tcPr>
          <w:p>
            <w:pPr>
              <w:spacing w:after="0"/>
              <w:rPr>
                <w:sz w:val="1"/>
                <w:szCs w:val="1"/>
                <w:color w:val="auto"/>
              </w:rPr>
            </w:pP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-3291205</wp:posOffset>
            </wp:positionH>
            <wp:positionV relativeFrom="paragraph">
              <wp:posOffset>-318770</wp:posOffset>
            </wp:positionV>
            <wp:extent cx="7122160" cy="1390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22160" cy="139065"/>
                    </a:xfrm>
                    <a:prstGeom prst="rect">
                      <a:avLst/>
                    </a:prstGeom>
                    <a:noFill/>
                  </pic:spPr>
                </pic:pic>
              </a:graphicData>
            </a:graphic>
          </wp:anchor>
        </w:drawing>
        <w:drawing>
          <wp:anchor simplePos="0" relativeHeight="251657728" behindDoc="1" locked="0" layoutInCell="0" allowOverlap="1">
            <wp:simplePos x="0" y="0"/>
            <wp:positionH relativeFrom="column">
              <wp:posOffset>-3291205</wp:posOffset>
            </wp:positionH>
            <wp:positionV relativeFrom="paragraph">
              <wp:posOffset>-605155</wp:posOffset>
            </wp:positionV>
            <wp:extent cx="7122160" cy="147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22160" cy="147320"/>
                    </a:xfrm>
                    <a:prstGeom prst="rect">
                      <a:avLst/>
                    </a:prstGeom>
                    <a:noFill/>
                  </pic:spPr>
                </pic:pic>
              </a:graphicData>
            </a:graphic>
          </wp:anchor>
        </w:drawing>
      </w:r>
    </w:p>
    <w:p>
      <w:pPr>
        <w:spacing w:after="0" w:line="69" w:lineRule="exact"/>
        <w:rPr>
          <w:sz w:val="20"/>
          <w:szCs w:val="20"/>
          <w:color w:val="auto"/>
        </w:rPr>
      </w:pPr>
    </w:p>
    <w:p>
      <w:pPr>
        <w:sectPr>
          <w:pgSz w:w="11900" w:h="16838" w:orient="portrait"/>
          <w:cols w:equalWidth="0" w:num="2">
            <w:col w:w="4480" w:space="720"/>
            <w:col w:w="6060"/>
          </w:cols>
          <w:pgMar w:left="320" w:top="123" w:right="319" w:bottom="1440" w:gutter="0" w:footer="0" w:header="0"/>
        </w:sectPr>
      </w:pPr>
    </w:p>
    <w:p>
      <w:pPr>
        <w:spacing w:after="0"/>
        <w:rPr>
          <w:sz w:val="20"/>
          <w:szCs w:val="20"/>
          <w:color w:val="auto"/>
        </w:rPr>
      </w:pPr>
      <w:r>
        <w:rPr>
          <w:rFonts w:ascii="Times New Roman" w:cs="Times New Roman" w:eastAsia="Times New Roman" w:hAnsi="Times New Roman"/>
          <w:sz w:val="19"/>
          <w:szCs w:val="19"/>
          <w:color w:val="auto"/>
        </w:rPr>
        <w:t>____________________________</w:t>
      </w:r>
    </w:p>
    <w:p>
      <w:pPr>
        <w:spacing w:after="0" w:line="108" w:lineRule="exact"/>
        <w:rPr>
          <w:sz w:val="20"/>
          <w:szCs w:val="20"/>
          <w:color w:val="auto"/>
        </w:rPr>
      </w:pPr>
    </w:p>
    <w:p>
      <w:pPr>
        <w:ind w:left="320" w:right="40" w:hanging="317"/>
        <w:spacing w:after="0" w:line="245" w:lineRule="auto"/>
        <w:tabs>
          <w:tab w:leader="none" w:pos="230"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Our common stock purchase plan, which authorized the repurchase of up to $100.0 million of our common stock, was authorized by our Board of Directors and publicly announced in August, 2019. This plan has no expiration date. We are not obligated to make any purchases under our stock purchase program. Subject to applicable state and federal corporate and securities laws and any restrictions on share purchases under our debt agreements, purchases under a stock purchase program may be made at such times and in such amounts as we deem appropriate. Purchases made under our stock purchase program can be discontinued at any time we feel additional purchases are not warranted. We are limited on share purchases in accordance with the terms and conditions of our Credit Agreement (see Note 16: Long-Term Obligations in our accompanying condensed consolidated financial statements).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5. Other Information</w:t>
      </w:r>
    </w:p>
    <w:p>
      <w:pPr>
        <w:spacing w:after="0" w:line="247" w:lineRule="exact"/>
        <w:rPr>
          <w:sz w:val="20"/>
          <w:szCs w:val="20"/>
          <w:color w:val="auto"/>
        </w:rPr>
      </w:pPr>
    </w:p>
    <w:p>
      <w:pPr>
        <w:ind w:left="680" w:hanging="367"/>
        <w:spacing w:after="0"/>
        <w:tabs>
          <w:tab w:leader="none" w:pos="6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w:t>
      </w:r>
    </w:p>
    <w:p>
      <w:pPr>
        <w:spacing w:after="0" w:line="242" w:lineRule="exact"/>
        <w:rPr>
          <w:rFonts w:ascii="Times New Roman" w:cs="Times New Roman" w:eastAsia="Times New Roman" w:hAnsi="Times New Roman"/>
          <w:sz w:val="17"/>
          <w:szCs w:val="17"/>
          <w:color w:val="auto"/>
        </w:rPr>
      </w:pPr>
    </w:p>
    <w:p>
      <w:pPr>
        <w:ind w:left="680" w:hanging="367"/>
        <w:spacing w:after="0"/>
        <w:tabs>
          <w:tab w:leader="none" w:pos="6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w:t>
      </w:r>
    </w:p>
    <w:p>
      <w:pPr>
        <w:spacing w:after="0" w:line="242" w:lineRule="exact"/>
        <w:rPr>
          <w:rFonts w:ascii="Times New Roman" w:cs="Times New Roman" w:eastAsia="Times New Roman" w:hAnsi="Times New Roman"/>
          <w:sz w:val="17"/>
          <w:szCs w:val="17"/>
          <w:color w:val="auto"/>
        </w:rPr>
      </w:pPr>
    </w:p>
    <w:p>
      <w:pPr>
        <w:spacing w:after="0"/>
        <w:tabs>
          <w:tab w:leader="none" w:pos="0" w:val="left"/>
        </w:tabs>
        <w:numPr>
          <w:ilvl w:val="0"/>
          <w:numId w:val="41"/>
        </w:numPr>
        <w:rPr>
          <w:rFonts w:ascii="Times New Roman" w:cs="Times New Roman" w:eastAsia="Times New Roman" w:hAnsi="Times New Roman"/>
          <w:sz w:val="17"/>
          <w:szCs w:val="17"/>
          <w:color w:val="auto"/>
        </w:rPr>
      </w:pPr>
    </w:p>
    <w:p>
      <w:pPr>
        <w:spacing w:after="0" w:line="239" w:lineRule="exact"/>
        <w:rPr>
          <w:sz w:val="20"/>
          <w:szCs w:val="20"/>
          <w:color w:val="auto"/>
        </w:rPr>
      </w:pPr>
    </w:p>
    <w:p>
      <w:pPr>
        <w:ind w:left="320" w:right="140"/>
        <w:spacing w:after="0" w:line="272" w:lineRule="auto"/>
        <w:rPr>
          <w:sz w:val="20"/>
          <w:szCs w:val="20"/>
          <w:color w:val="auto"/>
        </w:rPr>
      </w:pPr>
      <w:r>
        <w:rPr>
          <w:rFonts w:ascii="Times New Roman" w:cs="Times New Roman" w:eastAsia="Times New Roman" w:hAnsi="Times New Roman"/>
          <w:sz w:val="17"/>
          <w:szCs w:val="17"/>
          <w:color w:val="auto"/>
        </w:rPr>
        <w:t xml:space="preserve">The following table shows any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Rule 10b5-1 trading arrangement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non-Rule 10b5-1 trading arrangement,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each as defined in Item 408(a) of Regulation S-K, adopted, modified, or terminated by our directors or "officers" (as defined in Rule 16a-1(f) under the Exchange Act) during the three months ended March 31, 2024.</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1620" w:type="dxa"/>
            <w:vAlign w:val="bottom"/>
            <w:tcBorders>
              <w:top w:val="single" w:sz="8" w:color="auto"/>
              <w:left w:val="single" w:sz="8" w:color="auto"/>
              <w:right w:val="single" w:sz="8" w:color="auto"/>
            </w:tcBorders>
            <w:vMerge w:val="restart"/>
          </w:tcPr>
          <w:p>
            <w:pPr>
              <w:ind w:left="440"/>
              <w:spacing w:after="0"/>
              <w:rPr>
                <w:sz w:val="20"/>
                <w:szCs w:val="20"/>
                <w:color w:val="auto"/>
              </w:rPr>
            </w:pPr>
            <w:r>
              <w:rPr>
                <w:rFonts w:ascii="Times New Roman" w:cs="Times New Roman" w:eastAsia="Times New Roman" w:hAnsi="Times New Roman"/>
                <w:sz w:val="15"/>
                <w:szCs w:val="15"/>
                <w:b w:val="1"/>
                <w:bCs w:val="1"/>
                <w:color w:val="auto"/>
              </w:rPr>
              <w:t>Name/Title</w:t>
            </w:r>
          </w:p>
        </w:tc>
        <w:tc>
          <w:tcPr>
            <w:tcW w:w="1140" w:type="dxa"/>
            <w:vAlign w:val="bottom"/>
            <w:tcBorders>
              <w:top w:val="single" w:sz="8" w:color="auto"/>
              <w:right w:val="single" w:sz="8" w:color="auto"/>
            </w:tcBorders>
            <w:vMerge w:val="restart"/>
          </w:tcPr>
          <w:p>
            <w:pPr>
              <w:ind w:left="340"/>
              <w:spacing w:after="0"/>
              <w:rPr>
                <w:sz w:val="20"/>
                <w:szCs w:val="20"/>
                <w:color w:val="auto"/>
              </w:rPr>
            </w:pPr>
            <w:r>
              <w:rPr>
                <w:rFonts w:ascii="Times New Roman" w:cs="Times New Roman" w:eastAsia="Times New Roman" w:hAnsi="Times New Roman"/>
                <w:sz w:val="15"/>
                <w:szCs w:val="15"/>
                <w:b w:val="1"/>
                <w:bCs w:val="1"/>
                <w:color w:val="auto"/>
              </w:rPr>
              <w:t>Action</w:t>
            </w:r>
          </w:p>
        </w:tc>
        <w:tc>
          <w:tcPr>
            <w:tcW w:w="2120" w:type="dxa"/>
            <w:vAlign w:val="bottom"/>
            <w:tcBorders>
              <w:top w:val="single" w:sz="8" w:color="auto"/>
              <w:right w:val="single" w:sz="8" w:color="auto"/>
            </w:tcBorders>
            <w:vMerge w:val="restart"/>
          </w:tcPr>
          <w:p>
            <w:pPr>
              <w:ind w:left="620"/>
              <w:spacing w:after="0"/>
              <w:rPr>
                <w:sz w:val="20"/>
                <w:szCs w:val="20"/>
                <w:color w:val="auto"/>
              </w:rPr>
            </w:pPr>
            <w:r>
              <w:rPr>
                <w:rFonts w:ascii="Times New Roman" w:cs="Times New Roman" w:eastAsia="Times New Roman" w:hAnsi="Times New Roman"/>
                <w:sz w:val="15"/>
                <w:szCs w:val="15"/>
                <w:b w:val="1"/>
                <w:bCs w:val="1"/>
                <w:color w:val="auto"/>
              </w:rPr>
              <w:t>Type of Plan</w:t>
            </w:r>
          </w:p>
        </w:tc>
        <w:tc>
          <w:tcPr>
            <w:tcW w:w="1420" w:type="dxa"/>
            <w:vAlign w:val="bottom"/>
            <w:tcBorders>
              <w:top w:val="single" w:sz="8" w:color="auto"/>
              <w:right w:val="single" w:sz="8" w:color="auto"/>
            </w:tcBorders>
            <w:vMerge w:val="restart"/>
          </w:tcPr>
          <w:p>
            <w:pPr>
              <w:ind w:left="200"/>
              <w:spacing w:after="0"/>
              <w:rPr>
                <w:sz w:val="20"/>
                <w:szCs w:val="20"/>
                <w:color w:val="auto"/>
              </w:rPr>
            </w:pPr>
            <w:r>
              <w:rPr>
                <w:rFonts w:ascii="Times New Roman" w:cs="Times New Roman" w:eastAsia="Times New Roman" w:hAnsi="Times New Roman"/>
                <w:sz w:val="15"/>
                <w:szCs w:val="15"/>
                <w:b w:val="1"/>
                <w:bCs w:val="1"/>
                <w:color w:val="auto"/>
              </w:rPr>
              <w:t>Adoption Date</w:t>
            </w:r>
          </w:p>
        </w:tc>
        <w:tc>
          <w:tcPr>
            <w:tcW w:w="2040" w:type="dxa"/>
            <w:vAlign w:val="bottom"/>
            <w:tcBorders>
              <w:top w:val="single" w:sz="8" w:color="auto"/>
              <w:right w:val="single" w:sz="8" w:color="auto"/>
            </w:tcBorders>
            <w:vMerge w:val="restart"/>
          </w:tcPr>
          <w:p>
            <w:pPr>
              <w:ind w:left="700"/>
              <w:spacing w:after="0"/>
              <w:rPr>
                <w:sz w:val="20"/>
                <w:szCs w:val="20"/>
                <w:color w:val="auto"/>
              </w:rPr>
            </w:pPr>
            <w:r>
              <w:rPr>
                <w:rFonts w:ascii="Times New Roman" w:cs="Times New Roman" w:eastAsia="Times New Roman" w:hAnsi="Times New Roman"/>
                <w:sz w:val="15"/>
                <w:szCs w:val="15"/>
                <w:b w:val="1"/>
                <w:bCs w:val="1"/>
                <w:color w:val="auto"/>
              </w:rPr>
              <w:t>End Date</w:t>
            </w:r>
          </w:p>
        </w:tc>
        <w:tc>
          <w:tcPr>
            <w:tcW w:w="1500" w:type="dxa"/>
            <w:vAlign w:val="bottom"/>
            <w:tcBorders>
              <w:top w:val="single" w:sz="8" w:color="auto"/>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5"/>
                <w:szCs w:val="15"/>
                <w:b w:val="1"/>
                <w:bCs w:val="1"/>
                <w:color w:val="auto"/>
              </w:rPr>
              <w:t>Aggregate Number of</w:t>
            </w:r>
          </w:p>
        </w:tc>
        <w:tc>
          <w:tcPr>
            <w:tcW w:w="1420" w:type="dxa"/>
            <w:vAlign w:val="bottom"/>
            <w:tcBorders>
              <w:top w:val="single" w:sz="8" w:color="auto"/>
              <w:right w:val="single" w:sz="8" w:color="auto"/>
            </w:tcBorders>
            <w:vMerge w:val="restart"/>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Plan Description</w:t>
            </w:r>
          </w:p>
        </w:tc>
        <w:tc>
          <w:tcPr>
            <w:tcW w:w="0" w:type="dxa"/>
            <w:vAlign w:val="bottom"/>
          </w:tcPr>
          <w:p>
            <w:pPr>
              <w:spacing w:after="0"/>
              <w:rPr>
                <w:sz w:val="1"/>
                <w:szCs w:val="1"/>
                <w:color w:val="auto"/>
              </w:rPr>
            </w:pPr>
          </w:p>
        </w:tc>
      </w:tr>
      <w:tr>
        <w:trPr>
          <w:trHeight w:val="205"/>
        </w:trPr>
        <w:tc>
          <w:tcPr>
            <w:tcW w:w="162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140" w:type="dxa"/>
            <w:vAlign w:val="bottom"/>
            <w:tcBorders>
              <w:bottom w:val="single" w:sz="8" w:color="auto"/>
              <w:right w:val="single" w:sz="8" w:color="auto"/>
            </w:tcBorders>
            <w:vMerge w:val="continue"/>
          </w:tcPr>
          <w:p>
            <w:pPr>
              <w:spacing w:after="0"/>
              <w:rPr>
                <w:sz w:val="17"/>
                <w:szCs w:val="17"/>
                <w:color w:val="auto"/>
              </w:rPr>
            </w:pPr>
          </w:p>
        </w:tc>
        <w:tc>
          <w:tcPr>
            <w:tcW w:w="2120" w:type="dxa"/>
            <w:vAlign w:val="bottom"/>
            <w:tcBorders>
              <w:bottom w:val="single" w:sz="8" w:color="auto"/>
              <w:right w:val="single" w:sz="8" w:color="auto"/>
            </w:tcBorders>
            <w:vMerge w:val="continue"/>
          </w:tcPr>
          <w:p>
            <w:pPr>
              <w:spacing w:after="0"/>
              <w:rPr>
                <w:sz w:val="17"/>
                <w:szCs w:val="17"/>
                <w:color w:val="auto"/>
              </w:rPr>
            </w:pPr>
          </w:p>
        </w:tc>
        <w:tc>
          <w:tcPr>
            <w:tcW w:w="1420" w:type="dxa"/>
            <w:vAlign w:val="bottom"/>
            <w:tcBorders>
              <w:bottom w:val="single" w:sz="8" w:color="auto"/>
              <w:right w:val="single" w:sz="8" w:color="auto"/>
            </w:tcBorders>
            <w:vMerge w:val="continue"/>
          </w:tcPr>
          <w:p>
            <w:pPr>
              <w:spacing w:after="0"/>
              <w:rPr>
                <w:sz w:val="17"/>
                <w:szCs w:val="17"/>
                <w:color w:val="auto"/>
              </w:rPr>
            </w:pPr>
          </w:p>
        </w:tc>
        <w:tc>
          <w:tcPr>
            <w:tcW w:w="2040" w:type="dxa"/>
            <w:vAlign w:val="bottom"/>
            <w:tcBorders>
              <w:bottom w:val="single" w:sz="8" w:color="auto"/>
              <w:right w:val="single" w:sz="8" w:color="auto"/>
            </w:tcBorders>
            <w:vMerge w:val="continue"/>
          </w:tcPr>
          <w:p>
            <w:pPr>
              <w:spacing w:after="0"/>
              <w:rPr>
                <w:sz w:val="17"/>
                <w:szCs w:val="17"/>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Securities to be Sold</w:t>
            </w:r>
          </w:p>
        </w:tc>
        <w:tc>
          <w:tcPr>
            <w:tcW w:w="14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620" w:type="dxa"/>
            <w:vAlign w:val="bottom"/>
            <w:tcBorders>
              <w:left w:val="single" w:sz="8" w:color="auto"/>
              <w:right w:val="single" w:sz="8" w:color="auto"/>
            </w:tcBorders>
          </w:tcPr>
          <w:p>
            <w:pPr>
              <w:ind w:left="40"/>
              <w:spacing w:after="0" w:line="150" w:lineRule="exact"/>
              <w:rPr>
                <w:sz w:val="20"/>
                <w:szCs w:val="20"/>
                <w:color w:val="auto"/>
              </w:rPr>
            </w:pPr>
            <w:r>
              <w:rPr>
                <w:rFonts w:ascii="Times New Roman" w:cs="Times New Roman" w:eastAsia="Times New Roman" w:hAnsi="Times New Roman"/>
                <w:sz w:val="15"/>
                <w:szCs w:val="15"/>
                <w:color w:val="auto"/>
              </w:rPr>
              <w:t>Vivek Jain, Chief</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Adopted</w:t>
            </w:r>
          </w:p>
        </w:tc>
        <w:tc>
          <w:tcPr>
            <w:tcW w:w="2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Rule 10b5-1 trading plan</w:t>
            </w:r>
          </w:p>
        </w:tc>
        <w:tc>
          <w:tcPr>
            <w:tcW w:w="1420" w:type="dxa"/>
            <w:vAlign w:val="bottom"/>
            <w:tcBorders>
              <w:right w:val="single" w:sz="8" w:color="auto"/>
            </w:tcBorders>
            <w:vMerge w:val="restart"/>
          </w:tcPr>
          <w:p>
            <w:pPr>
              <w:ind w:left="400"/>
              <w:spacing w:after="0"/>
              <w:rPr>
                <w:sz w:val="20"/>
                <w:szCs w:val="20"/>
                <w:color w:val="auto"/>
              </w:rPr>
            </w:pPr>
            <w:r>
              <w:rPr>
                <w:rFonts w:ascii="Times New Roman" w:cs="Times New Roman" w:eastAsia="Times New Roman" w:hAnsi="Times New Roman"/>
                <w:sz w:val="15"/>
                <w:szCs w:val="15"/>
                <w:color w:val="auto"/>
              </w:rPr>
              <w:t>March 15, 2024</w:t>
            </w:r>
          </w:p>
        </w:tc>
        <w:tc>
          <w:tcPr>
            <w:tcW w:w="2040" w:type="dxa"/>
            <w:vAlign w:val="bottom"/>
            <w:tcBorders>
              <w:right w:val="single" w:sz="8" w:color="auto"/>
            </w:tcBorders>
            <w:vMerge w:val="restart"/>
          </w:tcPr>
          <w:p>
            <w:pPr>
              <w:ind w:left="860"/>
              <w:spacing w:after="0"/>
              <w:rPr>
                <w:sz w:val="20"/>
                <w:szCs w:val="20"/>
                <w:color w:val="auto"/>
              </w:rPr>
            </w:pPr>
            <w:r>
              <w:rPr>
                <w:rFonts w:ascii="Times New Roman" w:cs="Times New Roman" w:eastAsia="Times New Roman" w:hAnsi="Times New Roman"/>
                <w:sz w:val="15"/>
                <w:szCs w:val="15"/>
                <w:color w:val="auto"/>
              </w:rPr>
              <w:t>February 11, 2025</w:t>
            </w:r>
          </w:p>
        </w:tc>
        <w:tc>
          <w:tcPr>
            <w:tcW w:w="1500" w:type="dxa"/>
            <w:vAlign w:val="bottom"/>
            <w:tcBorders>
              <w:right w:val="single" w:sz="8" w:color="auto"/>
            </w:tcBorders>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61,373</w:t>
            </w:r>
          </w:p>
        </w:tc>
        <w:tc>
          <w:tcPr>
            <w:tcW w:w="1420" w:type="dxa"/>
            <w:vAlign w:val="bottom"/>
            <w:tcBorders>
              <w:right w:val="single" w:sz="8" w:color="auto"/>
            </w:tcBorders>
          </w:tcPr>
          <w:p>
            <w:pPr>
              <w:jc w:val="right"/>
              <w:ind w:right="103"/>
              <w:spacing w:after="0" w:line="150" w:lineRule="exact"/>
              <w:rPr>
                <w:sz w:val="20"/>
                <w:szCs w:val="20"/>
                <w:color w:val="auto"/>
              </w:rPr>
            </w:pPr>
            <w:r>
              <w:rPr>
                <w:rFonts w:ascii="Times New Roman" w:cs="Times New Roman" w:eastAsia="Times New Roman" w:hAnsi="Times New Roman"/>
                <w:sz w:val="15"/>
                <w:szCs w:val="15"/>
                <w:color w:val="auto"/>
              </w:rPr>
              <w:t>Exercise and sale of</w:t>
            </w: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Executive Officer</w:t>
            </w:r>
          </w:p>
        </w:tc>
        <w:tc>
          <w:tcPr>
            <w:tcW w:w="1140" w:type="dxa"/>
            <w:vAlign w:val="bottom"/>
            <w:tcBorders>
              <w:bottom w:val="single" w:sz="8" w:color="auto"/>
              <w:right w:val="single" w:sz="8" w:color="auto"/>
            </w:tcBorders>
            <w:vMerge w:val="continue"/>
          </w:tcPr>
          <w:p>
            <w:pPr>
              <w:spacing w:after="0"/>
              <w:rPr>
                <w:sz w:val="17"/>
                <w:szCs w:val="17"/>
                <w:color w:val="auto"/>
              </w:rPr>
            </w:pPr>
          </w:p>
        </w:tc>
        <w:tc>
          <w:tcPr>
            <w:tcW w:w="2120" w:type="dxa"/>
            <w:vAlign w:val="bottom"/>
            <w:tcBorders>
              <w:bottom w:val="single" w:sz="8" w:color="auto"/>
              <w:right w:val="single" w:sz="8" w:color="auto"/>
            </w:tcBorders>
            <w:vMerge w:val="continue"/>
          </w:tcPr>
          <w:p>
            <w:pPr>
              <w:spacing w:after="0"/>
              <w:rPr>
                <w:sz w:val="17"/>
                <w:szCs w:val="17"/>
                <w:color w:val="auto"/>
              </w:rPr>
            </w:pPr>
          </w:p>
        </w:tc>
        <w:tc>
          <w:tcPr>
            <w:tcW w:w="1420" w:type="dxa"/>
            <w:vAlign w:val="bottom"/>
            <w:tcBorders>
              <w:bottom w:val="single" w:sz="8" w:color="auto"/>
              <w:right w:val="single" w:sz="8" w:color="auto"/>
            </w:tcBorders>
            <w:vMerge w:val="continue"/>
          </w:tcPr>
          <w:p>
            <w:pPr>
              <w:spacing w:after="0"/>
              <w:rPr>
                <w:sz w:val="17"/>
                <w:szCs w:val="17"/>
                <w:color w:val="auto"/>
              </w:rPr>
            </w:pPr>
          </w:p>
        </w:tc>
        <w:tc>
          <w:tcPr>
            <w:tcW w:w="2040" w:type="dxa"/>
            <w:vAlign w:val="bottom"/>
            <w:tcBorders>
              <w:bottom w:val="single" w:sz="8" w:color="auto"/>
              <w:right w:val="single" w:sz="8" w:color="auto"/>
            </w:tcBorders>
            <w:vMerge w:val="continue"/>
          </w:tcPr>
          <w:p>
            <w:pPr>
              <w:spacing w:after="0"/>
              <w:rPr>
                <w:sz w:val="17"/>
                <w:szCs w:val="17"/>
                <w:color w:val="auto"/>
              </w:rPr>
            </w:pPr>
          </w:p>
        </w:tc>
        <w:tc>
          <w:tcPr>
            <w:tcW w:w="1500" w:type="dxa"/>
            <w:vAlign w:val="bottom"/>
            <w:tcBorders>
              <w:bottom w:val="single" w:sz="8" w:color="auto"/>
              <w:right w:val="single" w:sz="8" w:color="auto"/>
            </w:tcBorders>
            <w:vMerge w:val="continue"/>
          </w:tcPr>
          <w:p>
            <w:pPr>
              <w:spacing w:after="0"/>
              <w:rPr>
                <w:sz w:val="17"/>
                <w:szCs w:val="17"/>
                <w:color w:val="auto"/>
              </w:rPr>
            </w:pPr>
          </w:p>
        </w:tc>
        <w:tc>
          <w:tcPr>
            <w:tcW w:w="1420" w:type="dxa"/>
            <w:vAlign w:val="bottom"/>
            <w:tcBorders>
              <w:bottom w:val="single" w:sz="8" w:color="auto"/>
              <w:right w:val="single" w:sz="8" w:color="auto"/>
            </w:tcBorders>
          </w:tcPr>
          <w:p>
            <w:pPr>
              <w:jc w:val="right"/>
              <w:ind w:right="883"/>
              <w:spacing w:after="0"/>
              <w:rPr>
                <w:sz w:val="20"/>
                <w:szCs w:val="20"/>
                <w:color w:val="auto"/>
              </w:rPr>
            </w:pPr>
            <w:r>
              <w:rPr>
                <w:rFonts w:ascii="Times New Roman" w:cs="Times New Roman" w:eastAsia="Times New Roman" w:hAnsi="Times New Roman"/>
                <w:sz w:val="15"/>
                <w:szCs w:val="15"/>
                <w:color w:val="auto"/>
                <w:w w:val="99"/>
              </w:rPr>
              <w:t>options</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auto"/>
        </w:rPr>
        <w:t>Other than as disclosed above, no other officer (as defined in Rule 16a-1(f) under the Exchange Act) or director of the Company adopted, modified, or terminated a "Rule 10b5-1 trading arrangement" or “non-Rule 10b5-1 trading arrangement,” each as defined in Item 408(a) of Regulation S-K.</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w w:val="99"/>
              </w:rPr>
              <w:t>Exhibit Number</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Exhibit Description</w:t>
            </w:r>
          </w:p>
        </w:tc>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Filed/</w:t>
            </w:r>
          </w:p>
        </w:tc>
        <w:tc>
          <w:tcPr>
            <w:tcW w:w="0" w:type="dxa"/>
            <w:vAlign w:val="bottom"/>
          </w:tcPr>
          <w:p>
            <w:pPr>
              <w:spacing w:after="0"/>
              <w:rPr>
                <w:sz w:val="1"/>
                <w:szCs w:val="1"/>
                <w:color w:val="auto"/>
              </w:rPr>
            </w:pPr>
          </w:p>
        </w:tc>
      </w:tr>
      <w:tr>
        <w:trPr>
          <w:trHeight w:val="116"/>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780" w:type="dxa"/>
            <w:vAlign w:val="bottom"/>
          </w:tcPr>
          <w:p>
            <w:pPr>
              <w:ind w:left="40"/>
              <w:spacing w:after="0" w:line="167" w:lineRule="exact"/>
              <w:rPr>
                <w:sz w:val="20"/>
                <w:szCs w:val="20"/>
                <w:color w:val="auto"/>
              </w:rPr>
            </w:pPr>
            <w:r>
              <w:rPr>
                <w:rFonts w:ascii="Times New Roman" w:cs="Times New Roman" w:eastAsia="Times New Roman" w:hAnsi="Times New Roman"/>
                <w:sz w:val="17"/>
                <w:szCs w:val="17"/>
                <w:b w:val="1"/>
                <w:bCs w:val="1"/>
                <w:color w:val="auto"/>
                <w:w w:val="96"/>
              </w:rPr>
              <w:t>Furnished</w:t>
            </w:r>
          </w:p>
        </w:tc>
        <w:tc>
          <w:tcPr>
            <w:tcW w:w="0" w:type="dxa"/>
            <w:vAlign w:val="bottom"/>
          </w:tcPr>
          <w:p>
            <w:pPr>
              <w:spacing w:after="0"/>
              <w:rPr>
                <w:sz w:val="1"/>
                <w:szCs w:val="1"/>
                <w:color w:val="auto"/>
              </w:rPr>
            </w:pPr>
          </w:p>
        </w:tc>
      </w:tr>
      <w:tr>
        <w:trPr>
          <w:trHeight w:val="227"/>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Herewith</w:t>
            </w:r>
          </w:p>
        </w:tc>
        <w:tc>
          <w:tcPr>
            <w:tcW w:w="0" w:type="dxa"/>
            <w:vAlign w:val="bottom"/>
          </w:tcPr>
          <w:p>
            <w:pPr>
              <w:spacing w:after="0"/>
              <w:rPr>
                <w:sz w:val="1"/>
                <w:szCs w:val="1"/>
                <w:color w:val="auto"/>
              </w:rPr>
            </w:pPr>
          </w:p>
        </w:tc>
      </w:tr>
      <w:tr>
        <w:trPr>
          <w:trHeight w:val="185"/>
        </w:trPr>
        <w:tc>
          <w:tcPr>
            <w:tcW w:w="1260" w:type="dxa"/>
            <w:vAlign w:val="bottom"/>
            <w:gridSpan w:val="3"/>
          </w:tcPr>
          <w:p>
            <w:pPr>
              <w:jc w:val="right"/>
              <w:spacing w:after="0" w:line="185" w:lineRule="exact"/>
              <w:rPr>
                <w:rFonts w:ascii="Times New Roman" w:cs="Times New Roman" w:eastAsia="Times New Roman" w:hAnsi="Times New Roman"/>
                <w:sz w:val="17"/>
                <w:szCs w:val="17"/>
                <w:color w:val="0000FF"/>
              </w:rPr>
            </w:pPr>
            <w:hyperlink r:id="rId67">
              <w:r>
                <w:rPr>
                  <w:rFonts w:ascii="Times New Roman" w:cs="Times New Roman" w:eastAsia="Times New Roman" w:hAnsi="Times New Roman"/>
                  <w:sz w:val="17"/>
                  <w:szCs w:val="17"/>
                  <w:color w:val="0000FF"/>
                </w:rPr>
                <w:t>2.</w:t>
              </w:r>
              <w:r>
                <w:rPr>
                  <w:rFonts w:ascii="Times New Roman" w:cs="Times New Roman" w:eastAsia="Times New Roman" w:hAnsi="Times New Roman"/>
                  <w:sz w:val="17"/>
                  <w:szCs w:val="17"/>
                  <w:u w:val="single" w:color="auto"/>
                  <w:color w:val="0000FF"/>
                </w:rPr>
                <w:t>1</w:t>
              </w:r>
            </w:hyperlink>
          </w:p>
        </w:tc>
        <w:tc>
          <w:tcPr>
            <w:tcW w:w="8800" w:type="dxa"/>
            <w:vAlign w:val="bottom"/>
          </w:tcPr>
          <w:p>
            <w:pPr>
              <w:ind w:left="140"/>
              <w:spacing w:after="0" w:line="185" w:lineRule="exact"/>
              <w:rPr>
                <w:sz w:val="20"/>
                <w:szCs w:val="20"/>
                <w:color w:val="auto"/>
              </w:rPr>
            </w:pPr>
            <w:r>
              <w:rPr>
                <w:rFonts w:ascii="Times New Roman" w:cs="Times New Roman" w:eastAsia="Times New Roman" w:hAnsi="Times New Roman"/>
                <w:sz w:val="17"/>
                <w:szCs w:val="17"/>
                <w:color w:val="auto"/>
              </w:rPr>
              <w:t>Share Sale and Purchase Agreement, dated September 8, 2021, by and between Smiths Group International Holdings</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8800" w:type="dxa"/>
            <w:vAlign w:val="bottom"/>
          </w:tcPr>
          <w:p>
            <w:pPr>
              <w:ind w:left="140"/>
              <w:spacing w:after="0" w:line="135" w:lineRule="exact"/>
              <w:rPr>
                <w:sz w:val="20"/>
                <w:szCs w:val="20"/>
                <w:color w:val="auto"/>
              </w:rPr>
            </w:pPr>
            <w:r>
              <w:rPr>
                <w:rFonts w:ascii="Times New Roman" w:cs="Times New Roman" w:eastAsia="Times New Roman" w:hAnsi="Times New Roman"/>
                <w:sz w:val="15"/>
                <w:szCs w:val="15"/>
                <w:color w:val="auto"/>
              </w:rPr>
              <w:t>Limited, a private limited company incorporated in England and Wales, and ICU Medical, Inc., a Delaware corporation. Filed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 an Exhibit to Registrant's Current Report on Form 8-K filed on September 8, 2021 (File No. 001-34634).</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60" w:type="dxa"/>
            <w:vAlign w:val="bottom"/>
            <w:gridSpan w:val="3"/>
          </w:tcPr>
          <w:p>
            <w:pPr>
              <w:jc w:val="right"/>
              <w:spacing w:after="0" w:line="189" w:lineRule="exact"/>
              <w:rPr>
                <w:rFonts w:ascii="Times New Roman" w:cs="Times New Roman" w:eastAsia="Times New Roman" w:hAnsi="Times New Roman"/>
                <w:sz w:val="17"/>
                <w:szCs w:val="17"/>
                <w:color w:val="0000FF"/>
              </w:rPr>
            </w:pPr>
            <w:hyperlink r:id="rId68">
              <w:r>
                <w:rPr>
                  <w:rFonts w:ascii="Times New Roman" w:cs="Times New Roman" w:eastAsia="Times New Roman" w:hAnsi="Times New Roman"/>
                  <w:sz w:val="17"/>
                  <w:szCs w:val="17"/>
                  <w:color w:val="0000FF"/>
                </w:rPr>
                <w:t>2.</w:t>
              </w:r>
              <w:r>
                <w:rPr>
                  <w:rFonts w:ascii="Times New Roman" w:cs="Times New Roman" w:eastAsia="Times New Roman" w:hAnsi="Times New Roman"/>
                  <w:sz w:val="17"/>
                  <w:szCs w:val="17"/>
                  <w:u w:val="single" w:color="auto"/>
                  <w:color w:val="0000FF"/>
                </w:rPr>
                <w:t>2</w:t>
              </w:r>
            </w:hyperlink>
          </w:p>
        </w:tc>
        <w:tc>
          <w:tcPr>
            <w:tcW w:w="880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Put Option Deed from ICU Medical, Inc., a Delaware corporation to Smiths Group International Holdings Limited, a private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8800" w:type="dxa"/>
            <w:vAlign w:val="bottom"/>
          </w:tcPr>
          <w:p>
            <w:pPr>
              <w:ind w:left="140"/>
              <w:spacing w:after="0" w:line="135" w:lineRule="exact"/>
              <w:rPr>
                <w:sz w:val="20"/>
                <w:szCs w:val="20"/>
                <w:color w:val="auto"/>
              </w:rPr>
            </w:pPr>
            <w:r>
              <w:rPr>
                <w:rFonts w:ascii="Times New Roman" w:cs="Times New Roman" w:eastAsia="Times New Roman" w:hAnsi="Times New Roman"/>
                <w:sz w:val="15"/>
                <w:szCs w:val="15"/>
                <w:color w:val="auto"/>
              </w:rPr>
              <w:t>limited company incorporated in England and Wales. Filed as an Exhibit to Registrant's Current Report on Form 8-K filed on</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September 8, 2021 (File No. 001-34634).</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60" w:type="dxa"/>
            <w:vAlign w:val="bottom"/>
            <w:gridSpan w:val="3"/>
          </w:tcPr>
          <w:p>
            <w:pPr>
              <w:jc w:val="right"/>
              <w:spacing w:after="0" w:line="189" w:lineRule="exact"/>
              <w:rPr>
                <w:rFonts w:ascii="Times New Roman" w:cs="Times New Roman" w:eastAsia="Times New Roman" w:hAnsi="Times New Roman"/>
                <w:sz w:val="17"/>
                <w:szCs w:val="17"/>
                <w:color w:val="0000FF"/>
              </w:rPr>
            </w:pPr>
            <w:hyperlink r:id="rId69">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w:t>
              </w:r>
            </w:hyperlink>
          </w:p>
        </w:tc>
        <w:tc>
          <w:tcPr>
            <w:tcW w:w="880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Registrant's Certificate of Incorporation, as amended and restated. Filed as an Exhibit to Registrant's Current Report on Form</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8-K filed on June 10, 2014 (File No. 001-34634).</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60" w:type="dxa"/>
            <w:vAlign w:val="bottom"/>
            <w:gridSpan w:val="3"/>
          </w:tcPr>
          <w:p>
            <w:pPr>
              <w:jc w:val="right"/>
              <w:spacing w:after="0" w:line="184" w:lineRule="exact"/>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2</w:t>
              </w:r>
            </w:hyperlink>
          </w:p>
        </w:tc>
        <w:tc>
          <w:tcPr>
            <w:tcW w:w="8800" w:type="dxa"/>
            <w:vAlign w:val="bottom"/>
          </w:tcPr>
          <w:p>
            <w:pPr>
              <w:ind w:left="140"/>
              <w:spacing w:after="0" w:line="184" w:lineRule="exact"/>
              <w:rPr>
                <w:sz w:val="20"/>
                <w:szCs w:val="20"/>
                <w:color w:val="auto"/>
              </w:rPr>
            </w:pPr>
            <w:r>
              <w:rPr>
                <w:rFonts w:ascii="Times New Roman" w:cs="Times New Roman" w:eastAsia="Times New Roman" w:hAnsi="Times New Roman"/>
                <w:sz w:val="17"/>
                <w:szCs w:val="17"/>
                <w:color w:val="auto"/>
              </w:rPr>
              <w:t>Registrant's Bylaws, as amended and restated. Filed as an Exhibit to Registrant's Current Report on Form 8-K filed on</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November 3, 2023 (File No. 001-34634).</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60" w:type="dxa"/>
            <w:vAlign w:val="bottom"/>
            <w:gridSpan w:val="3"/>
          </w:tcPr>
          <w:p>
            <w:pPr>
              <w:jc w:val="right"/>
              <w:spacing w:after="0" w:line="184" w:lineRule="exact"/>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1</w:t>
              </w:r>
            </w:hyperlink>
          </w:p>
        </w:tc>
        <w:tc>
          <w:tcPr>
            <w:tcW w:w="8800" w:type="dxa"/>
            <w:vAlign w:val="bottom"/>
          </w:tcPr>
          <w:p>
            <w:pPr>
              <w:ind w:left="140"/>
              <w:spacing w:after="0" w:line="184" w:lineRule="exact"/>
              <w:rPr>
                <w:sz w:val="20"/>
                <w:szCs w:val="20"/>
                <w:color w:val="auto"/>
              </w:rPr>
            </w:pPr>
            <w:r>
              <w:rPr>
                <w:rFonts w:ascii="Times New Roman" w:cs="Times New Roman" w:eastAsia="Times New Roman" w:hAnsi="Times New Roman"/>
                <w:sz w:val="17"/>
                <w:szCs w:val="17"/>
                <w:color w:val="auto"/>
              </w:rPr>
              <w:t>Description of Securities Registered Under Section 12 of the Exchange Act. Filed as an Exhibit to Registrant's Annual Report</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on Form 10-K for the year ended December 31, 2019, filed on March 2, 3020 (File No. 001-34634).</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60" w:type="dxa"/>
            <w:vAlign w:val="bottom"/>
            <w:gridSpan w:val="3"/>
          </w:tcPr>
          <w:p>
            <w:pPr>
              <w:jc w:val="right"/>
              <w:spacing w:after="0" w:line="184" w:lineRule="exact"/>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1</w:t>
            </w:r>
          </w:p>
        </w:tc>
        <w:tc>
          <w:tcPr>
            <w:tcW w:w="8800" w:type="dxa"/>
            <w:vAlign w:val="bottom"/>
          </w:tcPr>
          <w:p>
            <w:pPr>
              <w:ind w:left="140"/>
              <w:spacing w:after="0" w:line="184" w:lineRule="exact"/>
              <w:rPr>
                <w:sz w:val="20"/>
                <w:szCs w:val="20"/>
                <w:color w:val="auto"/>
              </w:rPr>
            </w:pPr>
            <w:r>
              <w:rPr>
                <w:rFonts w:ascii="Times New Roman" w:cs="Times New Roman" w:eastAsia="Times New Roman" w:hAnsi="Times New Roman"/>
                <w:sz w:val="17"/>
                <w:szCs w:val="17"/>
                <w:color w:val="auto"/>
              </w:rPr>
              <w:t>Certification of Chief Executive Officer pursuant to Section 302 of the Sarbanes-Oxley Act of 2002</w:t>
            </w:r>
          </w:p>
        </w:tc>
        <w:tc>
          <w:tcPr>
            <w:tcW w:w="780" w:type="dxa"/>
            <w:vAlign w:val="bottom"/>
          </w:tcPr>
          <w:p>
            <w:pPr>
              <w:ind w:left="40"/>
              <w:spacing w:after="0" w:line="184"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2</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Certification of Chief Financial Officer pursuant to Section 302 of the Sarbanes-Oxley Act of 2002</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32.</w:t>
            </w:r>
            <w:r>
              <w:rPr>
                <w:rFonts w:ascii="Times New Roman" w:cs="Times New Roman" w:eastAsia="Times New Roman" w:hAnsi="Times New Roman"/>
                <w:sz w:val="17"/>
                <w:szCs w:val="17"/>
                <w:u w:val="single" w:color="auto"/>
                <w:color w:val="0000FF"/>
              </w:rPr>
              <w:t>1</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Certifications of Chief Executive Officer and Chief Financial Officer pursuant to Section 906 of the Sarbanes-Oxley Act of</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2002</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101.INS</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Instance Document - this instance document does not appear in the Interactive Data File because its XBRL tags are</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embedded within the Inline XBRL document.</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101.SCH</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Taxonomy Extension Schema Document</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1"/>
        </w:trPr>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101.CAL</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1"/>
        </w:trPr>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101.DEF</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1"/>
        </w:trPr>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101.LAB</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1"/>
        </w:trPr>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101.PRE</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1"/>
        </w:trPr>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Filed herewith.</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60"/>
          </w:cols>
          <w:pgMar w:left="320" w:top="123" w:right="7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2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ICU Medical, Inc.</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(Registrant)</w:t>
            </w:r>
          </w:p>
        </w:tc>
        <w:tc>
          <w:tcPr>
            <w:tcW w:w="10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38"/>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Brian M. Bonnell</w:t>
            </w:r>
          </w:p>
        </w:tc>
        <w:tc>
          <w:tcPr>
            <w:tcW w:w="1000" w:type="dxa"/>
            <w:vAlign w:val="bottom"/>
            <w:tcBorders>
              <w:bottom w:val="single" w:sz="8" w:color="auto"/>
            </w:tcBorders>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Date: May 7, 2024</w:t>
            </w:r>
          </w:p>
        </w:tc>
      </w:tr>
      <w:tr>
        <w:trPr>
          <w:trHeight w:val="209"/>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Brian M. Bonnell</w:t>
            </w:r>
          </w:p>
        </w:tc>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c>
          <w:tcPr>
            <w:tcW w:w="10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 and Authorized Officer)</w:t>
            </w:r>
          </w:p>
        </w:tc>
        <w:tc>
          <w:tcPr>
            <w:tcW w:w="10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812"/>
        </w:trPr>
        <w:tc>
          <w:tcPr>
            <w:tcW w:w="4580" w:type="dxa"/>
            <w:vAlign w:val="bottom"/>
          </w:tcPr>
          <w:p>
            <w:pPr>
              <w:spacing w:after="0"/>
              <w:rPr>
                <w:sz w:val="24"/>
                <w:szCs w:val="24"/>
                <w:color w:val="auto"/>
              </w:rPr>
            </w:pPr>
          </w:p>
        </w:tc>
        <w:tc>
          <w:tcPr>
            <w:tcW w:w="2540" w:type="dxa"/>
            <w:vAlign w:val="bottom"/>
            <w:gridSpan w:val="2"/>
          </w:tcPr>
          <w:p>
            <w:pPr>
              <w:jc w:val="right"/>
              <w:ind w:right="1334"/>
              <w:spacing w:after="0"/>
              <w:rPr>
                <w:sz w:val="20"/>
                <w:szCs w:val="20"/>
                <w:color w:val="auto"/>
              </w:rPr>
            </w:pPr>
            <w:r>
              <w:rPr>
                <w:rFonts w:ascii="Times New Roman" w:cs="Times New Roman" w:eastAsia="Times New Roman" w:hAnsi="Times New Roman"/>
                <w:sz w:val="17"/>
                <w:szCs w:val="17"/>
                <w:color w:val="auto"/>
              </w:rPr>
              <w:t>54</w:t>
            </w:r>
          </w:p>
        </w:tc>
      </w:tr>
    </w:tbl>
    <w:p>
      <w:pPr>
        <w:sectPr>
          <w:pgSz w:w="11900" w:h="16838" w:orient="portrait"/>
          <w:cols w:equalWidth="0" w:num="1">
            <w:col w:w="10500"/>
          </w:cols>
          <w:pgMar w:left="320" w:top="123" w:right="107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PURSUANT TO SECTION 302 OF THE SARBANES-OXLEY ACT OF 2002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Vivek Jain, certify that:</w:t>
      </w:r>
    </w:p>
    <w:p>
      <w:pPr>
        <w:spacing w:after="0" w:line="243" w:lineRule="exact"/>
        <w:rPr>
          <w:sz w:val="20"/>
          <w:szCs w:val="20"/>
          <w:color w:val="auto"/>
        </w:rPr>
      </w:pPr>
    </w:p>
    <w:p>
      <w:pPr>
        <w:ind w:left="1240" w:hanging="618"/>
        <w:spacing w:after="0"/>
        <w:tabs>
          <w:tab w:leader="none" w:pos="1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ICU Medical, Inc.;</w:t>
      </w:r>
    </w:p>
    <w:p>
      <w:pPr>
        <w:spacing w:after="0" w:line="242" w:lineRule="exact"/>
        <w:rPr>
          <w:rFonts w:ascii="Times New Roman" w:cs="Times New Roman" w:eastAsia="Times New Roman" w:hAnsi="Times New Roman"/>
          <w:sz w:val="17"/>
          <w:szCs w:val="17"/>
          <w:color w:val="auto"/>
        </w:rPr>
      </w:pPr>
    </w:p>
    <w:p>
      <w:pPr>
        <w:jc w:val="both"/>
        <w:ind w:left="1240" w:hanging="618"/>
        <w:spacing w:after="0" w:line="270" w:lineRule="auto"/>
        <w:tabs>
          <w:tab w:leader="none" w:pos="1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Times New Roman" w:cs="Times New Roman" w:eastAsia="Times New Roman" w:hAnsi="Times New Roman"/>
          <w:sz w:val="17"/>
          <w:szCs w:val="17"/>
          <w:color w:val="auto"/>
        </w:rPr>
      </w:pPr>
    </w:p>
    <w:p>
      <w:pPr>
        <w:ind w:left="1240" w:right="220" w:hanging="618"/>
        <w:spacing w:after="0" w:line="287" w:lineRule="auto"/>
        <w:tabs>
          <w:tab w:leader="none" w:pos="1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ind w:left="1240" w:hanging="618"/>
        <w:spacing w:after="0" w:line="270" w:lineRule="auto"/>
        <w:tabs>
          <w:tab w:leader="none" w:pos="1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sz w:val="20"/>
          <w:szCs w:val="20"/>
          <w:color w:val="auto"/>
        </w:rPr>
      </w:pPr>
    </w:p>
    <w:p>
      <w:pPr>
        <w:ind w:left="1240" w:right="260" w:hanging="618"/>
        <w:spacing w:after="0" w:line="270" w:lineRule="auto"/>
        <w:tabs>
          <w:tab w:leader="none" w:pos="123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1240" w:right="560" w:hanging="618"/>
        <w:spacing w:after="0" w:line="270" w:lineRule="auto"/>
        <w:tabs>
          <w:tab w:leader="none" w:pos="1228"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7"/>
          <w:szCs w:val="17"/>
          <w:color w:val="auto"/>
        </w:rPr>
      </w:pPr>
    </w:p>
    <w:p>
      <w:pPr>
        <w:jc w:val="both"/>
        <w:ind w:left="1240" w:right="720" w:hanging="618"/>
        <w:spacing w:after="0" w:line="287" w:lineRule="auto"/>
        <w:tabs>
          <w:tab w:leader="none" w:pos="123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1240" w:right="260" w:hanging="618"/>
        <w:spacing w:after="0" w:line="270" w:lineRule="auto"/>
        <w:tabs>
          <w:tab w:leader="none" w:pos="1228"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ind w:left="1240" w:right="140" w:hanging="618"/>
        <w:spacing w:after="0" w:line="287" w:lineRule="auto"/>
        <w:tabs>
          <w:tab w:leader="none" w:pos="12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sz w:val="20"/>
          <w:szCs w:val="20"/>
          <w:color w:val="auto"/>
        </w:rPr>
      </w:pPr>
    </w:p>
    <w:p>
      <w:pPr>
        <w:ind w:left="1240" w:right="160" w:hanging="618"/>
        <w:spacing w:after="0" w:line="287" w:lineRule="auto"/>
        <w:tabs>
          <w:tab w:leader="none" w:pos="1231"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1240" w:right="120" w:hanging="618"/>
        <w:spacing w:after="0" w:line="276" w:lineRule="auto"/>
        <w:tabs>
          <w:tab w:leader="none" w:pos="1228"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1440"/>
        <w:spacing w:after="0"/>
        <w:tabs>
          <w:tab w:leader="none" w:pos="6340" w:val="left"/>
        </w:tabs>
        <w:rPr>
          <w:sz w:val="20"/>
          <w:szCs w:val="20"/>
          <w:color w:val="auto"/>
        </w:rPr>
      </w:pPr>
      <w:r>
        <w:rPr>
          <w:rFonts w:ascii="Times New Roman" w:cs="Times New Roman" w:eastAsia="Times New Roman" w:hAnsi="Times New Roman"/>
          <w:sz w:val="17"/>
          <w:szCs w:val="17"/>
          <w:color w:val="auto"/>
        </w:rPr>
        <w:t>Date: May 7, 2024</w:t>
      </w:r>
      <w:r>
        <w:rPr>
          <w:sz w:val="20"/>
          <w:szCs w:val="20"/>
          <w:color w:val="auto"/>
        </w:rPr>
        <w:tab/>
      </w:r>
      <w:r>
        <w:rPr>
          <w:rFonts w:ascii="Times New Roman" w:cs="Times New Roman" w:eastAsia="Times New Roman" w:hAnsi="Times New Roman"/>
          <w:sz w:val="16"/>
          <w:szCs w:val="16"/>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4021455</wp:posOffset>
            </wp:positionH>
            <wp:positionV relativeFrom="paragraph">
              <wp:posOffset>17145</wp:posOffset>
            </wp:positionV>
            <wp:extent cx="30943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115570</wp:posOffset>
            </wp:positionV>
            <wp:extent cx="712216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22160" cy="165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 PURSUANT TO SECTION 302 OF THE SARBANES-OXLEY ACT OF 2002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Brian M. Bonnell, certify that:</w:t>
      </w:r>
    </w:p>
    <w:p>
      <w:pPr>
        <w:spacing w:after="0" w:line="217" w:lineRule="exact"/>
        <w:rPr>
          <w:sz w:val="20"/>
          <w:szCs w:val="20"/>
          <w:color w:val="auto"/>
        </w:rPr>
      </w:pPr>
    </w:p>
    <w:p>
      <w:pPr>
        <w:ind w:left="1100" w:hanging="555"/>
        <w:spacing w:after="0"/>
        <w:tabs>
          <w:tab w:leader="none" w:pos="11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ICU Medical, Inc.;</w:t>
      </w:r>
    </w:p>
    <w:p>
      <w:pPr>
        <w:spacing w:after="0" w:line="242" w:lineRule="exact"/>
        <w:rPr>
          <w:rFonts w:ascii="Times New Roman" w:cs="Times New Roman" w:eastAsia="Times New Roman" w:hAnsi="Times New Roman"/>
          <w:sz w:val="17"/>
          <w:szCs w:val="17"/>
          <w:color w:val="auto"/>
        </w:rPr>
      </w:pPr>
    </w:p>
    <w:p>
      <w:pPr>
        <w:jc w:val="both"/>
        <w:ind w:left="1080" w:right="160" w:hanging="535"/>
        <w:spacing w:after="0" w:line="270" w:lineRule="auto"/>
        <w:tabs>
          <w:tab w:leader="none" w:pos="10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Times New Roman" w:cs="Times New Roman" w:eastAsia="Times New Roman" w:hAnsi="Times New Roman"/>
          <w:sz w:val="17"/>
          <w:szCs w:val="17"/>
          <w:color w:val="auto"/>
        </w:rPr>
      </w:pPr>
    </w:p>
    <w:p>
      <w:pPr>
        <w:ind w:left="1080" w:right="80" w:hanging="535"/>
        <w:spacing w:after="0" w:line="287" w:lineRule="auto"/>
        <w:tabs>
          <w:tab w:leader="none" w:pos="1123"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ind w:left="1080" w:right="160" w:hanging="535"/>
        <w:spacing w:after="0" w:line="270" w:lineRule="auto"/>
        <w:tabs>
          <w:tab w:leader="none" w:pos="10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sz w:val="20"/>
          <w:szCs w:val="20"/>
          <w:color w:val="auto"/>
        </w:rPr>
      </w:pPr>
    </w:p>
    <w:p>
      <w:pPr>
        <w:ind w:left="1080" w:right="420" w:hanging="535"/>
        <w:spacing w:after="0" w:line="270" w:lineRule="auto"/>
        <w:tabs>
          <w:tab w:leader="none" w:pos="107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1080" w:right="120" w:hanging="535"/>
        <w:spacing w:after="0" w:line="270" w:lineRule="auto"/>
        <w:tabs>
          <w:tab w:leader="none" w:pos="1068"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7"/>
          <w:szCs w:val="17"/>
          <w:color w:val="auto"/>
        </w:rPr>
      </w:pPr>
    </w:p>
    <w:p>
      <w:pPr>
        <w:jc w:val="both"/>
        <w:ind w:left="1080" w:right="860" w:hanging="535"/>
        <w:spacing w:after="0" w:line="287" w:lineRule="auto"/>
        <w:tabs>
          <w:tab w:leader="none" w:pos="107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1080" w:right="120" w:hanging="535"/>
        <w:spacing w:after="0" w:line="270" w:lineRule="auto"/>
        <w:tabs>
          <w:tab w:leader="none" w:pos="1068"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ind w:left="1080" w:hanging="535"/>
        <w:spacing w:after="0" w:line="287" w:lineRule="auto"/>
        <w:tabs>
          <w:tab w:leader="none" w:pos="1123"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sz w:val="20"/>
          <w:szCs w:val="20"/>
          <w:color w:val="auto"/>
        </w:rPr>
      </w:pPr>
    </w:p>
    <w:p>
      <w:pPr>
        <w:ind w:left="1080" w:right="320" w:hanging="535"/>
        <w:spacing w:after="0" w:line="287" w:lineRule="auto"/>
        <w:tabs>
          <w:tab w:leader="none" w:pos="1072"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1080" w:right="280" w:hanging="535"/>
        <w:spacing w:after="0" w:line="287" w:lineRule="auto"/>
        <w:tabs>
          <w:tab w:leader="none" w:pos="1068"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880"/>
        <w:spacing w:after="0"/>
        <w:tabs>
          <w:tab w:leader="none" w:pos="5920" w:val="left"/>
        </w:tabs>
        <w:rPr>
          <w:sz w:val="20"/>
          <w:szCs w:val="20"/>
          <w:color w:val="auto"/>
        </w:rPr>
      </w:pPr>
      <w:r>
        <w:rPr>
          <w:rFonts w:ascii="Times New Roman" w:cs="Times New Roman" w:eastAsia="Times New Roman" w:hAnsi="Times New Roman"/>
          <w:sz w:val="17"/>
          <w:szCs w:val="17"/>
          <w:color w:val="auto"/>
        </w:rPr>
        <w:t>Date: May 7, 2024</w:t>
      </w:r>
      <w:r>
        <w:rPr>
          <w:sz w:val="20"/>
          <w:szCs w:val="20"/>
          <w:color w:val="auto"/>
        </w:rPr>
        <w:tab/>
      </w:r>
      <w:r>
        <w:rPr>
          <w:rFonts w:ascii="Times New Roman" w:cs="Times New Roman" w:eastAsia="Times New Roman" w:hAnsi="Times New Roman"/>
          <w:sz w:val="17"/>
          <w:szCs w:val="17"/>
          <w:color w:val="auto"/>
        </w:rPr>
        <w:t>/s/ 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4410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3441065" cy="8255"/>
                    </a:xfrm>
                    <a:prstGeom prst="rect">
                      <a:avLst/>
                    </a:prstGeom>
                    <a:noFill/>
                  </pic:spPr>
                </pic:pic>
              </a:graphicData>
            </a:graphic>
          </wp:anchor>
        </w:drawing>
      </w:r>
    </w:p>
    <w:p>
      <w:pPr>
        <w:spacing w:after="0" w:line="1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107315</wp:posOffset>
            </wp:positionV>
            <wp:extent cx="680593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6805930" cy="165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ICU Medical, Inc. (the “Company”) on Form 10-Q for the period ended March 31, 2024 as filed with the Securities and Exchange Commission on the date hereof (the “Report”), I, Vivek Jain, Chief Executive Officer of the Company, certify, pursuant to 18 U.S.C. § 1350, as adopted pursuant to § 906 of the Sarbanes-Oxley Act of 2002, that:</w:t>
      </w:r>
    </w:p>
    <w:p>
      <w:pPr>
        <w:spacing w:after="0" w:line="165" w:lineRule="exact"/>
        <w:rPr>
          <w:sz w:val="20"/>
          <w:szCs w:val="20"/>
          <w:color w:val="auto"/>
        </w:rPr>
      </w:pPr>
    </w:p>
    <w:p>
      <w:pPr>
        <w:ind w:left="300" w:hanging="297"/>
        <w:spacing w:after="0"/>
        <w:tabs>
          <w:tab w:leader="none" w:pos="3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4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82" w:lineRule="exact"/>
        <w:rPr>
          <w:sz w:val="20"/>
          <w:szCs w:val="20"/>
          <w:color w:val="auto"/>
        </w:rPr>
      </w:pPr>
    </w:p>
    <w:tbl>
      <w:tblPr>
        <w:tblLayout w:type="fixed"/>
        <w:tblInd w:w="320" w:type="dxa"/>
        <w:tblCellMar>
          <w:top w:w="0" w:type="dxa"/>
          <w:left w:w="0" w:type="dxa"/>
          <w:bottom w:w="0" w:type="dxa"/>
          <w:right w:w="0" w:type="dxa"/>
        </w:tblCellMar>
      </w:tblPr>
      <w:tr>
        <w:trPr>
          <w:trHeight w:val="223"/>
        </w:trPr>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May 7, 2024</w:t>
            </w:r>
          </w:p>
        </w:tc>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Vivek Jain</w:t>
            </w:r>
          </w:p>
        </w:tc>
      </w:tr>
      <w:tr>
        <w:trPr>
          <w:trHeight w:val="209"/>
        </w:trPr>
        <w:tc>
          <w:tcPr>
            <w:tcW w:w="5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Date</w:t>
            </w:r>
          </w:p>
        </w:tc>
        <w:tc>
          <w:tcPr>
            <w:tcW w:w="120" w:type="dxa"/>
            <w:vAlign w:val="bottom"/>
          </w:tcPr>
          <w:p>
            <w:pPr>
              <w:spacing w:after="0"/>
              <w:rPr>
                <w:sz w:val="18"/>
                <w:szCs w:val="18"/>
                <w:color w:val="auto"/>
              </w:rPr>
            </w:pPr>
          </w:p>
        </w:tc>
        <w:tc>
          <w:tcPr>
            <w:tcW w:w="5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Vivek Jain</w:t>
            </w:r>
          </w:p>
        </w:tc>
      </w:tr>
      <w:tr>
        <w:trPr>
          <w:trHeight w:val="219"/>
        </w:trPr>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3"/>
        </w:trPr>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bl>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ICU Medical, Inc. (the “Company”) on Form 10-Q for the period ended March 31, 2024 as filed with the Securities and Exchange Commission on the date hereof (the “Report”), I, Brian M. Bonnell, Chief Financial Officer of the Company, certify, pursuant to 18 U.S.C. § 1350, as adopted pursuant to § 906 of the Sarbanes-Oxley Act of 2002, that:</w:t>
      </w:r>
    </w:p>
    <w:p>
      <w:pPr>
        <w:spacing w:after="0" w:line="165" w:lineRule="exact"/>
        <w:rPr>
          <w:sz w:val="20"/>
          <w:szCs w:val="20"/>
          <w:color w:val="auto"/>
        </w:rPr>
      </w:pPr>
    </w:p>
    <w:p>
      <w:pPr>
        <w:ind w:left="300" w:hanging="297"/>
        <w:spacing w:after="0"/>
        <w:tabs>
          <w:tab w:leader="none" w:pos="3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4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May 7, 2024</w:t>
            </w:r>
          </w:p>
        </w:tc>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Brian M. Bonnell</w:t>
            </w:r>
          </w:p>
        </w:tc>
      </w:tr>
      <w:tr>
        <w:trPr>
          <w:trHeight w:val="209"/>
        </w:trPr>
        <w:tc>
          <w:tcPr>
            <w:tcW w:w="20" w:type="dxa"/>
            <w:vAlign w:val="bottom"/>
            <w:tcBorders>
              <w:top w:val="single" w:sz="8" w:color="auto"/>
            </w:tcBorders>
          </w:tcPr>
          <w:p>
            <w:pPr>
              <w:spacing w:after="0"/>
              <w:rPr>
                <w:sz w:val="18"/>
                <w:szCs w:val="18"/>
                <w:color w:val="auto"/>
              </w:rPr>
            </w:pPr>
          </w:p>
        </w:tc>
        <w:tc>
          <w:tcPr>
            <w:tcW w:w="5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Date</w:t>
            </w:r>
          </w:p>
        </w:tc>
        <w:tc>
          <w:tcPr>
            <w:tcW w:w="140" w:type="dxa"/>
            <w:vAlign w:val="bottom"/>
          </w:tcPr>
          <w:p>
            <w:pPr>
              <w:spacing w:after="0"/>
              <w:rPr>
                <w:sz w:val="18"/>
                <w:szCs w:val="18"/>
                <w:color w:val="auto"/>
              </w:rPr>
            </w:pPr>
          </w:p>
        </w:tc>
        <w:tc>
          <w:tcPr>
            <w:tcW w:w="5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Brian M. Bonnell</w:t>
            </w:r>
          </w:p>
        </w:tc>
      </w:tr>
      <w:tr>
        <w:trPr>
          <w:trHeight w:val="219"/>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160"/>
        </w:trPr>
        <w:tc>
          <w:tcPr>
            <w:tcW w:w="20" w:type="dxa"/>
            <w:vAlign w:val="bottom"/>
          </w:tcPr>
          <w:p>
            <w:pPr>
              <w:spacing w:after="0"/>
              <w:rPr>
                <w:sz w:val="13"/>
                <w:szCs w:val="13"/>
                <w:color w:val="auto"/>
              </w:rPr>
            </w:pPr>
          </w:p>
        </w:tc>
        <w:tc>
          <w:tcPr>
            <w:tcW w:w="5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80" w:type="dxa"/>
            <w:vAlign w:val="bottom"/>
            <w:tcBorders>
              <w:bottom w:val="single" w:sz="8" w:color="auto"/>
            </w:tcBorders>
          </w:tcPr>
          <w:p>
            <w:pPr>
              <w:spacing w:after="0"/>
              <w:rPr>
                <w:sz w:val="13"/>
                <w:szCs w:val="13"/>
                <w:color w:val="auto"/>
              </w:rPr>
            </w:pPr>
          </w:p>
        </w:tc>
      </w:tr>
    </w:tbl>
    <w:p>
      <w:pPr>
        <w:spacing w:after="0" w:line="1" w:lineRule="exact"/>
        <w:rPr>
          <w:sz w:val="20"/>
          <w:szCs w:val="20"/>
          <w:color w:val="auto"/>
        </w:rPr>
      </w:pP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lowerRoman"/>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decimal"/>
      <w:start w:val="16"/>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1:"/>
      <w:numFmt w:val="decimal"/>
      <w:start w:val="3"/>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lowerLetter"/>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decimal"/>
      <w:start w:val="5"/>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decimal"/>
      <w:start w:val="5"/>
    </w:lvl>
  </w:abstractNum>
  <w:abstractNum w:abstractNumId="48">
    <w:nsid w:val="749ABB43"/>
    <w:multiLevelType w:val="hybridMultilevel"/>
    <w:lvl w:ilvl="0">
      <w:lvlJc w:val="left"/>
      <w:lvlText w:val="%1)"/>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67" Type="http://schemas.openxmlformats.org/officeDocument/2006/relationships/hyperlink" Target="https://www.sec.gov/Archives/edgar/data/0000883984/000119312521267387/d228927dex21.htm" TargetMode="External"/><Relationship Id="rId68" Type="http://schemas.openxmlformats.org/officeDocument/2006/relationships/hyperlink" Target="https://www.sec.gov/Archives/edgar/data/883984/000119312521267387/d228927dex22.htm" TargetMode="External"/><Relationship Id="rId69" Type="http://schemas.openxmlformats.org/officeDocument/2006/relationships/hyperlink" Target="https://www.sec.gov/Archives/edgar/data/883984/000088398414000046/exhibitamendedandrestatedc.htm" TargetMode="External"/><Relationship Id="rId70" Type="http://schemas.openxmlformats.org/officeDocument/2006/relationships/hyperlink" Target="https://www.sec.gov/Archives/edgar/data/883984/000088398423000034/exhibit31_8-k103023.htm" TargetMode="External"/><Relationship Id="rId71" Type="http://schemas.openxmlformats.org/officeDocument/2006/relationships/hyperlink" Target="https://www.sec.gov/Archives/edgar/data/883984/000088398420000014/exhibit41descriptiono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2024-05-07T16:04:35Z</dcterms:created>
  <dcterms:modified xsi:type="dcterms:W3CDTF">2024-05-07T16:04:35Z</dcterms:modified>
</cp:coreProperties>
</file>