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6"/>
          <w:szCs w:val="16"/>
          <w:b w:val="1"/>
          <w:bCs w:val="1"/>
          <w:color w:val="auto"/>
        </w:rPr>
        <w:t>UNITED STATES</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AND EXCHANGE COMMISSION</w:t>
      </w: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82"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FORM 10-Q</w:t>
      </w:r>
    </w:p>
    <w:p>
      <w:pPr>
        <w:spacing w:after="0" w:line="152" w:lineRule="exact"/>
        <w:rPr>
          <w:sz w:val="24"/>
          <w:szCs w:val="24"/>
          <w:color w:val="auto"/>
        </w:rPr>
      </w:pPr>
    </w:p>
    <w:p>
      <w:pPr>
        <w:ind w:left="520" w:hanging="499"/>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5"/>
          <w:szCs w:val="15"/>
          <w:b w:val="1"/>
          <w:bCs w:val="1"/>
          <w:color w:val="auto"/>
        </w:rPr>
        <w:t>QUARTERLY REPORT PURSUANT TO SECTION 13 OR 15(d) OF THE SECURITIES EXCHANGE ACT OF 1934</w:t>
      </w:r>
    </w:p>
    <w:p>
      <w:pPr>
        <w:spacing w:after="0" w:line="112" w:lineRule="exact"/>
        <w:rPr>
          <w:sz w:val="24"/>
          <w:szCs w:val="24"/>
          <w:color w:val="auto"/>
        </w:rPr>
      </w:pPr>
    </w:p>
    <w:p>
      <w:pPr>
        <w:ind w:left="4080"/>
        <w:spacing w:after="0"/>
        <w:rPr>
          <w:sz w:val="20"/>
          <w:szCs w:val="20"/>
          <w:color w:val="auto"/>
        </w:rPr>
      </w:pPr>
      <w:r>
        <w:rPr>
          <w:rFonts w:ascii="Arial" w:cs="Arial" w:eastAsia="Arial" w:hAnsi="Arial"/>
          <w:sz w:val="16"/>
          <w:szCs w:val="16"/>
          <w:b w:val="1"/>
          <w:bCs w:val="1"/>
          <w:color w:val="auto"/>
        </w:rPr>
        <w:t>For the quarterly period ended: September 30, 2021</w:t>
      </w:r>
    </w:p>
    <w:p>
      <w:pPr>
        <w:spacing w:after="0" w:line="15" w:lineRule="exact"/>
        <w:rPr>
          <w:sz w:val="24"/>
          <w:szCs w:val="24"/>
          <w:color w:val="auto"/>
        </w:rPr>
      </w:pPr>
    </w:p>
    <w:p>
      <w:pPr>
        <w:ind w:left="5580"/>
        <w:spacing w:after="0"/>
        <w:rPr>
          <w:sz w:val="20"/>
          <w:szCs w:val="20"/>
          <w:color w:val="auto"/>
        </w:rPr>
      </w:pPr>
      <w:r>
        <w:rPr>
          <w:rFonts w:ascii="Arial" w:cs="Arial" w:eastAsia="Arial" w:hAnsi="Arial"/>
          <w:sz w:val="16"/>
          <w:szCs w:val="16"/>
          <w:b w:val="1"/>
          <w:bCs w:val="1"/>
          <w:color w:val="auto"/>
        </w:rPr>
        <w:t>or</w:t>
      </w:r>
    </w:p>
    <w:p>
      <w:pPr>
        <w:spacing w:after="0" w:line="108" w:lineRule="exact"/>
        <w:rPr>
          <w:sz w:val="24"/>
          <w:szCs w:val="24"/>
          <w:color w:val="auto"/>
        </w:rPr>
      </w:pPr>
    </w:p>
    <w:p>
      <w:pPr>
        <w:ind w:left="520" w:hanging="499"/>
        <w:spacing w:after="0"/>
        <w:tabs>
          <w:tab w:leader="none" w:pos="520" w:val="left"/>
        </w:tabs>
        <w:numPr>
          <w:ilvl w:val="0"/>
          <w:numId w:val="2"/>
        </w:numPr>
        <w:rPr>
          <w:rFonts w:ascii="MS PGothic" w:cs="MS PGothic" w:eastAsia="MS PGothic" w:hAnsi="MS PGothic"/>
          <w:sz w:val="16"/>
          <w:szCs w:val="16"/>
          <w:color w:val="auto"/>
        </w:rPr>
      </w:pPr>
      <w:r>
        <w:rPr>
          <w:rFonts w:ascii="Arial" w:cs="Arial" w:eastAsia="Arial" w:hAnsi="Arial"/>
          <w:sz w:val="15"/>
          <w:szCs w:val="15"/>
          <w:b w:val="1"/>
          <w:bCs w:val="1"/>
          <w:color w:val="auto"/>
        </w:rPr>
        <w:t>TRANSITION REPORT PURSUANT TO SECTION 13 OR 15(d) OF THE SECURITIES EXCHANGE ACT OF 1934</w:t>
      </w:r>
    </w:p>
    <w:p>
      <w:pPr>
        <w:spacing w:after="0" w:line="293" w:lineRule="exact"/>
        <w:rPr>
          <w:sz w:val="24"/>
          <w:szCs w:val="24"/>
          <w:color w:val="auto"/>
        </w:rPr>
      </w:pPr>
    </w:p>
    <w:p>
      <w:pPr>
        <w:ind w:left="4260"/>
        <w:spacing w:after="0"/>
        <w:tabs>
          <w:tab w:leader="none" w:pos="684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178" w:lineRule="exact"/>
        <w:rPr>
          <w:sz w:val="24"/>
          <w:szCs w:val="24"/>
          <w:color w:val="auto"/>
        </w:rPr>
      </w:pPr>
    </w:p>
    <w:p>
      <w:pPr>
        <w:ind w:left="4560"/>
        <w:spacing w:after="0"/>
        <w:rPr>
          <w:sz w:val="20"/>
          <w:szCs w:val="20"/>
          <w:color w:val="auto"/>
        </w:rPr>
      </w:pPr>
      <w:r>
        <w:rPr>
          <w:rFonts w:ascii="Arial" w:cs="Arial" w:eastAsia="Arial" w:hAnsi="Arial"/>
          <w:sz w:val="16"/>
          <w:szCs w:val="16"/>
          <w:b w:val="1"/>
          <w:bCs w:val="1"/>
          <w:color w:val="auto"/>
        </w:rPr>
        <w:t>Commission File No.: 001-34634</w:t>
      </w:r>
    </w:p>
    <w:p>
      <w:pPr>
        <w:spacing w:after="0" w:line="100" w:lineRule="exact"/>
        <w:rPr>
          <w:sz w:val="24"/>
          <w:szCs w:val="24"/>
          <w:color w:val="auto"/>
        </w:rPr>
      </w:pPr>
    </w:p>
    <w:p>
      <w:pPr>
        <w:ind w:left="4900"/>
        <w:spacing w:after="0"/>
        <w:rPr>
          <w:sz w:val="20"/>
          <w:szCs w:val="20"/>
          <w:color w:val="auto"/>
        </w:rPr>
      </w:pPr>
      <w:r>
        <w:rPr>
          <w:rFonts w:ascii="Arial" w:cs="Arial" w:eastAsia="Arial" w:hAnsi="Arial"/>
          <w:sz w:val="16"/>
          <w:szCs w:val="16"/>
          <w:b w:val="1"/>
          <w:bCs w:val="1"/>
          <w:color w:val="auto"/>
        </w:rPr>
        <w:t>ICU MEDICAL, INC.</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240"/>
          </w:cols>
          <w:pgMar w:left="320" w:top="849" w:right="339" w:bottom="1440" w:gutter="0" w:footer="0" w:header="0"/>
        </w:sectPr>
      </w:pPr>
    </w:p>
    <w:p>
      <w:pPr>
        <w:spacing w:after="0" w:line="200" w:lineRule="exact"/>
        <w:rPr>
          <w:sz w:val="24"/>
          <w:szCs w:val="24"/>
          <w:color w:val="auto"/>
        </w:rPr>
      </w:pPr>
    </w:p>
    <w:p>
      <w:pPr>
        <w:spacing w:after="0" w:line="205" w:lineRule="exact"/>
        <w:rPr>
          <w:sz w:val="24"/>
          <w:szCs w:val="24"/>
          <w:color w:val="auto"/>
        </w:rPr>
      </w:pPr>
    </w:p>
    <w:p>
      <w:pPr>
        <w:ind w:left="248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385"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33-0022692</w:t>
      </w:r>
    </w:p>
    <w:p>
      <w:pPr>
        <w:spacing w:after="0" w:line="63" w:lineRule="exact"/>
        <w:rPr>
          <w:sz w:val="24"/>
          <w:szCs w:val="24"/>
          <w:color w:val="auto"/>
        </w:rPr>
      </w:pPr>
    </w:p>
    <w:p>
      <w:pPr>
        <w:sectPr>
          <w:pgSz w:w="11900" w:h="16838" w:orient="portrait"/>
          <w:cols w:equalWidth="0" w:num="2">
            <w:col w:w="7360" w:space="720"/>
            <w:col w:w="3160"/>
          </w:cols>
          <w:pgMar w:left="320" w:top="849" w:right="339" w:bottom="1440" w:gutter="0" w:footer="0" w:header="0"/>
          <w:type w:val="continuous"/>
        </w:sectPr>
      </w:pPr>
    </w:p>
    <w:p>
      <w:pPr>
        <w:ind w:left="1900"/>
        <w:spacing w:after="0"/>
        <w:rPr>
          <w:sz w:val="20"/>
          <w:szCs w:val="20"/>
          <w:color w:val="auto"/>
        </w:rPr>
      </w:pPr>
      <w:r>
        <w:rPr>
          <w:rFonts w:ascii="Arial" w:cs="Arial" w:eastAsia="Arial" w:hAnsi="Arial"/>
          <w:sz w:val="14"/>
          <w:szCs w:val="14"/>
          <w:color w:val="auto"/>
        </w:rPr>
        <w:t>(State or other jurisdiction of</w:t>
      </w:r>
    </w:p>
    <w:p>
      <w:pPr>
        <w:spacing w:after="0" w:line="46" w:lineRule="exact"/>
        <w:rPr>
          <w:sz w:val="24"/>
          <w:szCs w:val="24"/>
          <w:color w:val="auto"/>
        </w:rPr>
      </w:pPr>
    </w:p>
    <w:p>
      <w:pPr>
        <w:ind w:left="1860"/>
        <w:spacing w:after="0"/>
        <w:rPr>
          <w:sz w:val="20"/>
          <w:szCs w:val="20"/>
          <w:color w:val="auto"/>
        </w:rPr>
      </w:pPr>
      <w:r>
        <w:rPr>
          <w:rFonts w:ascii="Arial" w:cs="Arial" w:eastAsia="Arial" w:hAnsi="Arial"/>
          <w:sz w:val="14"/>
          <w:szCs w:val="14"/>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color w:val="auto"/>
        </w:rPr>
        <w:t>(I.R.S. Employer</w:t>
      </w:r>
    </w:p>
    <w:p>
      <w:pPr>
        <w:spacing w:after="0" w:line="46" w:lineRule="exact"/>
        <w:rPr>
          <w:sz w:val="24"/>
          <w:szCs w:val="24"/>
          <w:color w:val="auto"/>
        </w:rPr>
      </w:pPr>
    </w:p>
    <w:p>
      <w:pPr>
        <w:spacing w:after="0"/>
        <w:rPr>
          <w:sz w:val="20"/>
          <w:szCs w:val="20"/>
          <w:color w:val="auto"/>
        </w:rPr>
      </w:pPr>
      <w:r>
        <w:rPr>
          <w:rFonts w:ascii="Arial" w:cs="Arial" w:eastAsia="Arial" w:hAnsi="Arial"/>
          <w:sz w:val="14"/>
          <w:szCs w:val="14"/>
          <w:color w:val="auto"/>
        </w:rPr>
        <w:t>Identification No.)</w:t>
      </w:r>
    </w:p>
    <w:p>
      <w:pPr>
        <w:spacing w:after="0" w:line="200" w:lineRule="exact"/>
        <w:rPr>
          <w:sz w:val="24"/>
          <w:szCs w:val="24"/>
          <w:color w:val="auto"/>
        </w:rPr>
      </w:pPr>
    </w:p>
    <w:p>
      <w:pPr>
        <w:sectPr>
          <w:pgSz w:w="11900" w:h="16838" w:orient="portrait"/>
          <w:cols w:equalWidth="0" w:num="2">
            <w:col w:w="7160" w:space="720"/>
            <w:col w:w="3360"/>
          </w:cols>
          <w:pgMar w:left="320" w:top="849" w:right="339" w:bottom="1440" w:gutter="0" w:footer="0" w:header="0"/>
          <w:type w:val="continuous"/>
        </w:sectPr>
      </w:pPr>
    </w:p>
    <w:p>
      <w:pPr>
        <w:spacing w:after="0" w:line="59" w:lineRule="exact"/>
        <w:rPr>
          <w:sz w:val="24"/>
          <w:szCs w:val="24"/>
          <w:color w:val="auto"/>
        </w:rPr>
      </w:pPr>
    </w:p>
    <w:p>
      <w:pPr>
        <w:ind w:left="1340"/>
        <w:spacing w:after="0"/>
        <w:rPr>
          <w:sz w:val="20"/>
          <w:szCs w:val="20"/>
          <w:color w:val="auto"/>
        </w:rPr>
      </w:pPr>
      <w:r>
        <w:rPr>
          <w:rFonts w:ascii="Arial" w:cs="Arial" w:eastAsia="Arial" w:hAnsi="Arial"/>
          <w:sz w:val="14"/>
          <w:szCs w:val="14"/>
          <w:b w:val="1"/>
          <w:bCs w:val="1"/>
          <w:color w:val="auto"/>
        </w:rPr>
        <w:t>951 Calle Amanecer</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San Clemente</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California</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92673</w:t>
      </w:r>
    </w:p>
    <w:p>
      <w:pPr>
        <w:spacing w:after="0" w:line="52" w:lineRule="exact"/>
        <w:rPr>
          <w:sz w:val="24"/>
          <w:szCs w:val="24"/>
          <w:color w:val="auto"/>
        </w:rPr>
      </w:pPr>
    </w:p>
    <w:p>
      <w:pPr>
        <w:sectPr>
          <w:pgSz w:w="11900" w:h="16838" w:orient="portrait"/>
          <w:cols w:equalWidth="0" w:num="6">
            <w:col w:w="2680" w:space="360"/>
            <w:col w:w="40" w:space="240"/>
            <w:col w:w="900" w:space="220"/>
            <w:col w:w="40" w:space="380"/>
            <w:col w:w="2400" w:space="720"/>
            <w:col w:w="3260"/>
          </w:cols>
          <w:pgMar w:left="320" w:top="849" w:right="339" w:bottom="1440" w:gutter="0" w:footer="0" w:header="0"/>
          <w:type w:val="continuous"/>
        </w:sectPr>
      </w:pPr>
    </w:p>
    <w:p>
      <w:pPr>
        <w:ind w:left="2220"/>
        <w:spacing w:after="0"/>
        <w:rPr>
          <w:sz w:val="20"/>
          <w:szCs w:val="20"/>
          <w:color w:val="auto"/>
        </w:rPr>
      </w:pPr>
      <w:r>
        <w:rPr>
          <w:rFonts w:ascii="Arial" w:cs="Arial" w:eastAsia="Arial" w:hAnsi="Arial"/>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(Zip Code)</w:t>
      </w:r>
    </w:p>
    <w:p>
      <w:pPr>
        <w:spacing w:after="0" w:line="104" w:lineRule="exact"/>
        <w:rPr>
          <w:sz w:val="24"/>
          <w:szCs w:val="24"/>
          <w:color w:val="auto"/>
        </w:rPr>
      </w:pPr>
    </w:p>
    <w:p>
      <w:pPr>
        <w:sectPr>
          <w:pgSz w:w="11900" w:h="16838" w:orient="portrait"/>
          <w:cols w:equalWidth="0" w:num="2">
            <w:col w:w="7120" w:space="720"/>
            <w:col w:w="3400"/>
          </w:cols>
          <w:pgMar w:left="320" w:top="849" w:right="339" w:bottom="1440" w:gutter="0" w:footer="0" w:header="0"/>
          <w:type w:val="continuous"/>
        </w:sectPr>
      </w:pPr>
    </w:p>
    <w:p>
      <w:pPr>
        <w:jc w:val="center"/>
        <w:ind w:right="-39"/>
        <w:spacing w:after="0"/>
        <w:rPr>
          <w:sz w:val="20"/>
          <w:szCs w:val="20"/>
          <w:color w:val="auto"/>
        </w:rPr>
      </w:pPr>
      <w:r>
        <w:rPr>
          <w:rFonts w:ascii="Arial" w:cs="Arial" w:eastAsia="Arial" w:hAnsi="Arial"/>
          <w:sz w:val="16"/>
          <w:szCs w:val="16"/>
          <w:b w:val="1"/>
          <w:bCs w:val="1"/>
          <w:color w:val="auto"/>
        </w:rPr>
        <w:t>(949) 366-2183</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(Registrant’s telephone number including area code)</w:t>
      </w:r>
    </w:p>
    <w:p>
      <w:pPr>
        <w:sectPr>
          <w:pgSz w:w="11900" w:h="16838" w:orient="portrait"/>
          <w:cols w:equalWidth="0" w:num="1">
            <w:col w:w="11240"/>
          </w:cols>
          <w:pgMar w:left="320" w:top="849" w:right="339" w:bottom="1440" w:gutter="0" w:footer="0" w:header="0"/>
          <w:type w:val="continuous"/>
        </w:sectPr>
      </w:pPr>
    </w:p>
    <w:p>
      <w:pPr>
        <w:spacing w:after="0" w:line="200" w:lineRule="exact"/>
        <w:rPr>
          <w:sz w:val="24"/>
          <w:szCs w:val="24"/>
          <w:color w:val="auto"/>
        </w:rPr>
      </w:pPr>
    </w:p>
    <w:p>
      <w:pPr>
        <w:ind w:right="180" w:firstLine="310"/>
        <w:spacing w:after="0" w:line="322"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11" w:lineRule="exact"/>
        <w:rPr>
          <w:sz w:val="24"/>
          <w:szCs w:val="24"/>
          <w:color w:val="auto"/>
        </w:rPr>
      </w:pPr>
    </w:p>
    <w:p>
      <w:pPr>
        <w:ind w:right="560" w:firstLine="310"/>
        <w:spacing w:after="0" w:line="322"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111" w:lineRule="exact"/>
        <w:rPr>
          <w:sz w:val="24"/>
          <w:szCs w:val="24"/>
          <w:color w:val="auto"/>
        </w:rPr>
      </w:pPr>
    </w:p>
    <w:p>
      <w:pPr>
        <w:ind w:right="320" w:firstLine="310"/>
        <w:spacing w:after="0" w:line="322"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849" w:right="339" w:bottom="1440" w:gutter="0" w:footer="0" w:header="0"/>
          <w:type w:val="continuous"/>
        </w:sectPr>
      </w:pPr>
    </w:p>
    <w:p>
      <w:pPr>
        <w:spacing w:after="0" w:line="240" w:lineRule="exact"/>
        <w:rPr>
          <w:sz w:val="24"/>
          <w:szCs w:val="24"/>
          <w:color w:val="auto"/>
        </w:rPr>
      </w:pPr>
    </w:p>
    <w:p>
      <w:pPr>
        <w:ind w:left="84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230"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20" w:lineRule="exact"/>
        <w:rPr>
          <w:sz w:val="24"/>
          <w:szCs w:val="24"/>
          <w:color w:val="auto"/>
        </w:rPr>
      </w:pPr>
      <w:r>
        <w:rPr>
          <w:sz w:val="24"/>
          <w:szCs w:val="24"/>
          <w:color w:val="auto"/>
        </w:rPr>
        <w:br w:type="column"/>
      </w:r>
    </w:p>
    <w:p>
      <w:pPr>
        <w:spacing w:after="0" w:line="220"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 o</w:t>
      </w:r>
    </w:p>
    <w:p>
      <w:pPr>
        <w:spacing w:after="0" w:line="60" w:lineRule="exact"/>
        <w:rPr>
          <w:sz w:val="24"/>
          <w:szCs w:val="24"/>
          <w:color w:val="auto"/>
        </w:rPr>
      </w:pPr>
    </w:p>
    <w:p>
      <w:pPr>
        <w:sectPr>
          <w:pgSz w:w="11900" w:h="16838" w:orient="portrait"/>
          <w:cols w:equalWidth="0" w:num="3">
            <w:col w:w="2800" w:space="720"/>
            <w:col w:w="3800" w:space="720"/>
            <w:col w:w="3200"/>
          </w:cols>
          <w:pgMar w:left="320" w:top="849" w:right="339" w:bottom="1440" w:gutter="0" w:footer="0" w:header="0"/>
          <w:type w:val="continuous"/>
        </w:sectPr>
      </w:pPr>
    </w:p>
    <w:p>
      <w:pPr>
        <w:spacing w:after="0" w:line="50" w:lineRule="exact"/>
        <w:rPr>
          <w:sz w:val="24"/>
          <w:szCs w:val="24"/>
          <w:color w:val="auto"/>
        </w:rPr>
      </w:pPr>
    </w:p>
    <w:p>
      <w:pPr>
        <w:ind w:left="1300"/>
        <w:spacing w:after="0"/>
        <w:rPr>
          <w:sz w:val="20"/>
          <w:szCs w:val="20"/>
          <w:color w:val="auto"/>
        </w:rPr>
      </w:pPr>
      <w:r>
        <w:rPr>
          <w:rFonts w:ascii="Arial" w:cs="Arial" w:eastAsia="Arial" w:hAnsi="Arial"/>
          <w:sz w:val="14"/>
          <w:szCs w:val="14"/>
          <w:color w:val="auto"/>
        </w:rPr>
        <w:t>Non-accelerated filer o</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11" w:lineRule="exact"/>
        <w:rPr>
          <w:sz w:val="24"/>
          <w:szCs w:val="24"/>
          <w:color w:val="auto"/>
        </w:rPr>
      </w:pPr>
    </w:p>
    <w:p>
      <w:pPr>
        <w:sectPr>
          <w:pgSz w:w="11900" w:h="16838" w:orient="portrait"/>
          <w:cols w:equalWidth="0" w:num="3">
            <w:col w:w="6820" w:space="720"/>
            <w:col w:w="2440" w:space="720"/>
            <w:col w:w="540"/>
          </w:cols>
          <w:pgMar w:left="320" w:top="849" w:right="339" w:bottom="1440" w:gutter="0" w:footer="0" w:header="0"/>
          <w:type w:val="continuous"/>
        </w:sectPr>
      </w:pPr>
    </w:p>
    <w:p>
      <w:pPr>
        <w:spacing w:after="0" w:line="49" w:lineRule="exact"/>
        <w:rPr>
          <w:sz w:val="24"/>
          <w:szCs w:val="24"/>
          <w:color w:val="auto"/>
        </w:rPr>
      </w:pPr>
    </w:p>
    <w:p>
      <w:pPr>
        <w:ind w:left="7540"/>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73" w:lineRule="exact"/>
        <w:rPr>
          <w:sz w:val="24"/>
          <w:szCs w:val="24"/>
          <w:color w:val="auto"/>
        </w:rPr>
      </w:pPr>
    </w:p>
    <w:p>
      <w:pPr>
        <w:sectPr>
          <w:pgSz w:w="11900" w:h="16838" w:orient="portrait"/>
          <w:cols w:equalWidth="0" w:num="2">
            <w:col w:w="9980" w:space="720"/>
            <w:col w:w="540"/>
          </w:cols>
          <w:pgMar w:left="320" w:top="849" w:right="339" w:bottom="1440" w:gutter="0" w:footer="0" w:header="0"/>
          <w:type w:val="continuous"/>
        </w:sectPr>
      </w:pPr>
    </w:p>
    <w:p>
      <w:pPr>
        <w:ind w:right="120" w:firstLine="349"/>
        <w:spacing w:after="0" w:line="251"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73" w:lineRule="exact"/>
        <w:rPr>
          <w:sz w:val="24"/>
          <w:szCs w:val="24"/>
          <w:color w:val="auto"/>
        </w:rPr>
      </w:pPr>
    </w:p>
    <w:p>
      <w:pPr>
        <w:spacing w:after="0" w:line="196"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x</w:t>
      </w:r>
    </w:p>
    <w:p>
      <w:pPr>
        <w:spacing w:after="0" w:line="281" w:lineRule="exact"/>
        <w:rPr>
          <w:sz w:val="24"/>
          <w:szCs w:val="24"/>
          <w:color w:val="auto"/>
        </w:rPr>
      </w:pPr>
    </w:p>
    <w:tbl>
      <w:tblPr>
        <w:tblLayout w:type="fixed"/>
        <w:tblInd w:w="320" w:type="dxa"/>
        <w:tblCellMar>
          <w:top w:w="0" w:type="dxa"/>
          <w:left w:w="0" w:type="dxa"/>
          <w:bottom w:w="0" w:type="dxa"/>
          <w:right w:w="0" w:type="dxa"/>
        </w:tblCellMar>
      </w:tblPr>
      <w:tr>
        <w:trPr>
          <w:trHeight w:val="196"/>
        </w:trPr>
        <w:tc>
          <w:tcPr>
            <w:tcW w:w="3820" w:type="dxa"/>
            <w:vAlign w:val="bottom"/>
            <w:gridSpan w:val="2"/>
          </w:tcPr>
          <w:p>
            <w:pPr>
              <w:spacing w:after="0"/>
              <w:rPr>
                <w:sz w:val="20"/>
                <w:szCs w:val="20"/>
                <w:color w:val="auto"/>
              </w:rPr>
            </w:pPr>
            <w:r>
              <w:rPr>
                <w:rFonts w:ascii="Arial" w:cs="Arial" w:eastAsia="Arial" w:hAnsi="Arial"/>
                <w:sz w:val="16"/>
                <w:szCs w:val="16"/>
                <w:color w:val="auto"/>
                <w:w w:val="93"/>
              </w:rPr>
              <w:t>Securities registered pursuant to Section 12(b) of the Act:</w:t>
            </w:r>
          </w:p>
        </w:tc>
        <w:tc>
          <w:tcPr>
            <w:tcW w:w="1640" w:type="dxa"/>
            <w:vAlign w:val="bottom"/>
          </w:tcPr>
          <w:p>
            <w:pPr>
              <w:spacing w:after="0"/>
              <w:rPr>
                <w:sz w:val="17"/>
                <w:szCs w:val="17"/>
                <w:color w:val="auto"/>
              </w:rPr>
            </w:pPr>
          </w:p>
        </w:tc>
        <w:tc>
          <w:tcPr>
            <w:tcW w:w="5440" w:type="dxa"/>
            <w:vAlign w:val="bottom"/>
          </w:tcPr>
          <w:p>
            <w:pPr>
              <w:spacing w:after="0"/>
              <w:rPr>
                <w:sz w:val="17"/>
                <w:szCs w:val="17"/>
                <w:color w:val="auto"/>
              </w:rPr>
            </w:pPr>
          </w:p>
        </w:tc>
      </w:tr>
      <w:tr>
        <w:trPr>
          <w:trHeight w:val="300"/>
        </w:trPr>
        <w:tc>
          <w:tcPr>
            <w:tcW w:w="40" w:type="dxa"/>
            <w:vAlign w:val="bottom"/>
          </w:tcPr>
          <w:p>
            <w:pPr>
              <w:spacing w:after="0"/>
              <w:rPr>
                <w:sz w:val="24"/>
                <w:szCs w:val="24"/>
                <w:color w:val="auto"/>
              </w:rPr>
            </w:pPr>
          </w:p>
        </w:tc>
        <w:tc>
          <w:tcPr>
            <w:tcW w:w="3780" w:type="dxa"/>
            <w:vAlign w:val="bottom"/>
            <w:tcBorders>
              <w:bottom w:val="single" w:sz="8" w:color="auto"/>
            </w:tcBorders>
          </w:tcPr>
          <w:p>
            <w:pPr>
              <w:jc w:val="center"/>
              <w:ind w:right="22"/>
              <w:spacing w:after="0"/>
              <w:rPr>
                <w:sz w:val="20"/>
                <w:szCs w:val="20"/>
                <w:color w:val="auto"/>
              </w:rPr>
            </w:pPr>
            <w:r>
              <w:rPr>
                <w:rFonts w:ascii="Arial" w:cs="Arial" w:eastAsia="Arial" w:hAnsi="Arial"/>
                <w:sz w:val="16"/>
                <w:szCs w:val="16"/>
                <w:b w:val="1"/>
                <w:bCs w:val="1"/>
                <w:color w:val="auto"/>
                <w:w w:val="84"/>
              </w:rPr>
              <w:t>Title of each class</w:t>
            </w:r>
          </w:p>
        </w:tc>
        <w:tc>
          <w:tcPr>
            <w:tcW w:w="1640" w:type="dxa"/>
            <w:vAlign w:val="bottom"/>
            <w:tcBorders>
              <w:bottom w:val="single" w:sz="8" w:color="auto"/>
            </w:tcBorders>
          </w:tcPr>
          <w:p>
            <w:pPr>
              <w:jc w:val="center"/>
              <w:ind w:right="2"/>
              <w:spacing w:after="0"/>
              <w:rPr>
                <w:sz w:val="20"/>
                <w:szCs w:val="20"/>
                <w:color w:val="auto"/>
              </w:rPr>
            </w:pPr>
            <w:r>
              <w:rPr>
                <w:rFonts w:ascii="Arial" w:cs="Arial" w:eastAsia="Arial" w:hAnsi="Arial"/>
                <w:sz w:val="16"/>
                <w:szCs w:val="16"/>
                <w:b w:val="1"/>
                <w:bCs w:val="1"/>
                <w:color w:val="auto"/>
                <w:w w:val="89"/>
              </w:rPr>
              <w:t>Trading Symbol</w:t>
            </w:r>
          </w:p>
        </w:tc>
        <w:tc>
          <w:tcPr>
            <w:tcW w:w="5440" w:type="dxa"/>
            <w:vAlign w:val="bottom"/>
            <w:tcBorders>
              <w:bottom w:val="single" w:sz="8" w:color="auto"/>
            </w:tcBorders>
          </w:tcPr>
          <w:p>
            <w:pPr>
              <w:jc w:val="center"/>
              <w:ind w:left="202"/>
              <w:spacing w:after="0"/>
              <w:rPr>
                <w:sz w:val="20"/>
                <w:szCs w:val="20"/>
                <w:color w:val="auto"/>
              </w:rPr>
            </w:pPr>
            <w:r>
              <w:rPr>
                <w:rFonts w:ascii="Arial" w:cs="Arial" w:eastAsia="Arial" w:hAnsi="Arial"/>
                <w:sz w:val="16"/>
                <w:szCs w:val="16"/>
                <w:b w:val="1"/>
                <w:bCs w:val="1"/>
                <w:color w:val="auto"/>
                <w:w w:val="85"/>
              </w:rPr>
              <w:t>Name of each exchange on which registered</w:t>
            </w:r>
          </w:p>
        </w:tc>
      </w:tr>
      <w:tr>
        <w:trPr>
          <w:trHeight w:val="225"/>
        </w:trPr>
        <w:tc>
          <w:tcPr>
            <w:tcW w:w="4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5440" w:type="dxa"/>
            <w:vAlign w:val="bottom"/>
            <w:tcBorders>
              <w:bottom w:val="single" w:sz="8" w:color="auto"/>
            </w:tcBorders>
          </w:tcPr>
          <w:p>
            <w:pPr>
              <w:jc w:val="center"/>
              <w:ind w:left="222"/>
              <w:spacing w:after="0"/>
              <w:rPr>
                <w:sz w:val="20"/>
                <w:szCs w:val="20"/>
                <w:color w:val="auto"/>
              </w:rPr>
            </w:pPr>
            <w:r>
              <w:rPr>
                <w:rFonts w:ascii="Arial" w:cs="Arial" w:eastAsia="Arial" w:hAnsi="Arial"/>
                <w:sz w:val="16"/>
                <w:szCs w:val="16"/>
                <w:color w:val="auto"/>
                <w:w w:val="88"/>
              </w:rPr>
              <w:t>The Nasdaq Stock Market LLC</w:t>
            </w:r>
          </w:p>
        </w:tc>
      </w:tr>
      <w:tr>
        <w:trPr>
          <w:trHeight w:val="223"/>
        </w:trPr>
        <w:tc>
          <w:tcPr>
            <w:tcW w:w="40" w:type="dxa"/>
            <w:vAlign w:val="bottom"/>
          </w:tcPr>
          <w:p>
            <w:pPr>
              <w:spacing w:after="0"/>
              <w:rPr>
                <w:sz w:val="19"/>
                <w:szCs w:val="19"/>
                <w:color w:val="auto"/>
              </w:rPr>
            </w:pPr>
          </w:p>
        </w:tc>
        <w:tc>
          <w:tcPr>
            <w:tcW w:w="3780" w:type="dxa"/>
            <w:vAlign w:val="bottom"/>
          </w:tcPr>
          <w:p>
            <w:pPr>
              <w:jc w:val="center"/>
              <w:ind w:right="2"/>
              <w:spacing w:after="0"/>
              <w:rPr>
                <w:sz w:val="20"/>
                <w:szCs w:val="20"/>
                <w:color w:val="auto"/>
              </w:rPr>
            </w:pPr>
            <w:r>
              <w:rPr>
                <w:rFonts w:ascii="Arial" w:cs="Arial" w:eastAsia="Arial" w:hAnsi="Arial"/>
                <w:sz w:val="16"/>
                <w:szCs w:val="16"/>
                <w:color w:val="auto"/>
                <w:w w:val="86"/>
              </w:rPr>
              <w:t>Common stock, par value $0.10 per share</w:t>
            </w:r>
          </w:p>
        </w:tc>
        <w:tc>
          <w:tcPr>
            <w:tcW w:w="1640" w:type="dxa"/>
            <w:vAlign w:val="bottom"/>
          </w:tcPr>
          <w:p>
            <w:pPr>
              <w:jc w:val="center"/>
              <w:ind w:right="2"/>
              <w:spacing w:after="0"/>
              <w:rPr>
                <w:sz w:val="20"/>
                <w:szCs w:val="20"/>
                <w:color w:val="auto"/>
              </w:rPr>
            </w:pPr>
            <w:r>
              <w:rPr>
                <w:rFonts w:ascii="Arial" w:cs="Arial" w:eastAsia="Arial" w:hAnsi="Arial"/>
                <w:sz w:val="16"/>
                <w:szCs w:val="16"/>
                <w:color w:val="auto"/>
                <w:w w:val="99"/>
              </w:rPr>
              <w:t>ICUI</w:t>
            </w:r>
          </w:p>
        </w:tc>
        <w:tc>
          <w:tcPr>
            <w:tcW w:w="5440" w:type="dxa"/>
            <w:vAlign w:val="bottom"/>
          </w:tcPr>
          <w:p>
            <w:pPr>
              <w:ind w:left="3980"/>
              <w:spacing w:after="0"/>
              <w:rPr>
                <w:sz w:val="20"/>
                <w:szCs w:val="20"/>
                <w:color w:val="auto"/>
              </w:rPr>
            </w:pPr>
            <w:r>
              <w:rPr>
                <w:rFonts w:ascii="Arial" w:cs="Arial" w:eastAsia="Arial" w:hAnsi="Arial"/>
                <w:sz w:val="16"/>
                <w:szCs w:val="16"/>
                <w:color w:val="auto"/>
                <w:w w:val="90"/>
              </w:rPr>
              <w:t>(Global Select Market)</w:t>
            </w:r>
          </w:p>
        </w:tc>
      </w:tr>
    </w:tbl>
    <w:p>
      <w:pPr>
        <w:spacing w:after="0" w:line="88" w:lineRule="exact"/>
        <w:rPr>
          <w:sz w:val="24"/>
          <w:szCs w:val="24"/>
          <w:color w:val="auto"/>
        </w:rPr>
      </w:pPr>
    </w:p>
    <w:p>
      <w:pPr>
        <w:ind w:left="320"/>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p>
      <w:pPr>
        <w:spacing w:after="0" w:line="353" w:lineRule="exact"/>
        <w:rPr>
          <w:sz w:val="24"/>
          <w:szCs w:val="24"/>
          <w:color w:val="auto"/>
        </w:rPr>
      </w:pPr>
    </w:p>
    <w:tbl>
      <w:tblPr>
        <w:tblLayout w:type="fixed"/>
        <w:tblInd w:w="0" w:type="dxa"/>
        <w:tblCellMar>
          <w:top w:w="0" w:type="dxa"/>
          <w:left w:w="0" w:type="dxa"/>
          <w:bottom w:w="0" w:type="dxa"/>
          <w:right w:w="0" w:type="dxa"/>
        </w:tblCellMar>
      </w:tblPr>
      <w:tr>
        <w:trPr>
          <w:trHeight w:val="205"/>
        </w:trPr>
        <w:tc>
          <w:tcPr>
            <w:tcW w:w="180" w:type="dxa"/>
            <w:vAlign w:val="bottom"/>
          </w:tcPr>
          <w:p>
            <w:pPr>
              <w:spacing w:after="0"/>
              <w:rPr>
                <w:sz w:val="17"/>
                <w:szCs w:val="17"/>
                <w:color w:val="auto"/>
              </w:rPr>
            </w:pPr>
          </w:p>
        </w:tc>
        <w:tc>
          <w:tcPr>
            <w:tcW w:w="5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4"/>
              </w:rPr>
              <w:t>Class</w:t>
            </w:r>
          </w:p>
        </w:tc>
        <w:tc>
          <w:tcPr>
            <w:tcW w:w="420" w:type="dxa"/>
            <w:vAlign w:val="bottom"/>
          </w:tcPr>
          <w:p>
            <w:pPr>
              <w:spacing w:after="0"/>
              <w:rPr>
                <w:sz w:val="17"/>
                <w:szCs w:val="17"/>
                <w:color w:val="auto"/>
              </w:rPr>
            </w:pPr>
          </w:p>
        </w:tc>
        <w:tc>
          <w:tcPr>
            <w:tcW w:w="5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Outstanding at October 31, 2021</w:t>
            </w:r>
          </w:p>
        </w:tc>
        <w:tc>
          <w:tcPr>
            <w:tcW w:w="160" w:type="dxa"/>
            <w:vAlign w:val="bottom"/>
          </w:tcPr>
          <w:p>
            <w:pPr>
              <w:spacing w:after="0"/>
              <w:rPr>
                <w:sz w:val="17"/>
                <w:szCs w:val="17"/>
                <w:color w:val="auto"/>
              </w:rPr>
            </w:pPr>
          </w:p>
        </w:tc>
      </w:tr>
      <w:tr>
        <w:trPr>
          <w:trHeight w:val="197"/>
        </w:trPr>
        <w:tc>
          <w:tcPr>
            <w:tcW w:w="180" w:type="dxa"/>
            <w:vAlign w:val="bottom"/>
          </w:tcPr>
          <w:p>
            <w:pPr>
              <w:spacing w:after="0"/>
              <w:rPr>
                <w:sz w:val="17"/>
                <w:szCs w:val="17"/>
                <w:color w:val="auto"/>
              </w:rPr>
            </w:pPr>
          </w:p>
        </w:tc>
        <w:tc>
          <w:tcPr>
            <w:tcW w:w="5660" w:type="dxa"/>
            <w:vAlign w:val="bottom"/>
            <w:gridSpan w:val="2"/>
          </w:tcPr>
          <w:p>
            <w:pPr>
              <w:jc w:val="center"/>
              <w:ind w:right="440"/>
              <w:spacing w:after="0"/>
              <w:rPr>
                <w:sz w:val="20"/>
                <w:szCs w:val="20"/>
                <w:color w:val="auto"/>
              </w:rPr>
            </w:pPr>
            <w:r>
              <w:rPr>
                <w:rFonts w:ascii="Arial" w:cs="Arial" w:eastAsia="Arial" w:hAnsi="Arial"/>
                <w:sz w:val="16"/>
                <w:szCs w:val="16"/>
                <w:color w:val="auto"/>
                <w:w w:val="89"/>
              </w:rPr>
              <w:t>Common</w:t>
            </w:r>
          </w:p>
        </w:tc>
        <w:tc>
          <w:tcPr>
            <w:tcW w:w="5240" w:type="dxa"/>
            <w:vAlign w:val="bottom"/>
          </w:tcPr>
          <w:p>
            <w:pPr>
              <w:jc w:val="right"/>
              <w:ind w:right="2202"/>
              <w:spacing w:after="0"/>
              <w:rPr>
                <w:sz w:val="20"/>
                <w:szCs w:val="20"/>
                <w:color w:val="auto"/>
              </w:rPr>
            </w:pPr>
            <w:r>
              <w:rPr>
                <w:rFonts w:ascii="Arial" w:cs="Arial" w:eastAsia="Arial" w:hAnsi="Arial"/>
                <w:sz w:val="16"/>
                <w:szCs w:val="16"/>
                <w:color w:val="auto"/>
              </w:rPr>
              <w:t>21,239,119</w:t>
            </w:r>
          </w:p>
        </w:tc>
        <w:tc>
          <w:tcPr>
            <w:tcW w:w="160" w:type="dxa"/>
            <w:vAlign w:val="bottom"/>
          </w:tcPr>
          <w:p>
            <w:pPr>
              <w:spacing w:after="0"/>
              <w:rPr>
                <w:sz w:val="17"/>
                <w:szCs w:val="17"/>
                <w:color w:val="auto"/>
              </w:rPr>
            </w:pPr>
          </w:p>
        </w:tc>
      </w:tr>
      <w:tr>
        <w:trPr>
          <w:trHeight w:val="864"/>
        </w:trPr>
        <w:tc>
          <w:tcPr>
            <w:tcW w:w="180" w:type="dxa"/>
            <w:vAlign w:val="bottom"/>
            <w:tcBorders>
              <w:bottom w:val="single" w:sz="8" w:color="9A9A9A"/>
            </w:tcBorders>
          </w:tcPr>
          <w:p>
            <w:pPr>
              <w:spacing w:after="0"/>
              <w:rPr>
                <w:sz w:val="24"/>
                <w:szCs w:val="24"/>
                <w:color w:val="auto"/>
              </w:rPr>
            </w:pPr>
          </w:p>
        </w:tc>
        <w:tc>
          <w:tcPr>
            <w:tcW w:w="52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5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49"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t>ICU MEDICAL, INC. AND SUBSIDIARIES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Form 10-Q</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September 30, 2021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360" w:type="dxa"/>
            <w:vAlign w:val="bottom"/>
          </w:tcPr>
          <w:p>
            <w:pPr>
              <w:ind w:left="1500"/>
              <w:spacing w:after="0"/>
              <w:rPr>
                <w:sz w:val="20"/>
                <w:szCs w:val="20"/>
                <w:color w:val="auto"/>
              </w:rPr>
            </w:pPr>
            <w:r>
              <w:rPr>
                <w:rFonts w:ascii="Arial" w:cs="Arial" w:eastAsia="Arial" w:hAnsi="Arial"/>
                <w:sz w:val="17"/>
                <w:szCs w:val="17"/>
                <w:b w:val="1"/>
                <w:bCs w:val="1"/>
                <w:color w:val="auto"/>
              </w:rPr>
              <w:t>Table of Contents</w:t>
            </w: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7"/>
                <w:szCs w:val="17"/>
                <w:b w:val="1"/>
                <w:bCs w:val="1"/>
                <w:color w:val="auto"/>
                <w:w w:val="95"/>
              </w:rPr>
              <w:t>PART I.</w:t>
            </w:r>
          </w:p>
        </w:tc>
        <w:tc>
          <w:tcPr>
            <w:tcW w:w="1220" w:type="dxa"/>
            <w:vAlign w:val="bottom"/>
            <w:gridSpan w:val="2"/>
          </w:tcPr>
          <w:p>
            <w:pPr>
              <w:spacing w:after="0"/>
              <w:rPr>
                <w:sz w:val="24"/>
                <w:szCs w:val="24"/>
                <w:color w:val="auto"/>
              </w:rPr>
            </w:pPr>
          </w:p>
        </w:tc>
        <w:tc>
          <w:tcPr>
            <w:tcW w:w="7980" w:type="dxa"/>
            <w:vAlign w:val="bottom"/>
            <w:gridSpan w:val="3"/>
          </w:tcPr>
          <w:p>
            <w:pPr>
              <w:spacing w:after="0"/>
              <w:rPr>
                <w:sz w:val="20"/>
                <w:szCs w:val="20"/>
                <w:color w:val="auto"/>
              </w:rPr>
            </w:pPr>
            <w:r>
              <w:rPr>
                <w:rFonts w:ascii="Arial" w:cs="Arial" w:eastAsia="Arial" w:hAnsi="Arial"/>
                <w:sz w:val="17"/>
                <w:szCs w:val="17"/>
                <w:b w:val="1"/>
                <w:bCs w:val="1"/>
                <w:color w:val="auto"/>
              </w:rPr>
              <w:t>Financial Information</w:t>
            </w:r>
          </w:p>
        </w:tc>
        <w:tc>
          <w:tcPr>
            <w:tcW w:w="1400" w:type="dxa"/>
            <w:vAlign w:val="bottom"/>
          </w:tcPr>
          <w:p>
            <w:pPr>
              <w:jc w:val="right"/>
              <w:ind w:right="215"/>
              <w:spacing w:after="0"/>
              <w:rPr>
                <w:sz w:val="20"/>
                <w:szCs w:val="20"/>
                <w:color w:val="auto"/>
              </w:rPr>
            </w:pPr>
            <w:r>
              <w:rPr>
                <w:rFonts w:ascii="Arial" w:cs="Arial" w:eastAsia="Arial" w:hAnsi="Arial"/>
                <w:sz w:val="14"/>
                <w:szCs w:val="14"/>
                <w:b w:val="1"/>
                <w:bCs w:val="1"/>
                <w:color w:val="auto"/>
              </w:rPr>
              <w:t>Page Number</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0" w:type="dxa"/>
            <w:vAlign w:val="bottom"/>
          </w:tcPr>
          <w:p>
            <w:pPr>
              <w:spacing w:after="0" w:line="20" w:lineRule="exact"/>
              <w:rPr>
                <w:sz w:val="1"/>
                <w:szCs w:val="1"/>
                <w:color w:val="auto"/>
              </w:rPr>
            </w:pPr>
          </w:p>
        </w:tc>
        <w:tc>
          <w:tcPr>
            <w:tcW w:w="600" w:type="dxa"/>
            <w:vAlign w:val="bottom"/>
            <w:vMerge w:val="restart"/>
          </w:tcPr>
          <w:p>
            <w:pPr>
              <w:spacing w:after="0"/>
              <w:rPr>
                <w:sz w:val="20"/>
                <w:szCs w:val="20"/>
                <w:color w:val="auto"/>
              </w:rPr>
            </w:pPr>
            <w:r>
              <w:rPr>
                <w:rFonts w:ascii="Arial" w:cs="Arial" w:eastAsia="Arial" w:hAnsi="Arial"/>
                <w:sz w:val="17"/>
                <w:szCs w:val="17"/>
                <w:color w:val="auto"/>
              </w:rPr>
              <w:t>Item 1.</w:t>
            </w:r>
          </w:p>
        </w:tc>
        <w:tc>
          <w:tcPr>
            <w:tcW w:w="1220" w:type="dxa"/>
            <w:vAlign w:val="bottom"/>
            <w:gridSpan w:val="2"/>
            <w:vMerge w:val="restart"/>
          </w:tcPr>
          <w:p>
            <w:pPr>
              <w:spacing w:after="0" w:line="20" w:lineRule="exact"/>
              <w:rPr>
                <w:sz w:val="1"/>
                <w:szCs w:val="1"/>
                <w:color w:val="auto"/>
              </w:rPr>
            </w:pPr>
          </w:p>
        </w:tc>
        <w:tc>
          <w:tcPr>
            <w:tcW w:w="7980" w:type="dxa"/>
            <w:vAlign w:val="bottom"/>
            <w:gridSpan w:val="3"/>
            <w:vMerge w:val="restart"/>
          </w:tcPr>
          <w:p>
            <w:pPr>
              <w:spacing w:after="0"/>
              <w:rPr>
                <w:sz w:val="20"/>
                <w:szCs w:val="20"/>
                <w:color w:val="auto"/>
              </w:rPr>
            </w:pPr>
            <w:r>
              <w:rPr>
                <w:rFonts w:ascii="Arial" w:cs="Arial" w:eastAsia="Arial" w:hAnsi="Arial"/>
                <w:sz w:val="17"/>
                <w:szCs w:val="17"/>
                <w:color w:val="auto"/>
              </w:rPr>
              <w:t>Financial Statements (Unaudited)</w:t>
            </w: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1"/>
        </w:trPr>
        <w:tc>
          <w:tcPr>
            <w:tcW w:w="40" w:type="dxa"/>
            <w:vAlign w:val="bottom"/>
          </w:tcPr>
          <w:p>
            <w:pPr>
              <w:spacing w:after="0"/>
              <w:rPr>
                <w:sz w:val="24"/>
                <w:szCs w:val="24"/>
                <w:color w:val="auto"/>
              </w:rPr>
            </w:pPr>
          </w:p>
        </w:tc>
        <w:tc>
          <w:tcPr>
            <w:tcW w:w="600" w:type="dxa"/>
            <w:vAlign w:val="bottom"/>
            <w:vMerge w:val="continue"/>
          </w:tcPr>
          <w:p>
            <w:pPr>
              <w:spacing w:after="0"/>
              <w:rPr>
                <w:sz w:val="24"/>
                <w:szCs w:val="24"/>
                <w:color w:val="auto"/>
              </w:rPr>
            </w:pPr>
          </w:p>
        </w:tc>
        <w:tc>
          <w:tcPr>
            <w:tcW w:w="1220" w:type="dxa"/>
            <w:vAlign w:val="bottom"/>
            <w:gridSpan w:val="2"/>
            <w:vMerge w:val="continue"/>
          </w:tcPr>
          <w:p>
            <w:pPr>
              <w:spacing w:after="0"/>
              <w:rPr>
                <w:sz w:val="24"/>
                <w:szCs w:val="24"/>
                <w:color w:val="auto"/>
              </w:rPr>
            </w:pPr>
          </w:p>
        </w:tc>
        <w:tc>
          <w:tcPr>
            <w:tcW w:w="7980" w:type="dxa"/>
            <w:vAlign w:val="bottom"/>
            <w:gridSpan w:val="3"/>
            <w:vMerge w:val="continue"/>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980" w:type="dxa"/>
            <w:vAlign w:val="bottom"/>
            <w:gridSpan w:val="3"/>
          </w:tcPr>
          <w:p>
            <w:pPr>
              <w:spacing w:after="0"/>
              <w:rPr>
                <w:sz w:val="20"/>
                <w:szCs w:val="20"/>
                <w:color w:val="auto"/>
              </w:rPr>
            </w:pPr>
            <w:r>
              <w:rPr>
                <w:rFonts w:ascii="Arial" w:cs="Arial" w:eastAsia="Arial" w:hAnsi="Arial"/>
                <w:sz w:val="17"/>
                <w:szCs w:val="17"/>
                <w:color w:val="auto"/>
              </w:rPr>
              <w:t>Condensed Consolidated Balance Sheets at September 30, 2021 and December 31, 2020</w:t>
            </w:r>
          </w:p>
        </w:tc>
        <w:tc>
          <w:tcPr>
            <w:tcW w:w="1400" w:type="dxa"/>
            <w:vAlign w:val="bottom"/>
          </w:tcPr>
          <w:p>
            <w:pPr>
              <w:jc w:val="right"/>
              <w:spacing w:after="0"/>
              <w:rPr>
                <w:rFonts w:ascii="Arial" w:cs="Arial" w:eastAsia="Arial" w:hAnsi="Arial"/>
                <w:sz w:val="17"/>
                <w:szCs w:val="17"/>
                <w:color w:val="0000FF"/>
              </w:rPr>
            </w:pPr>
            <w:hyperlink w:anchor="page3">
              <w:r>
                <w:rPr>
                  <w:rFonts w:ascii="Arial" w:cs="Arial" w:eastAsia="Arial" w:hAnsi="Arial"/>
                  <w:sz w:val="17"/>
                  <w:szCs w:val="17"/>
                  <w:color w:val="0000FF"/>
                </w:rPr>
                <w:t>3</w:t>
              </w:r>
            </w:hyperlink>
          </w:p>
        </w:tc>
        <w:tc>
          <w:tcPr>
            <w:tcW w:w="0" w:type="dxa"/>
            <w:vAlign w:val="bottom"/>
          </w:tcPr>
          <w:p>
            <w:pPr>
              <w:spacing w:after="0"/>
              <w:rPr>
                <w:sz w:val="1"/>
                <w:szCs w:val="1"/>
                <w:color w:val="auto"/>
              </w:rPr>
            </w:pPr>
          </w:p>
        </w:tc>
      </w:tr>
      <w:tr>
        <w:trPr>
          <w:trHeight w:val="388"/>
        </w:trPr>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980" w:type="dxa"/>
            <w:vAlign w:val="bottom"/>
            <w:gridSpan w:val="3"/>
          </w:tcPr>
          <w:p>
            <w:pPr>
              <w:spacing w:after="0"/>
              <w:rPr>
                <w:sz w:val="20"/>
                <w:szCs w:val="20"/>
                <w:color w:val="auto"/>
              </w:rPr>
            </w:pPr>
            <w:r>
              <w:rPr>
                <w:rFonts w:ascii="Arial" w:cs="Arial" w:eastAsia="Arial" w:hAnsi="Arial"/>
                <w:sz w:val="17"/>
                <w:szCs w:val="17"/>
                <w:color w:val="auto"/>
                <w:w w:val="95"/>
              </w:rPr>
              <w:t>Condensed Consolidated Statements of Operations for the Three and Nine Months Ended September 30, 2021</w:t>
            </w:r>
          </w:p>
        </w:tc>
        <w:tc>
          <w:tcPr>
            <w:tcW w:w="1400" w:type="dxa"/>
            <w:vAlign w:val="bottom"/>
            <w:vMerge w:val="restart"/>
          </w:tcPr>
          <w:p>
            <w:pPr>
              <w:jc w:val="right"/>
              <w:spacing w:after="0"/>
              <w:rPr>
                <w:rFonts w:ascii="Arial" w:cs="Arial" w:eastAsia="Arial" w:hAnsi="Arial"/>
                <w:sz w:val="17"/>
                <w:szCs w:val="17"/>
                <w:color w:val="0000FF"/>
              </w:rPr>
            </w:pPr>
            <w:hyperlink w:anchor="page3">
              <w:r>
                <w:rPr>
                  <w:rFonts w:ascii="Arial" w:cs="Arial" w:eastAsia="Arial" w:hAnsi="Arial"/>
                  <w:sz w:val="17"/>
                  <w:szCs w:val="17"/>
                  <w:color w:val="0000FF"/>
                </w:rPr>
                <w:t>4</w:t>
              </w:r>
            </w:hyperlink>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980" w:type="dxa"/>
            <w:vAlign w:val="bottom"/>
            <w:gridSpan w:val="3"/>
          </w:tcPr>
          <w:p>
            <w:pPr>
              <w:spacing w:after="0"/>
              <w:rPr>
                <w:sz w:val="20"/>
                <w:szCs w:val="20"/>
                <w:color w:val="auto"/>
              </w:rPr>
            </w:pPr>
            <w:r>
              <w:rPr>
                <w:rFonts w:ascii="Arial" w:cs="Arial" w:eastAsia="Arial" w:hAnsi="Arial"/>
                <w:sz w:val="17"/>
                <w:szCs w:val="17"/>
                <w:color w:val="auto"/>
              </w:rPr>
              <w:t>and 2020</w:t>
            </w:r>
          </w:p>
        </w:tc>
        <w:tc>
          <w:tcPr>
            <w:tcW w:w="14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88"/>
        </w:trPr>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980" w:type="dxa"/>
            <w:vAlign w:val="bottom"/>
            <w:gridSpan w:val="3"/>
          </w:tcPr>
          <w:p>
            <w:pPr>
              <w:spacing w:after="0"/>
              <w:rPr>
                <w:sz w:val="20"/>
                <w:szCs w:val="20"/>
                <w:color w:val="auto"/>
              </w:rPr>
            </w:pPr>
            <w:r>
              <w:rPr>
                <w:rFonts w:ascii="Arial" w:cs="Arial" w:eastAsia="Arial" w:hAnsi="Arial"/>
                <w:sz w:val="17"/>
                <w:szCs w:val="17"/>
                <w:color w:val="auto"/>
              </w:rPr>
              <w:t>Condensed Consolidated Statements of Comprehensive Income for the Three and Nine Months Ended</w:t>
            </w:r>
          </w:p>
        </w:tc>
        <w:tc>
          <w:tcPr>
            <w:tcW w:w="1400" w:type="dxa"/>
            <w:vAlign w:val="bottom"/>
            <w:vMerge w:val="restart"/>
          </w:tcPr>
          <w:p>
            <w:pPr>
              <w:jc w:val="right"/>
              <w:spacing w:after="0"/>
              <w:rPr>
                <w:rFonts w:ascii="Arial" w:cs="Arial" w:eastAsia="Arial" w:hAnsi="Arial"/>
                <w:sz w:val="17"/>
                <w:szCs w:val="17"/>
                <w:color w:val="0000FF"/>
              </w:rPr>
            </w:pPr>
            <w:hyperlink w:anchor="page4">
              <w:r>
                <w:rPr>
                  <w:rFonts w:ascii="Arial" w:cs="Arial" w:eastAsia="Arial" w:hAnsi="Arial"/>
                  <w:sz w:val="17"/>
                  <w:szCs w:val="17"/>
                  <w:color w:val="0000FF"/>
                </w:rPr>
                <w:t>5</w:t>
              </w:r>
            </w:hyperlink>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980" w:type="dxa"/>
            <w:vAlign w:val="bottom"/>
            <w:gridSpan w:val="3"/>
          </w:tcPr>
          <w:p>
            <w:pPr>
              <w:spacing w:after="0"/>
              <w:rPr>
                <w:sz w:val="20"/>
                <w:szCs w:val="20"/>
                <w:color w:val="auto"/>
              </w:rPr>
            </w:pPr>
            <w:r>
              <w:rPr>
                <w:rFonts w:ascii="Arial" w:cs="Arial" w:eastAsia="Arial" w:hAnsi="Arial"/>
                <w:sz w:val="17"/>
                <w:szCs w:val="17"/>
                <w:color w:val="auto"/>
              </w:rPr>
              <w:t>September 30, 2021 and 2020</w:t>
            </w:r>
          </w:p>
        </w:tc>
        <w:tc>
          <w:tcPr>
            <w:tcW w:w="14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980" w:type="dxa"/>
            <w:vAlign w:val="bottom"/>
            <w:gridSpan w:val="3"/>
          </w:tcPr>
          <w:p>
            <w:pPr>
              <w:spacing w:after="0"/>
              <w:rPr>
                <w:sz w:val="20"/>
                <w:szCs w:val="20"/>
                <w:color w:val="auto"/>
              </w:rPr>
            </w:pPr>
            <w:r>
              <w:rPr>
                <w:rFonts w:ascii="Arial" w:cs="Arial" w:eastAsia="Arial" w:hAnsi="Arial"/>
                <w:sz w:val="17"/>
                <w:szCs w:val="17"/>
                <w:color w:val="auto"/>
                <w:w w:val="95"/>
              </w:rPr>
              <w:t>Condensed Consolidated Statements of Stockholders' Equity for the Three and Nine Months Ended September</w:t>
            </w:r>
          </w:p>
        </w:tc>
        <w:tc>
          <w:tcPr>
            <w:tcW w:w="1400" w:type="dxa"/>
            <w:vAlign w:val="bottom"/>
            <w:vMerge w:val="restart"/>
          </w:tcPr>
          <w:p>
            <w:pPr>
              <w:jc w:val="right"/>
              <w:spacing w:after="0"/>
              <w:rPr>
                <w:rFonts w:ascii="Arial" w:cs="Arial" w:eastAsia="Arial" w:hAnsi="Arial"/>
                <w:sz w:val="17"/>
                <w:szCs w:val="17"/>
                <w:color w:val="0000FF"/>
              </w:rPr>
            </w:pPr>
            <w:hyperlink w:anchor="page5">
              <w:r>
                <w:rPr>
                  <w:rFonts w:ascii="Arial" w:cs="Arial" w:eastAsia="Arial" w:hAnsi="Arial"/>
                  <w:sz w:val="17"/>
                  <w:szCs w:val="17"/>
                  <w:color w:val="0000FF"/>
                </w:rPr>
                <w:t>6</w:t>
              </w:r>
            </w:hyperlink>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980" w:type="dxa"/>
            <w:vAlign w:val="bottom"/>
            <w:gridSpan w:val="3"/>
          </w:tcPr>
          <w:p>
            <w:pPr>
              <w:spacing w:after="0"/>
              <w:rPr>
                <w:sz w:val="20"/>
                <w:szCs w:val="20"/>
                <w:color w:val="auto"/>
              </w:rPr>
            </w:pPr>
            <w:r>
              <w:rPr>
                <w:rFonts w:ascii="Arial" w:cs="Arial" w:eastAsia="Arial" w:hAnsi="Arial"/>
                <w:sz w:val="17"/>
                <w:szCs w:val="17"/>
                <w:color w:val="auto"/>
              </w:rPr>
              <w:t>30, 2021 and 2020</w:t>
            </w:r>
          </w:p>
        </w:tc>
        <w:tc>
          <w:tcPr>
            <w:tcW w:w="14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7980" w:type="dxa"/>
            <w:vAlign w:val="bottom"/>
            <w:gridSpan w:val="3"/>
          </w:tcPr>
          <w:p>
            <w:pPr>
              <w:spacing w:after="0"/>
              <w:rPr>
                <w:sz w:val="20"/>
                <w:szCs w:val="20"/>
                <w:color w:val="auto"/>
              </w:rPr>
            </w:pPr>
            <w:r>
              <w:rPr>
                <w:rFonts w:ascii="Arial" w:cs="Arial" w:eastAsia="Arial" w:hAnsi="Arial"/>
                <w:sz w:val="17"/>
                <w:szCs w:val="17"/>
                <w:color w:val="auto"/>
                <w:w w:val="95"/>
              </w:rPr>
              <w:t>Condensed Consolidated Statements of Cash Flows for the Nine Months Ended September 30, 2021 and 2020</w:t>
            </w:r>
          </w:p>
        </w:tc>
        <w:tc>
          <w:tcPr>
            <w:tcW w:w="1400" w:type="dxa"/>
            <w:vAlign w:val="bottom"/>
          </w:tcPr>
          <w:p>
            <w:pPr>
              <w:jc w:val="right"/>
              <w:spacing w:after="0"/>
              <w:rPr>
                <w:rFonts w:ascii="Arial" w:cs="Arial" w:eastAsia="Arial" w:hAnsi="Arial"/>
                <w:sz w:val="17"/>
                <w:szCs w:val="17"/>
                <w:color w:val="0000FF"/>
              </w:rPr>
            </w:pPr>
            <w:hyperlink w:anchor="page7">
              <w:r>
                <w:rPr>
                  <w:rFonts w:ascii="Arial" w:cs="Arial" w:eastAsia="Arial" w:hAnsi="Arial"/>
                  <w:sz w:val="17"/>
                  <w:szCs w:val="17"/>
                  <w:color w:val="0000FF"/>
                </w:rPr>
                <w:t>8</w:t>
              </w:r>
            </w:hyperlink>
          </w:p>
        </w:tc>
        <w:tc>
          <w:tcPr>
            <w:tcW w:w="0" w:type="dxa"/>
            <w:vAlign w:val="bottom"/>
          </w:tcPr>
          <w:p>
            <w:pPr>
              <w:spacing w:after="0"/>
              <w:rPr>
                <w:sz w:val="1"/>
                <w:szCs w:val="1"/>
                <w:color w:val="auto"/>
              </w:rPr>
            </w:pPr>
          </w:p>
        </w:tc>
      </w:tr>
      <w:tr>
        <w:trPr>
          <w:trHeight w:val="439"/>
        </w:trPr>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980" w:type="dxa"/>
            <w:vAlign w:val="bottom"/>
            <w:gridSpan w:val="3"/>
          </w:tcPr>
          <w:p>
            <w:pPr>
              <w:spacing w:after="0"/>
              <w:rPr>
                <w:rFonts w:ascii="Arial" w:cs="Arial" w:eastAsia="Arial" w:hAnsi="Arial"/>
                <w:sz w:val="17"/>
                <w:szCs w:val="17"/>
                <w:color w:val="0000FF"/>
              </w:rPr>
            </w:pPr>
            <w:hyperlink w:anchor="page9">
              <w:r>
                <w:rPr>
                  <w:rFonts w:ascii="Arial" w:cs="Arial" w:eastAsia="Arial" w:hAnsi="Arial"/>
                  <w:sz w:val="17"/>
                  <w:szCs w:val="17"/>
                  <w:color w:val="0000FF"/>
                </w:rPr>
                <w:t>Notes to Condensed Consolidated Financial Statements</w:t>
              </w:r>
            </w:hyperlink>
          </w:p>
        </w:tc>
        <w:tc>
          <w:tcPr>
            <w:tcW w:w="1400" w:type="dxa"/>
            <w:vAlign w:val="bottom"/>
          </w:tcPr>
          <w:p>
            <w:pPr>
              <w:jc w:val="right"/>
              <w:spacing w:after="0"/>
              <w:rPr>
                <w:rFonts w:ascii="Arial" w:cs="Arial" w:eastAsia="Arial" w:hAnsi="Arial"/>
                <w:sz w:val="17"/>
                <w:szCs w:val="17"/>
                <w:color w:val="0000FF"/>
              </w:rPr>
            </w:pPr>
            <w:hyperlink w:anchor="page9">
              <w:r>
                <w:rPr>
                  <w:rFonts w:ascii="Arial" w:cs="Arial" w:eastAsia="Arial" w:hAnsi="Arial"/>
                  <w:sz w:val="17"/>
                  <w:szCs w:val="17"/>
                  <w:color w:val="0000FF"/>
                </w:rPr>
                <w:t>10</w:t>
              </w:r>
            </w:hyperlink>
          </w:p>
        </w:tc>
        <w:tc>
          <w:tcPr>
            <w:tcW w:w="0" w:type="dxa"/>
            <w:vAlign w:val="bottom"/>
          </w:tcPr>
          <w:p>
            <w:pPr>
              <w:spacing w:after="0"/>
              <w:rPr>
                <w:sz w:val="1"/>
                <w:szCs w:val="1"/>
                <w:color w:val="auto"/>
              </w:rPr>
            </w:pPr>
          </w:p>
        </w:tc>
      </w:tr>
      <w:tr>
        <w:trPr>
          <w:trHeight w:val="439"/>
        </w:trPr>
        <w:tc>
          <w:tcPr>
            <w:tcW w:w="40" w:type="dxa"/>
            <w:vAlign w:val="bottom"/>
          </w:tcPr>
          <w:p>
            <w:pPr>
              <w:spacing w:after="0"/>
              <w:rPr>
                <w:sz w:val="24"/>
                <w:szCs w:val="24"/>
                <w:color w:val="auto"/>
              </w:rPr>
            </w:pPr>
          </w:p>
        </w:tc>
        <w:tc>
          <w:tcPr>
            <w:tcW w:w="1820" w:type="dxa"/>
            <w:vAlign w:val="bottom"/>
            <w:gridSpan w:val="3"/>
          </w:tcPr>
          <w:p>
            <w:pPr>
              <w:spacing w:after="0"/>
              <w:rPr>
                <w:sz w:val="20"/>
                <w:szCs w:val="20"/>
                <w:color w:val="auto"/>
              </w:rPr>
            </w:pPr>
            <w:r>
              <w:rPr>
                <w:rFonts w:ascii="Arial" w:cs="Arial" w:eastAsia="Arial" w:hAnsi="Arial"/>
                <w:sz w:val="17"/>
                <w:szCs w:val="17"/>
                <w:color w:val="auto"/>
              </w:rPr>
              <w:t>Item 2.</w:t>
            </w:r>
          </w:p>
        </w:tc>
        <w:tc>
          <w:tcPr>
            <w:tcW w:w="7980" w:type="dxa"/>
            <w:vAlign w:val="bottom"/>
            <w:gridSpan w:val="3"/>
          </w:tcPr>
          <w:p>
            <w:pPr>
              <w:spacing w:after="0"/>
              <w:rPr>
                <w:rFonts w:ascii="Arial" w:cs="Arial" w:eastAsia="Arial" w:hAnsi="Arial"/>
                <w:sz w:val="17"/>
                <w:szCs w:val="17"/>
                <w:color w:val="0000FF"/>
              </w:rPr>
            </w:pPr>
            <w:hyperlink w:anchor="page29">
              <w:r>
                <w:rPr>
                  <w:rFonts w:ascii="Arial" w:cs="Arial" w:eastAsia="Arial" w:hAnsi="Arial"/>
                  <w:sz w:val="17"/>
                  <w:szCs w:val="17"/>
                  <w:color w:val="0000FF"/>
                </w:rPr>
                <w:t>Management’s Discussion and Analysis of Financial Condition and Results of Operations</w:t>
              </w:r>
            </w:hyperlink>
          </w:p>
        </w:tc>
        <w:tc>
          <w:tcPr>
            <w:tcW w:w="1400" w:type="dxa"/>
            <w:vAlign w:val="bottom"/>
          </w:tcPr>
          <w:p>
            <w:pPr>
              <w:jc w:val="right"/>
              <w:spacing w:after="0"/>
              <w:rPr>
                <w:rFonts w:ascii="Arial" w:cs="Arial" w:eastAsia="Arial" w:hAnsi="Arial"/>
                <w:sz w:val="17"/>
                <w:szCs w:val="17"/>
                <w:color w:val="0000FF"/>
              </w:rPr>
            </w:pPr>
            <w:hyperlink w:anchor="page29">
              <w:r>
                <w:rPr>
                  <w:rFonts w:ascii="Arial" w:cs="Arial" w:eastAsia="Arial" w:hAnsi="Arial"/>
                  <w:sz w:val="17"/>
                  <w:szCs w:val="17"/>
                  <w:color w:val="0000FF"/>
                </w:rPr>
                <w:t>29</w:t>
              </w:r>
            </w:hyperlink>
          </w:p>
        </w:tc>
        <w:tc>
          <w:tcPr>
            <w:tcW w:w="0" w:type="dxa"/>
            <w:vAlign w:val="bottom"/>
          </w:tcPr>
          <w:p>
            <w:pPr>
              <w:spacing w:after="0"/>
              <w:rPr>
                <w:sz w:val="1"/>
                <w:szCs w:val="1"/>
                <w:color w:val="auto"/>
              </w:rPr>
            </w:pPr>
          </w:p>
        </w:tc>
      </w:tr>
      <w:tr>
        <w:trPr>
          <w:trHeight w:val="439"/>
        </w:trPr>
        <w:tc>
          <w:tcPr>
            <w:tcW w:w="40" w:type="dxa"/>
            <w:vAlign w:val="bottom"/>
          </w:tcPr>
          <w:p>
            <w:pPr>
              <w:spacing w:after="0"/>
              <w:rPr>
                <w:sz w:val="24"/>
                <w:szCs w:val="24"/>
                <w:color w:val="auto"/>
              </w:rPr>
            </w:pPr>
          </w:p>
        </w:tc>
        <w:tc>
          <w:tcPr>
            <w:tcW w:w="1820" w:type="dxa"/>
            <w:vAlign w:val="bottom"/>
            <w:gridSpan w:val="3"/>
          </w:tcPr>
          <w:p>
            <w:pPr>
              <w:spacing w:after="0"/>
              <w:rPr>
                <w:sz w:val="20"/>
                <w:szCs w:val="20"/>
                <w:color w:val="auto"/>
              </w:rPr>
            </w:pPr>
            <w:r>
              <w:rPr>
                <w:rFonts w:ascii="Arial" w:cs="Arial" w:eastAsia="Arial" w:hAnsi="Arial"/>
                <w:sz w:val="17"/>
                <w:szCs w:val="17"/>
                <w:color w:val="auto"/>
              </w:rPr>
              <w:t>Item 3.</w:t>
            </w:r>
          </w:p>
        </w:tc>
        <w:tc>
          <w:tcPr>
            <w:tcW w:w="7980" w:type="dxa"/>
            <w:vAlign w:val="bottom"/>
            <w:gridSpan w:val="3"/>
          </w:tcPr>
          <w:p>
            <w:pPr>
              <w:spacing w:after="0"/>
              <w:rPr>
                <w:rFonts w:ascii="Arial" w:cs="Arial" w:eastAsia="Arial" w:hAnsi="Arial"/>
                <w:sz w:val="17"/>
                <w:szCs w:val="17"/>
                <w:color w:val="0000FF"/>
              </w:rPr>
            </w:pPr>
            <w:hyperlink w:anchor="page42">
              <w:r>
                <w:rPr>
                  <w:rFonts w:ascii="Arial" w:cs="Arial" w:eastAsia="Arial" w:hAnsi="Arial"/>
                  <w:sz w:val="17"/>
                  <w:szCs w:val="17"/>
                  <w:color w:val="0000FF"/>
                </w:rPr>
                <w:t>Quantitative and Qualitative Disclosures About Market Risk</w:t>
              </w:r>
            </w:hyperlink>
          </w:p>
        </w:tc>
        <w:tc>
          <w:tcPr>
            <w:tcW w:w="1400" w:type="dxa"/>
            <w:vAlign w:val="bottom"/>
          </w:tcPr>
          <w:p>
            <w:pPr>
              <w:jc w:val="right"/>
              <w:spacing w:after="0"/>
              <w:rPr>
                <w:rFonts w:ascii="Arial" w:cs="Arial" w:eastAsia="Arial" w:hAnsi="Arial"/>
                <w:sz w:val="17"/>
                <w:szCs w:val="17"/>
                <w:color w:val="0000FF"/>
              </w:rPr>
            </w:pPr>
            <w:hyperlink w:anchor="page42">
              <w:r>
                <w:rPr>
                  <w:rFonts w:ascii="Arial" w:cs="Arial" w:eastAsia="Arial" w:hAnsi="Arial"/>
                  <w:sz w:val="17"/>
                  <w:szCs w:val="17"/>
                  <w:color w:val="0000FF"/>
                </w:rPr>
                <w:t>43</w:t>
              </w:r>
            </w:hyperlink>
          </w:p>
        </w:tc>
        <w:tc>
          <w:tcPr>
            <w:tcW w:w="0" w:type="dxa"/>
            <w:vAlign w:val="bottom"/>
          </w:tcPr>
          <w:p>
            <w:pPr>
              <w:spacing w:after="0"/>
              <w:rPr>
                <w:sz w:val="1"/>
                <w:szCs w:val="1"/>
                <w:color w:val="auto"/>
              </w:rPr>
            </w:pPr>
          </w:p>
        </w:tc>
      </w:tr>
      <w:tr>
        <w:trPr>
          <w:trHeight w:val="439"/>
        </w:trPr>
        <w:tc>
          <w:tcPr>
            <w:tcW w:w="40" w:type="dxa"/>
            <w:vAlign w:val="bottom"/>
          </w:tcPr>
          <w:p>
            <w:pPr>
              <w:spacing w:after="0"/>
              <w:rPr>
                <w:sz w:val="24"/>
                <w:szCs w:val="24"/>
                <w:color w:val="auto"/>
              </w:rPr>
            </w:pPr>
          </w:p>
        </w:tc>
        <w:tc>
          <w:tcPr>
            <w:tcW w:w="1820" w:type="dxa"/>
            <w:vAlign w:val="bottom"/>
            <w:gridSpan w:val="3"/>
          </w:tcPr>
          <w:p>
            <w:pPr>
              <w:spacing w:after="0"/>
              <w:rPr>
                <w:sz w:val="20"/>
                <w:szCs w:val="20"/>
                <w:color w:val="auto"/>
              </w:rPr>
            </w:pPr>
            <w:r>
              <w:rPr>
                <w:rFonts w:ascii="Arial" w:cs="Arial" w:eastAsia="Arial" w:hAnsi="Arial"/>
                <w:sz w:val="17"/>
                <w:szCs w:val="17"/>
                <w:color w:val="auto"/>
              </w:rPr>
              <w:t>Item 4.</w:t>
            </w:r>
          </w:p>
        </w:tc>
        <w:tc>
          <w:tcPr>
            <w:tcW w:w="7980" w:type="dxa"/>
            <w:vAlign w:val="bottom"/>
            <w:gridSpan w:val="3"/>
          </w:tcPr>
          <w:p>
            <w:pPr>
              <w:spacing w:after="0"/>
              <w:rPr>
                <w:rFonts w:ascii="Arial" w:cs="Arial" w:eastAsia="Arial" w:hAnsi="Arial"/>
                <w:sz w:val="17"/>
                <w:szCs w:val="17"/>
                <w:color w:val="0000FF"/>
              </w:rPr>
            </w:pPr>
            <w:hyperlink w:anchor="page43">
              <w:r>
                <w:rPr>
                  <w:rFonts w:ascii="Arial" w:cs="Arial" w:eastAsia="Arial" w:hAnsi="Arial"/>
                  <w:sz w:val="17"/>
                  <w:szCs w:val="17"/>
                  <w:color w:val="0000FF"/>
                </w:rPr>
                <w:t>Controls and Procedures</w:t>
              </w:r>
            </w:hyperlink>
          </w:p>
        </w:tc>
        <w:tc>
          <w:tcPr>
            <w:tcW w:w="1400" w:type="dxa"/>
            <w:vAlign w:val="bottom"/>
          </w:tcPr>
          <w:p>
            <w:pPr>
              <w:jc w:val="right"/>
              <w:spacing w:after="0"/>
              <w:rPr>
                <w:rFonts w:ascii="Arial" w:cs="Arial" w:eastAsia="Arial" w:hAnsi="Arial"/>
                <w:sz w:val="17"/>
                <w:szCs w:val="17"/>
                <w:color w:val="0000FF"/>
              </w:rPr>
            </w:pPr>
            <w:hyperlink w:anchor="page43">
              <w:r>
                <w:rPr>
                  <w:rFonts w:ascii="Arial" w:cs="Arial" w:eastAsia="Arial" w:hAnsi="Arial"/>
                  <w:sz w:val="17"/>
                  <w:szCs w:val="17"/>
                  <w:color w:val="0000FF"/>
                </w:rPr>
                <w:t>43</w:t>
              </w:r>
            </w:hyperlink>
          </w:p>
        </w:tc>
        <w:tc>
          <w:tcPr>
            <w:tcW w:w="0" w:type="dxa"/>
            <w:vAlign w:val="bottom"/>
          </w:tcPr>
          <w:p>
            <w:pPr>
              <w:spacing w:after="0"/>
              <w:rPr>
                <w:sz w:val="1"/>
                <w:szCs w:val="1"/>
                <w:color w:val="auto"/>
              </w:rPr>
            </w:pPr>
          </w:p>
        </w:tc>
      </w:tr>
      <w:tr>
        <w:trPr>
          <w:trHeight w:val="400"/>
        </w:trPr>
        <w:tc>
          <w:tcPr>
            <w:tcW w:w="40" w:type="dxa"/>
            <w:vAlign w:val="bottom"/>
          </w:tcPr>
          <w:p>
            <w:pPr>
              <w:spacing w:after="0"/>
              <w:rPr>
                <w:sz w:val="24"/>
                <w:szCs w:val="24"/>
                <w:color w:val="auto"/>
              </w:rPr>
            </w:pPr>
          </w:p>
        </w:tc>
        <w:tc>
          <w:tcPr>
            <w:tcW w:w="1820" w:type="dxa"/>
            <w:vAlign w:val="bottom"/>
            <w:gridSpan w:val="3"/>
          </w:tcPr>
          <w:p>
            <w:pPr>
              <w:spacing w:after="0"/>
              <w:rPr>
                <w:sz w:val="20"/>
                <w:szCs w:val="20"/>
                <w:color w:val="auto"/>
              </w:rPr>
            </w:pPr>
            <w:r>
              <w:rPr>
                <w:rFonts w:ascii="Arial" w:cs="Arial" w:eastAsia="Arial" w:hAnsi="Arial"/>
                <w:sz w:val="17"/>
                <w:szCs w:val="17"/>
                <w:b w:val="1"/>
                <w:bCs w:val="1"/>
                <w:color w:val="auto"/>
              </w:rPr>
              <w:t>PART II.</w:t>
            </w:r>
          </w:p>
        </w:tc>
        <w:tc>
          <w:tcPr>
            <w:tcW w:w="7980" w:type="dxa"/>
            <w:vAlign w:val="bottom"/>
            <w:gridSpan w:val="3"/>
          </w:tcPr>
          <w:p>
            <w:pPr>
              <w:spacing w:after="0"/>
              <w:rPr>
                <w:rFonts w:ascii="Arial" w:cs="Arial" w:eastAsia="Arial" w:hAnsi="Arial"/>
                <w:sz w:val="17"/>
                <w:szCs w:val="17"/>
                <w:b w:val="1"/>
                <w:bCs w:val="1"/>
                <w:color w:val="0000FF"/>
              </w:rPr>
            </w:pPr>
            <w:hyperlink w:anchor="page43">
              <w:r>
                <w:rPr>
                  <w:rFonts w:ascii="Arial" w:cs="Arial" w:eastAsia="Arial" w:hAnsi="Arial"/>
                  <w:sz w:val="17"/>
                  <w:szCs w:val="17"/>
                  <w:b w:val="1"/>
                  <w:bCs w:val="1"/>
                  <w:color w:val="0000FF"/>
                </w:rPr>
                <w:t>Other Information</w:t>
              </w:r>
            </w:hyperlink>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660" w:type="dxa"/>
            <w:vAlign w:val="bottom"/>
            <w:tcBorders>
              <w:top w:val="single" w:sz="8" w:color="auto"/>
            </w:tcBorders>
            <w:gridSpan w:val="2"/>
          </w:tcPr>
          <w:p>
            <w:pPr>
              <w:spacing w:after="0"/>
              <w:rPr>
                <w:sz w:val="20"/>
                <w:szCs w:val="20"/>
                <w:color w:val="auto"/>
              </w:rPr>
            </w:pPr>
            <w:r>
              <w:rPr>
                <w:rFonts w:ascii="Arial" w:cs="Arial" w:eastAsia="Arial" w:hAnsi="Arial"/>
                <w:sz w:val="17"/>
                <w:szCs w:val="17"/>
                <w:color w:val="auto"/>
              </w:rPr>
              <w:t>Item 1.</w:t>
            </w:r>
          </w:p>
        </w:tc>
        <w:tc>
          <w:tcPr>
            <w:tcW w:w="1160" w:type="dxa"/>
            <w:vAlign w:val="bottom"/>
          </w:tcPr>
          <w:p>
            <w:pPr>
              <w:spacing w:after="0"/>
              <w:rPr>
                <w:sz w:val="20"/>
                <w:szCs w:val="20"/>
                <w:color w:val="auto"/>
              </w:rPr>
            </w:pPr>
          </w:p>
        </w:tc>
        <w:tc>
          <w:tcPr>
            <w:tcW w:w="1380" w:type="dxa"/>
            <w:vAlign w:val="bottom"/>
            <w:tcBorders>
              <w:top w:val="single" w:sz="8" w:color="0000FF"/>
            </w:tcBorders>
          </w:tcPr>
          <w:p>
            <w:pPr>
              <w:spacing w:after="0"/>
              <w:rPr>
                <w:rFonts w:ascii="Arial" w:cs="Arial" w:eastAsia="Arial" w:hAnsi="Arial"/>
                <w:sz w:val="17"/>
                <w:szCs w:val="17"/>
                <w:color w:val="0000FF"/>
                <w:w w:val="96"/>
              </w:rPr>
            </w:pPr>
            <w:hyperlink w:anchor="page43">
              <w:r>
                <w:rPr>
                  <w:rFonts w:ascii="Arial" w:cs="Arial" w:eastAsia="Arial" w:hAnsi="Arial"/>
                  <w:sz w:val="17"/>
                  <w:szCs w:val="17"/>
                  <w:color w:val="0000FF"/>
                  <w:w w:val="96"/>
                </w:rPr>
                <w:t>Legal Proceedings</w:t>
              </w:r>
            </w:hyperlink>
          </w:p>
        </w:tc>
        <w:tc>
          <w:tcPr>
            <w:tcW w:w="6600" w:type="dxa"/>
            <w:vAlign w:val="bottom"/>
            <w:gridSpan w:val="2"/>
          </w:tcPr>
          <w:p>
            <w:pPr>
              <w:spacing w:after="0"/>
              <w:rPr>
                <w:sz w:val="20"/>
                <w:szCs w:val="20"/>
                <w:color w:val="auto"/>
              </w:rPr>
            </w:pPr>
          </w:p>
        </w:tc>
        <w:tc>
          <w:tcPr>
            <w:tcW w:w="1400" w:type="dxa"/>
            <w:vAlign w:val="bottom"/>
          </w:tcPr>
          <w:p>
            <w:pPr>
              <w:jc w:val="right"/>
              <w:spacing w:after="0"/>
              <w:rPr>
                <w:rFonts w:ascii="Arial" w:cs="Arial" w:eastAsia="Arial" w:hAnsi="Arial"/>
                <w:sz w:val="17"/>
                <w:szCs w:val="17"/>
                <w:color w:val="0000FF"/>
              </w:rPr>
            </w:pPr>
            <w:hyperlink w:anchor="page43">
              <w:r>
                <w:rPr>
                  <w:rFonts w:ascii="Arial" w:cs="Arial" w:eastAsia="Arial" w:hAnsi="Arial"/>
                  <w:sz w:val="17"/>
                  <w:szCs w:val="17"/>
                  <w:color w:val="0000FF"/>
                </w:rPr>
                <w:t>43</w:t>
              </w:r>
            </w:hyperlink>
          </w:p>
        </w:tc>
        <w:tc>
          <w:tcPr>
            <w:tcW w:w="0" w:type="dxa"/>
            <w:vAlign w:val="bottom"/>
          </w:tcPr>
          <w:p>
            <w:pPr>
              <w:spacing w:after="0"/>
              <w:rPr>
                <w:sz w:val="1"/>
                <w:szCs w:val="1"/>
                <w:color w:val="auto"/>
              </w:rPr>
            </w:pPr>
          </w:p>
        </w:tc>
      </w:tr>
      <w:tr>
        <w:trPr>
          <w:trHeight w:val="439"/>
        </w:trPr>
        <w:tc>
          <w:tcPr>
            <w:tcW w:w="40" w:type="dxa"/>
            <w:vAlign w:val="bottom"/>
          </w:tcPr>
          <w:p>
            <w:pPr>
              <w:spacing w:after="0"/>
              <w:rPr>
                <w:sz w:val="24"/>
                <w:szCs w:val="24"/>
                <w:color w:val="auto"/>
              </w:rPr>
            </w:pPr>
          </w:p>
        </w:tc>
        <w:tc>
          <w:tcPr>
            <w:tcW w:w="1820" w:type="dxa"/>
            <w:vAlign w:val="bottom"/>
            <w:gridSpan w:val="3"/>
          </w:tcPr>
          <w:p>
            <w:pPr>
              <w:spacing w:after="0"/>
              <w:rPr>
                <w:sz w:val="20"/>
                <w:szCs w:val="20"/>
                <w:color w:val="auto"/>
              </w:rPr>
            </w:pPr>
            <w:r>
              <w:rPr>
                <w:rFonts w:ascii="Arial" w:cs="Arial" w:eastAsia="Arial" w:hAnsi="Arial"/>
                <w:sz w:val="17"/>
                <w:szCs w:val="17"/>
                <w:color w:val="auto"/>
              </w:rPr>
              <w:t>Item1A.</w:t>
            </w:r>
          </w:p>
        </w:tc>
        <w:tc>
          <w:tcPr>
            <w:tcW w:w="7980" w:type="dxa"/>
            <w:vAlign w:val="bottom"/>
            <w:gridSpan w:val="3"/>
          </w:tcPr>
          <w:p>
            <w:pPr>
              <w:spacing w:after="0"/>
              <w:rPr>
                <w:rFonts w:ascii="Arial" w:cs="Arial" w:eastAsia="Arial" w:hAnsi="Arial"/>
                <w:sz w:val="17"/>
                <w:szCs w:val="17"/>
                <w:color w:val="0000FF"/>
              </w:rPr>
            </w:pPr>
            <w:hyperlink w:anchor="page43">
              <w:r>
                <w:rPr>
                  <w:rFonts w:ascii="Arial" w:cs="Arial" w:eastAsia="Arial" w:hAnsi="Arial"/>
                  <w:sz w:val="17"/>
                  <w:szCs w:val="17"/>
                  <w:color w:val="0000FF"/>
                </w:rPr>
                <w:t>Risk Factors</w:t>
              </w:r>
            </w:hyperlink>
          </w:p>
        </w:tc>
        <w:tc>
          <w:tcPr>
            <w:tcW w:w="1400" w:type="dxa"/>
            <w:vAlign w:val="bottom"/>
          </w:tcPr>
          <w:p>
            <w:pPr>
              <w:jc w:val="right"/>
              <w:spacing w:after="0"/>
              <w:rPr>
                <w:rFonts w:ascii="Arial" w:cs="Arial" w:eastAsia="Arial" w:hAnsi="Arial"/>
                <w:sz w:val="17"/>
                <w:szCs w:val="17"/>
                <w:color w:val="0000FF"/>
              </w:rPr>
            </w:pPr>
            <w:hyperlink w:anchor="page43">
              <w:r>
                <w:rPr>
                  <w:rFonts w:ascii="Arial" w:cs="Arial" w:eastAsia="Arial" w:hAnsi="Arial"/>
                  <w:sz w:val="17"/>
                  <w:szCs w:val="17"/>
                  <w:color w:val="0000FF"/>
                </w:rPr>
                <w:t>44</w:t>
              </w:r>
            </w:hyperlink>
          </w:p>
        </w:tc>
        <w:tc>
          <w:tcPr>
            <w:tcW w:w="0" w:type="dxa"/>
            <w:vAlign w:val="bottom"/>
          </w:tcPr>
          <w:p>
            <w:pPr>
              <w:spacing w:after="0"/>
              <w:rPr>
                <w:sz w:val="1"/>
                <w:szCs w:val="1"/>
                <w:color w:val="auto"/>
              </w:rPr>
            </w:pPr>
          </w:p>
        </w:tc>
      </w:tr>
      <w:tr>
        <w:trPr>
          <w:trHeight w:val="439"/>
        </w:trPr>
        <w:tc>
          <w:tcPr>
            <w:tcW w:w="40" w:type="dxa"/>
            <w:vAlign w:val="bottom"/>
          </w:tcPr>
          <w:p>
            <w:pPr>
              <w:spacing w:after="0"/>
              <w:rPr>
                <w:sz w:val="24"/>
                <w:szCs w:val="24"/>
                <w:color w:val="auto"/>
              </w:rPr>
            </w:pPr>
          </w:p>
        </w:tc>
        <w:tc>
          <w:tcPr>
            <w:tcW w:w="1820" w:type="dxa"/>
            <w:vAlign w:val="bottom"/>
            <w:gridSpan w:val="3"/>
          </w:tcPr>
          <w:p>
            <w:pPr>
              <w:spacing w:after="0"/>
              <w:rPr>
                <w:sz w:val="20"/>
                <w:szCs w:val="20"/>
                <w:color w:val="auto"/>
              </w:rPr>
            </w:pPr>
            <w:r>
              <w:rPr>
                <w:rFonts w:ascii="Arial" w:cs="Arial" w:eastAsia="Arial" w:hAnsi="Arial"/>
                <w:sz w:val="17"/>
                <w:szCs w:val="17"/>
                <w:color w:val="auto"/>
              </w:rPr>
              <w:t>Item 2.</w:t>
            </w:r>
          </w:p>
        </w:tc>
        <w:tc>
          <w:tcPr>
            <w:tcW w:w="7980" w:type="dxa"/>
            <w:vAlign w:val="bottom"/>
            <w:gridSpan w:val="3"/>
          </w:tcPr>
          <w:p>
            <w:pPr>
              <w:spacing w:after="0"/>
              <w:rPr>
                <w:rFonts w:ascii="Arial" w:cs="Arial" w:eastAsia="Arial" w:hAnsi="Arial"/>
                <w:sz w:val="17"/>
                <w:szCs w:val="17"/>
                <w:color w:val="0000FF"/>
              </w:rPr>
            </w:pPr>
            <w:hyperlink w:anchor="page45">
              <w:r>
                <w:rPr>
                  <w:rFonts w:ascii="Arial" w:cs="Arial" w:eastAsia="Arial" w:hAnsi="Arial"/>
                  <w:sz w:val="17"/>
                  <w:szCs w:val="17"/>
                  <w:color w:val="0000FF"/>
                </w:rPr>
                <w:t>Unregistered Sales of Equity Securities and Use of Proceeds</w:t>
              </w:r>
            </w:hyperlink>
          </w:p>
        </w:tc>
        <w:tc>
          <w:tcPr>
            <w:tcW w:w="1400" w:type="dxa"/>
            <w:vAlign w:val="bottom"/>
          </w:tcPr>
          <w:p>
            <w:pPr>
              <w:jc w:val="right"/>
              <w:spacing w:after="0"/>
              <w:rPr>
                <w:rFonts w:ascii="Arial" w:cs="Arial" w:eastAsia="Arial" w:hAnsi="Arial"/>
                <w:sz w:val="17"/>
                <w:szCs w:val="17"/>
                <w:color w:val="0000FF"/>
              </w:rPr>
            </w:pPr>
            <w:hyperlink w:anchor="page45">
              <w:r>
                <w:rPr>
                  <w:rFonts w:ascii="Arial" w:cs="Arial" w:eastAsia="Arial" w:hAnsi="Arial"/>
                  <w:sz w:val="17"/>
                  <w:szCs w:val="17"/>
                  <w:color w:val="0000FF"/>
                </w:rPr>
                <w:t>45</w:t>
              </w:r>
            </w:hyperlink>
          </w:p>
        </w:tc>
        <w:tc>
          <w:tcPr>
            <w:tcW w:w="0" w:type="dxa"/>
            <w:vAlign w:val="bottom"/>
          </w:tcPr>
          <w:p>
            <w:pPr>
              <w:spacing w:after="0"/>
              <w:rPr>
                <w:sz w:val="1"/>
                <w:szCs w:val="1"/>
                <w:color w:val="auto"/>
              </w:rPr>
            </w:pPr>
          </w:p>
        </w:tc>
      </w:tr>
      <w:tr>
        <w:trPr>
          <w:trHeight w:val="439"/>
        </w:trPr>
        <w:tc>
          <w:tcPr>
            <w:tcW w:w="40" w:type="dxa"/>
            <w:vAlign w:val="bottom"/>
          </w:tcPr>
          <w:p>
            <w:pPr>
              <w:spacing w:after="0"/>
              <w:rPr>
                <w:sz w:val="24"/>
                <w:szCs w:val="24"/>
                <w:color w:val="auto"/>
              </w:rPr>
            </w:pPr>
          </w:p>
        </w:tc>
        <w:tc>
          <w:tcPr>
            <w:tcW w:w="1820" w:type="dxa"/>
            <w:vAlign w:val="bottom"/>
            <w:gridSpan w:val="3"/>
          </w:tcPr>
          <w:p>
            <w:pPr>
              <w:spacing w:after="0"/>
              <w:rPr>
                <w:sz w:val="20"/>
                <w:szCs w:val="20"/>
                <w:color w:val="auto"/>
              </w:rPr>
            </w:pPr>
            <w:r>
              <w:rPr>
                <w:rFonts w:ascii="Arial" w:cs="Arial" w:eastAsia="Arial" w:hAnsi="Arial"/>
                <w:sz w:val="17"/>
                <w:szCs w:val="17"/>
                <w:color w:val="auto"/>
              </w:rPr>
              <w:t>Item 6.</w:t>
            </w:r>
          </w:p>
        </w:tc>
        <w:tc>
          <w:tcPr>
            <w:tcW w:w="7980" w:type="dxa"/>
            <w:vAlign w:val="bottom"/>
            <w:gridSpan w:val="3"/>
          </w:tcPr>
          <w:p>
            <w:pPr>
              <w:spacing w:after="0"/>
              <w:rPr>
                <w:rFonts w:ascii="Arial" w:cs="Arial" w:eastAsia="Arial" w:hAnsi="Arial"/>
                <w:sz w:val="17"/>
                <w:szCs w:val="17"/>
                <w:color w:val="0000FF"/>
              </w:rPr>
            </w:pPr>
            <w:hyperlink w:anchor="page45">
              <w:r>
                <w:rPr>
                  <w:rFonts w:ascii="Arial" w:cs="Arial" w:eastAsia="Arial" w:hAnsi="Arial"/>
                  <w:sz w:val="17"/>
                  <w:szCs w:val="17"/>
                  <w:color w:val="0000FF"/>
                </w:rPr>
                <w:t>Exhibits</w:t>
              </w:r>
            </w:hyperlink>
          </w:p>
        </w:tc>
        <w:tc>
          <w:tcPr>
            <w:tcW w:w="1400" w:type="dxa"/>
            <w:vAlign w:val="bottom"/>
          </w:tcPr>
          <w:p>
            <w:pPr>
              <w:jc w:val="right"/>
              <w:spacing w:after="0"/>
              <w:rPr>
                <w:rFonts w:ascii="Arial" w:cs="Arial" w:eastAsia="Arial" w:hAnsi="Arial"/>
                <w:sz w:val="17"/>
                <w:szCs w:val="17"/>
                <w:color w:val="0000FF"/>
              </w:rPr>
            </w:pPr>
            <w:hyperlink w:anchor="page45">
              <w:r>
                <w:rPr>
                  <w:rFonts w:ascii="Arial" w:cs="Arial" w:eastAsia="Arial" w:hAnsi="Arial"/>
                  <w:sz w:val="17"/>
                  <w:szCs w:val="17"/>
                  <w:color w:val="0000FF"/>
                </w:rPr>
                <w:t>46</w:t>
              </w:r>
            </w:hyperlink>
          </w:p>
        </w:tc>
        <w:tc>
          <w:tcPr>
            <w:tcW w:w="0" w:type="dxa"/>
            <w:vAlign w:val="bottom"/>
          </w:tcPr>
          <w:p>
            <w:pPr>
              <w:spacing w:after="0"/>
              <w:rPr>
                <w:sz w:val="1"/>
                <w:szCs w:val="1"/>
                <w:color w:val="auto"/>
              </w:rPr>
            </w:pPr>
          </w:p>
        </w:tc>
      </w:tr>
      <w:tr>
        <w:trPr>
          <w:trHeight w:val="439"/>
        </w:trPr>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980" w:type="dxa"/>
            <w:vAlign w:val="bottom"/>
            <w:gridSpan w:val="3"/>
          </w:tcPr>
          <w:p>
            <w:pPr>
              <w:spacing w:after="0"/>
              <w:rPr>
                <w:rFonts w:ascii="Arial" w:cs="Arial" w:eastAsia="Arial" w:hAnsi="Arial"/>
                <w:sz w:val="17"/>
                <w:szCs w:val="17"/>
                <w:color w:val="0000FF"/>
              </w:rPr>
            </w:pPr>
            <w:hyperlink w:anchor="page46">
              <w:r>
                <w:rPr>
                  <w:rFonts w:ascii="Arial" w:cs="Arial" w:eastAsia="Arial" w:hAnsi="Arial"/>
                  <w:sz w:val="17"/>
                  <w:szCs w:val="17"/>
                  <w:color w:val="0000FF"/>
                </w:rPr>
                <w:t>Signature</w:t>
              </w:r>
            </w:hyperlink>
          </w:p>
        </w:tc>
        <w:tc>
          <w:tcPr>
            <w:tcW w:w="1400" w:type="dxa"/>
            <w:vAlign w:val="bottom"/>
          </w:tcPr>
          <w:p>
            <w:pPr>
              <w:jc w:val="right"/>
              <w:spacing w:after="0"/>
              <w:rPr>
                <w:rFonts w:ascii="Arial" w:cs="Arial" w:eastAsia="Arial" w:hAnsi="Arial"/>
                <w:sz w:val="17"/>
                <w:szCs w:val="17"/>
                <w:color w:val="0000FF"/>
              </w:rPr>
            </w:pPr>
            <w:hyperlink w:anchor="page46">
              <w:r>
                <w:rPr>
                  <w:rFonts w:ascii="Arial" w:cs="Arial" w:eastAsia="Arial" w:hAnsi="Arial"/>
                  <w:sz w:val="17"/>
                  <w:szCs w:val="17"/>
                  <w:color w:val="0000FF"/>
                </w:rPr>
                <w:t>47</w:t>
              </w:r>
            </w:hyperlink>
          </w:p>
        </w:tc>
        <w:tc>
          <w:tcPr>
            <w:tcW w:w="0" w:type="dxa"/>
            <w:vAlign w:val="bottom"/>
          </w:tcPr>
          <w:p>
            <w:pPr>
              <w:spacing w:after="0"/>
              <w:rPr>
                <w:sz w:val="1"/>
                <w:szCs w:val="1"/>
                <w:color w:val="auto"/>
              </w:rPr>
            </w:pPr>
          </w:p>
        </w:tc>
      </w:tr>
      <w:tr>
        <w:trPr>
          <w:trHeight w:val="814"/>
        </w:trPr>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980" w:type="dxa"/>
            <w:vAlign w:val="bottom"/>
            <w:gridSpan w:val="3"/>
          </w:tcPr>
          <w:p>
            <w:pPr>
              <w:ind w:left="3720"/>
              <w:spacing w:after="0"/>
              <w:rPr>
                <w:sz w:val="20"/>
                <w:szCs w:val="20"/>
                <w:color w:val="auto"/>
              </w:rPr>
            </w:pPr>
            <w:r>
              <w:rPr>
                <w:rFonts w:ascii="Arial" w:cs="Arial" w:eastAsia="Arial" w:hAnsi="Arial"/>
                <w:sz w:val="17"/>
                <w:szCs w:val="17"/>
                <w:color w:val="auto"/>
              </w:rPr>
              <w:t>2</w:t>
            </w: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4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636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90" w:right="339" w:bottom="1440" w:gutter="0" w:footer="0" w:header="0"/>
        </w:sectPr>
      </w:pPr>
    </w:p>
    <w:bookmarkStart w:id="2" w:name="page3"/>
    <w:bookmarkEnd w:id="2"/>
    <w:p>
      <w:pPr>
        <w:spacing w:after="0"/>
        <w:rPr>
          <w:sz w:val="20"/>
          <w:szCs w:val="20"/>
          <w:color w:val="auto"/>
        </w:rPr>
      </w:pPr>
      <w:r>
        <w:rPr>
          <w:rFonts w:ascii="Arial" w:cs="Arial" w:eastAsia="Arial" w:hAnsi="Arial"/>
          <w:sz w:val="17"/>
          <w:szCs w:val="17"/>
          <w:b w:val="1"/>
          <w:bCs w:val="1"/>
          <w:color w:val="auto"/>
        </w:rPr>
        <w:t>PART I - FINANCIAL INFORMATION</w:t>
      </w:r>
    </w:p>
    <w:p>
      <w:pPr>
        <w:spacing w:after="0" w:line="30"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u w:val="single" w:color="auto"/>
          <w:color w:val="auto"/>
        </w:rPr>
        <w:t>Item1.</w:t>
      </w:r>
      <w:r>
        <w:rPr>
          <w:sz w:val="20"/>
          <w:szCs w:val="20"/>
          <w:color w:val="auto"/>
        </w:rPr>
        <w:tab/>
      </w:r>
      <w:r>
        <w:rPr>
          <w:rFonts w:ascii="Arial" w:cs="Arial" w:eastAsia="Arial" w:hAnsi="Arial"/>
          <w:sz w:val="15"/>
          <w:szCs w:val="15"/>
          <w:b w:val="1"/>
          <w:bCs w:val="1"/>
          <w:u w:val="single" w:color="auto"/>
          <w:color w:val="auto"/>
        </w:rPr>
        <w:t>Financial Statements (Unaudited)</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ICU MEDICAL, INC. AND SUBSIDIARIES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BALANCE SHEETS</w:t>
      </w:r>
    </w:p>
    <w:p>
      <w:pPr>
        <w:jc w:val="center"/>
        <w:ind w:right="40"/>
        <w:spacing w:after="0"/>
        <w:rPr>
          <w:sz w:val="20"/>
          <w:szCs w:val="20"/>
          <w:color w:val="auto"/>
        </w:rPr>
      </w:pPr>
      <w:r>
        <w:rPr>
          <w:rFonts w:ascii="Arial" w:cs="Arial" w:eastAsia="Arial" w:hAnsi="Arial"/>
          <w:sz w:val="16"/>
          <w:szCs w:val="16"/>
          <w:color w:val="auto"/>
        </w:rPr>
        <w:t>(In thousands, except par value data)</w:t>
      </w:r>
    </w:p>
    <w:p>
      <w:pPr>
        <w:spacing w:after="0" w:line="7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September 30,</w:t>
            </w:r>
          </w:p>
        </w:tc>
        <w:tc>
          <w:tcPr>
            <w:tcW w:w="200" w:type="dxa"/>
            <w:vAlign w:val="bottom"/>
          </w:tcPr>
          <w:p>
            <w:pPr>
              <w:spacing w:after="0"/>
              <w:rPr>
                <w:sz w:val="14"/>
                <w:szCs w:val="14"/>
                <w:color w:val="auto"/>
              </w:rPr>
            </w:pPr>
          </w:p>
        </w:tc>
        <w:tc>
          <w:tcPr>
            <w:tcW w:w="1240" w:type="dxa"/>
            <w:vAlign w:val="bottom"/>
          </w:tcPr>
          <w:p>
            <w:pPr>
              <w:jc w:val="right"/>
              <w:ind w:right="251"/>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80"/>
        </w:trPr>
        <w:tc>
          <w:tcPr>
            <w:tcW w:w="8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131"/>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74"/>
        </w:trPr>
        <w:tc>
          <w:tcPr>
            <w:tcW w:w="8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center"/>
              <w:ind w:right="131"/>
              <w:spacing w:after="0"/>
              <w:rPr>
                <w:sz w:val="20"/>
                <w:szCs w:val="20"/>
                <w:color w:val="auto"/>
              </w:rPr>
            </w:pPr>
            <w:r>
              <w:rPr>
                <w:rFonts w:ascii="Arial" w:cs="Arial" w:eastAsia="Arial" w:hAnsi="Arial"/>
                <w:sz w:val="14"/>
                <w:szCs w:val="14"/>
                <w:b w:val="1"/>
                <w:bCs w:val="1"/>
                <w:color w:val="auto"/>
                <w:w w:val="92"/>
              </w:rPr>
              <w:t>(Unaudited)</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ind w:right="571"/>
              <w:spacing w:after="0"/>
              <w:rPr>
                <w:sz w:val="20"/>
                <w:szCs w:val="20"/>
                <w:color w:val="auto"/>
              </w:rPr>
            </w:pP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182"/>
        </w:trPr>
        <w:tc>
          <w:tcPr>
            <w:tcW w:w="8240" w:type="dxa"/>
            <w:vAlign w:val="bottom"/>
            <w:shd w:val="clear" w:color="auto" w:fill="CCEEFF"/>
          </w:tcPr>
          <w:p>
            <w:pPr>
              <w:ind w:left="3860"/>
              <w:spacing w:after="0"/>
              <w:rPr>
                <w:sz w:val="20"/>
                <w:szCs w:val="20"/>
                <w:color w:val="auto"/>
              </w:rPr>
            </w:pPr>
            <w:r>
              <w:rPr>
                <w:rFonts w:ascii="Arial" w:cs="Arial" w:eastAsia="Arial" w:hAnsi="Arial"/>
                <w:sz w:val="14"/>
                <w:szCs w:val="14"/>
                <w:color w:val="auto"/>
              </w:rPr>
              <w:t>ASSETS</w:t>
            </w: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824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Cash and cash equivalents</w:t>
            </w:r>
          </w:p>
        </w:tc>
        <w:tc>
          <w:tcPr>
            <w:tcW w:w="2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519,485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396,097</w:t>
            </w:r>
          </w:p>
        </w:tc>
        <w:tc>
          <w:tcPr>
            <w:tcW w:w="0" w:type="dxa"/>
            <w:vAlign w:val="bottom"/>
          </w:tcPr>
          <w:p>
            <w:pPr>
              <w:spacing w:after="0"/>
              <w:rPr>
                <w:sz w:val="1"/>
                <w:szCs w:val="1"/>
                <w:color w:val="auto"/>
              </w:rPr>
            </w:pPr>
          </w:p>
        </w:tc>
      </w:tr>
      <w:tr>
        <w:trPr>
          <w:trHeight w:val="178"/>
        </w:trPr>
        <w:tc>
          <w:tcPr>
            <w:tcW w:w="824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Short-term investment securities</w:t>
            </w: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18,009</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14,687</w:t>
            </w:r>
          </w:p>
        </w:tc>
        <w:tc>
          <w:tcPr>
            <w:tcW w:w="0" w:type="dxa"/>
            <w:vAlign w:val="bottom"/>
          </w:tcPr>
          <w:p>
            <w:pPr>
              <w:spacing w:after="0"/>
              <w:rPr>
                <w:sz w:val="1"/>
                <w:szCs w:val="1"/>
                <w:color w:val="auto"/>
              </w:rPr>
            </w:pPr>
          </w:p>
        </w:tc>
      </w:tr>
      <w:tr>
        <w:trPr>
          <w:trHeight w:val="177"/>
        </w:trPr>
        <w:tc>
          <w:tcPr>
            <w:tcW w:w="82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TOTAL CASH, CASH EQUIVALENTS AND INVESTMENT SECURITIES</w:t>
            </w: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537,494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410,784</w:t>
            </w:r>
          </w:p>
        </w:tc>
        <w:tc>
          <w:tcPr>
            <w:tcW w:w="0" w:type="dxa"/>
            <w:vAlign w:val="bottom"/>
          </w:tcPr>
          <w:p>
            <w:pPr>
              <w:spacing w:after="0"/>
              <w:rPr>
                <w:sz w:val="1"/>
                <w:szCs w:val="1"/>
                <w:color w:val="auto"/>
              </w:rPr>
            </w:pPr>
          </w:p>
        </w:tc>
      </w:tr>
      <w:tr>
        <w:trPr>
          <w:trHeight w:val="178"/>
        </w:trPr>
        <w:tc>
          <w:tcPr>
            <w:tcW w:w="8240" w:type="dxa"/>
            <w:vAlign w:val="bottom"/>
          </w:tcPr>
          <w:p>
            <w:pPr>
              <w:ind w:left="120"/>
              <w:spacing w:after="0"/>
              <w:rPr>
                <w:sz w:val="20"/>
                <w:szCs w:val="20"/>
                <w:color w:val="auto"/>
              </w:rPr>
            </w:pPr>
            <w:r>
              <w:rPr>
                <w:rFonts w:ascii="Arial" w:cs="Arial" w:eastAsia="Arial" w:hAnsi="Arial"/>
                <w:sz w:val="14"/>
                <w:szCs w:val="14"/>
                <w:color w:val="auto"/>
              </w:rPr>
              <w:t>Accounts receivable, net of allowance for doubtful accounts of $7,126 at September 30, 2021 and $21,490 at December 31, 2020</w:t>
            </w: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116,043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124,093</w:t>
            </w:r>
          </w:p>
        </w:tc>
        <w:tc>
          <w:tcPr>
            <w:tcW w:w="0" w:type="dxa"/>
            <w:vAlign w:val="bottom"/>
          </w:tcPr>
          <w:p>
            <w:pPr>
              <w:spacing w:after="0"/>
              <w:rPr>
                <w:sz w:val="1"/>
                <w:szCs w:val="1"/>
                <w:color w:val="auto"/>
              </w:rPr>
            </w:pPr>
          </w:p>
        </w:tc>
      </w:tr>
      <w:tr>
        <w:trPr>
          <w:trHeight w:val="184"/>
        </w:trPr>
        <w:tc>
          <w:tcPr>
            <w:tcW w:w="8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Inventories</w:t>
            </w: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291,601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314,928</w:t>
            </w:r>
          </w:p>
        </w:tc>
        <w:tc>
          <w:tcPr>
            <w:tcW w:w="0" w:type="dxa"/>
            <w:vAlign w:val="bottom"/>
          </w:tcPr>
          <w:p>
            <w:pPr>
              <w:spacing w:after="0"/>
              <w:rPr>
                <w:sz w:val="1"/>
                <w:szCs w:val="1"/>
                <w:color w:val="auto"/>
              </w:rPr>
            </w:pPr>
          </w:p>
        </w:tc>
      </w:tr>
      <w:tr>
        <w:trPr>
          <w:trHeight w:val="178"/>
        </w:trPr>
        <w:tc>
          <w:tcPr>
            <w:tcW w:w="8240" w:type="dxa"/>
            <w:vAlign w:val="bottom"/>
          </w:tcPr>
          <w:p>
            <w:pPr>
              <w:ind w:left="120"/>
              <w:spacing w:after="0"/>
              <w:rPr>
                <w:sz w:val="20"/>
                <w:szCs w:val="20"/>
                <w:color w:val="auto"/>
              </w:rPr>
            </w:pPr>
            <w:r>
              <w:rPr>
                <w:rFonts w:ascii="Arial" w:cs="Arial" w:eastAsia="Arial" w:hAnsi="Arial"/>
                <w:sz w:val="14"/>
                <w:szCs w:val="14"/>
                <w:color w:val="auto"/>
              </w:rPr>
              <w:t>Prepaid income tax</w:t>
            </w: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31,381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29,480</w:t>
            </w:r>
          </w:p>
        </w:tc>
        <w:tc>
          <w:tcPr>
            <w:tcW w:w="0" w:type="dxa"/>
            <w:vAlign w:val="bottom"/>
          </w:tcPr>
          <w:p>
            <w:pPr>
              <w:spacing w:after="0"/>
              <w:rPr>
                <w:sz w:val="1"/>
                <w:szCs w:val="1"/>
                <w:color w:val="auto"/>
              </w:rPr>
            </w:pPr>
          </w:p>
        </w:tc>
      </w:tr>
      <w:tr>
        <w:trPr>
          <w:trHeight w:val="184"/>
        </w:trPr>
        <w:tc>
          <w:tcPr>
            <w:tcW w:w="8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Prepaid expenses and other current assets</w:t>
            </w:r>
          </w:p>
        </w:tc>
        <w:tc>
          <w:tcPr>
            <w:tcW w:w="20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34,718</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41,492</w:t>
            </w:r>
          </w:p>
        </w:tc>
        <w:tc>
          <w:tcPr>
            <w:tcW w:w="0" w:type="dxa"/>
            <w:vAlign w:val="bottom"/>
          </w:tcPr>
          <w:p>
            <w:pPr>
              <w:spacing w:after="0"/>
              <w:rPr>
                <w:sz w:val="1"/>
                <w:szCs w:val="1"/>
                <w:color w:val="auto"/>
              </w:rPr>
            </w:pPr>
          </w:p>
        </w:tc>
      </w:tr>
      <w:tr>
        <w:trPr>
          <w:trHeight w:val="171"/>
        </w:trPr>
        <w:tc>
          <w:tcPr>
            <w:tcW w:w="824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TOTAL CURRENT ASSETS</w:t>
            </w: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1,011,237</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920,777</w:t>
            </w:r>
          </w:p>
        </w:tc>
        <w:tc>
          <w:tcPr>
            <w:tcW w:w="0" w:type="dxa"/>
            <w:vAlign w:val="bottom"/>
          </w:tcPr>
          <w:p>
            <w:pPr>
              <w:spacing w:after="0"/>
              <w:rPr>
                <w:sz w:val="1"/>
                <w:szCs w:val="1"/>
                <w:color w:val="auto"/>
              </w:rPr>
            </w:pPr>
          </w:p>
        </w:tc>
      </w:tr>
      <w:tr>
        <w:trPr>
          <w:trHeight w:val="138"/>
        </w:trPr>
        <w:tc>
          <w:tcPr>
            <w:tcW w:w="8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8240" w:type="dxa"/>
            <w:vAlign w:val="bottom"/>
          </w:tcPr>
          <w:p>
            <w:pPr>
              <w:ind w:left="20"/>
              <w:spacing w:after="0"/>
              <w:rPr>
                <w:sz w:val="20"/>
                <w:szCs w:val="20"/>
                <w:color w:val="auto"/>
              </w:rPr>
            </w:pPr>
            <w:r>
              <w:rPr>
                <w:rFonts w:ascii="Arial" w:cs="Arial" w:eastAsia="Arial" w:hAnsi="Arial"/>
                <w:sz w:val="14"/>
                <w:szCs w:val="14"/>
                <w:color w:val="auto"/>
              </w:rPr>
              <w:t>PROPERTY AND EQUIPMENT, net</w:t>
            </w: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458,041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466,628</w:t>
            </w:r>
          </w:p>
        </w:tc>
        <w:tc>
          <w:tcPr>
            <w:tcW w:w="0" w:type="dxa"/>
            <w:vAlign w:val="bottom"/>
          </w:tcPr>
          <w:p>
            <w:pPr>
              <w:spacing w:after="0"/>
              <w:rPr>
                <w:sz w:val="1"/>
                <w:szCs w:val="1"/>
                <w:color w:val="auto"/>
              </w:rPr>
            </w:pPr>
          </w:p>
        </w:tc>
      </w:tr>
      <w:tr>
        <w:trPr>
          <w:trHeight w:val="184"/>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RIGHT-OF-USE ASSETS</w:t>
            </w: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40,979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46,571</w:t>
            </w:r>
          </w:p>
        </w:tc>
        <w:tc>
          <w:tcPr>
            <w:tcW w:w="0" w:type="dxa"/>
            <w:vAlign w:val="bottom"/>
          </w:tcPr>
          <w:p>
            <w:pPr>
              <w:spacing w:after="0"/>
              <w:rPr>
                <w:sz w:val="1"/>
                <w:szCs w:val="1"/>
                <w:color w:val="auto"/>
              </w:rPr>
            </w:pPr>
          </w:p>
        </w:tc>
      </w:tr>
      <w:tr>
        <w:trPr>
          <w:trHeight w:val="178"/>
        </w:trPr>
        <w:tc>
          <w:tcPr>
            <w:tcW w:w="8240" w:type="dxa"/>
            <w:vAlign w:val="bottom"/>
          </w:tcPr>
          <w:p>
            <w:pPr>
              <w:ind w:left="20"/>
              <w:spacing w:after="0"/>
              <w:rPr>
                <w:sz w:val="20"/>
                <w:szCs w:val="20"/>
                <w:color w:val="auto"/>
              </w:rPr>
            </w:pPr>
            <w:r>
              <w:rPr>
                <w:rFonts w:ascii="Arial" w:cs="Arial" w:eastAsia="Arial" w:hAnsi="Arial"/>
                <w:sz w:val="14"/>
                <w:szCs w:val="14"/>
                <w:color w:val="auto"/>
              </w:rPr>
              <w:t>LONG-TERM INVESTMENT SECURITIES</w:t>
            </w: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7,172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12,974</w:t>
            </w:r>
          </w:p>
        </w:tc>
        <w:tc>
          <w:tcPr>
            <w:tcW w:w="0" w:type="dxa"/>
            <w:vAlign w:val="bottom"/>
          </w:tcPr>
          <w:p>
            <w:pPr>
              <w:spacing w:after="0"/>
              <w:rPr>
                <w:sz w:val="1"/>
                <w:szCs w:val="1"/>
                <w:color w:val="auto"/>
              </w:rPr>
            </w:pPr>
          </w:p>
        </w:tc>
      </w:tr>
      <w:tr>
        <w:trPr>
          <w:trHeight w:val="184"/>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GOODWILL</w:t>
            </w: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32,760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33,001</w:t>
            </w:r>
          </w:p>
        </w:tc>
        <w:tc>
          <w:tcPr>
            <w:tcW w:w="0" w:type="dxa"/>
            <w:vAlign w:val="bottom"/>
          </w:tcPr>
          <w:p>
            <w:pPr>
              <w:spacing w:after="0"/>
              <w:rPr>
                <w:sz w:val="1"/>
                <w:szCs w:val="1"/>
                <w:color w:val="auto"/>
              </w:rPr>
            </w:pPr>
          </w:p>
        </w:tc>
      </w:tr>
      <w:tr>
        <w:trPr>
          <w:trHeight w:val="178"/>
        </w:trPr>
        <w:tc>
          <w:tcPr>
            <w:tcW w:w="8240" w:type="dxa"/>
            <w:vAlign w:val="bottom"/>
          </w:tcPr>
          <w:p>
            <w:pPr>
              <w:ind w:left="20"/>
              <w:spacing w:after="0"/>
              <w:rPr>
                <w:sz w:val="20"/>
                <w:szCs w:val="20"/>
                <w:color w:val="auto"/>
              </w:rPr>
            </w:pPr>
            <w:r>
              <w:rPr>
                <w:rFonts w:ascii="Arial" w:cs="Arial" w:eastAsia="Arial" w:hAnsi="Arial"/>
                <w:sz w:val="14"/>
                <w:szCs w:val="14"/>
                <w:color w:val="auto"/>
              </w:rPr>
              <w:t>INTANGIBLE ASSETS, net</w:t>
            </w: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192,778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197,231</w:t>
            </w:r>
          </w:p>
        </w:tc>
        <w:tc>
          <w:tcPr>
            <w:tcW w:w="0" w:type="dxa"/>
            <w:vAlign w:val="bottom"/>
          </w:tcPr>
          <w:p>
            <w:pPr>
              <w:spacing w:after="0"/>
              <w:rPr>
                <w:sz w:val="1"/>
                <w:szCs w:val="1"/>
                <w:color w:val="auto"/>
              </w:rPr>
            </w:pPr>
          </w:p>
        </w:tc>
      </w:tr>
      <w:tr>
        <w:trPr>
          <w:trHeight w:val="184"/>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INCOME TAXES</w:t>
            </w: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35,585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31,034</w:t>
            </w:r>
          </w:p>
        </w:tc>
        <w:tc>
          <w:tcPr>
            <w:tcW w:w="0" w:type="dxa"/>
            <w:vAlign w:val="bottom"/>
          </w:tcPr>
          <w:p>
            <w:pPr>
              <w:spacing w:after="0"/>
              <w:rPr>
                <w:sz w:val="1"/>
                <w:szCs w:val="1"/>
                <w:color w:val="auto"/>
              </w:rPr>
            </w:pPr>
          </w:p>
        </w:tc>
      </w:tr>
      <w:tr>
        <w:trPr>
          <w:trHeight w:val="178"/>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ASSETS</w:t>
            </w: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60,799</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55,475</w:t>
            </w:r>
          </w:p>
        </w:tc>
        <w:tc>
          <w:tcPr>
            <w:tcW w:w="0" w:type="dxa"/>
            <w:vAlign w:val="bottom"/>
          </w:tcPr>
          <w:p>
            <w:pPr>
              <w:spacing w:after="0"/>
              <w:rPr>
                <w:sz w:val="1"/>
                <w:szCs w:val="1"/>
                <w:color w:val="auto"/>
              </w:rPr>
            </w:pPr>
          </w:p>
        </w:tc>
      </w:tr>
      <w:tr>
        <w:trPr>
          <w:trHeight w:val="202"/>
        </w:trPr>
        <w:tc>
          <w:tcPr>
            <w:tcW w:w="8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TOTAL ASSETS</w:t>
            </w: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1,839,351</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1,763,691</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8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8240" w:type="dxa"/>
            <w:vAlign w:val="bottom"/>
            <w:shd w:val="clear" w:color="auto" w:fill="CCEEFF"/>
          </w:tcPr>
          <w:p>
            <w:pPr>
              <w:ind w:left="2700"/>
              <w:spacing w:after="0"/>
              <w:rPr>
                <w:sz w:val="20"/>
                <w:szCs w:val="20"/>
                <w:color w:val="auto"/>
              </w:rPr>
            </w:pPr>
            <w:r>
              <w:rPr>
                <w:rFonts w:ascii="Arial" w:cs="Arial" w:eastAsia="Arial" w:hAnsi="Arial"/>
                <w:sz w:val="14"/>
                <w:szCs w:val="14"/>
                <w:color w:val="auto"/>
              </w:rPr>
              <w:t>LIABILITIES AND STOCKHOLDERS’ EQUITY</w:t>
            </w: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824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Accounts payable</w:t>
            </w:r>
          </w:p>
        </w:tc>
        <w:tc>
          <w:tcPr>
            <w:tcW w:w="2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62,008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71,864</w:t>
            </w:r>
          </w:p>
        </w:tc>
        <w:tc>
          <w:tcPr>
            <w:tcW w:w="0" w:type="dxa"/>
            <w:vAlign w:val="bottom"/>
          </w:tcPr>
          <w:p>
            <w:pPr>
              <w:spacing w:after="0"/>
              <w:rPr>
                <w:sz w:val="1"/>
                <w:szCs w:val="1"/>
                <w:color w:val="auto"/>
              </w:rPr>
            </w:pPr>
          </w:p>
        </w:tc>
      </w:tr>
      <w:tr>
        <w:trPr>
          <w:trHeight w:val="178"/>
        </w:trPr>
        <w:tc>
          <w:tcPr>
            <w:tcW w:w="8240" w:type="dxa"/>
            <w:vAlign w:val="bottom"/>
          </w:tcPr>
          <w:p>
            <w:pPr>
              <w:ind w:left="120"/>
              <w:spacing w:after="0"/>
              <w:rPr>
                <w:sz w:val="20"/>
                <w:szCs w:val="20"/>
                <w:color w:val="auto"/>
              </w:rPr>
            </w:pPr>
            <w:r>
              <w:rPr>
                <w:rFonts w:ascii="Arial" w:cs="Arial" w:eastAsia="Arial" w:hAnsi="Arial"/>
                <w:sz w:val="14"/>
                <w:szCs w:val="14"/>
                <w:color w:val="auto"/>
              </w:rPr>
              <w:t>Accrued liabilities</w:t>
            </w: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94,133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97,021</w:t>
            </w:r>
          </w:p>
        </w:tc>
        <w:tc>
          <w:tcPr>
            <w:tcW w:w="0" w:type="dxa"/>
            <w:vAlign w:val="bottom"/>
          </w:tcPr>
          <w:p>
            <w:pPr>
              <w:spacing w:after="0"/>
              <w:rPr>
                <w:sz w:val="1"/>
                <w:szCs w:val="1"/>
                <w:color w:val="auto"/>
              </w:rPr>
            </w:pPr>
          </w:p>
        </w:tc>
      </w:tr>
      <w:tr>
        <w:trPr>
          <w:trHeight w:val="184"/>
        </w:trPr>
        <w:tc>
          <w:tcPr>
            <w:tcW w:w="8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Income tax liability</w:t>
            </w: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2,636</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w:t>
            </w:r>
          </w:p>
        </w:tc>
        <w:tc>
          <w:tcPr>
            <w:tcW w:w="0" w:type="dxa"/>
            <w:vAlign w:val="bottom"/>
          </w:tcPr>
          <w:p>
            <w:pPr>
              <w:spacing w:after="0"/>
              <w:rPr>
                <w:sz w:val="1"/>
                <w:szCs w:val="1"/>
                <w:color w:val="auto"/>
              </w:rPr>
            </w:pPr>
          </w:p>
        </w:tc>
      </w:tr>
      <w:tr>
        <w:trPr>
          <w:trHeight w:val="178"/>
        </w:trPr>
        <w:tc>
          <w:tcPr>
            <w:tcW w:w="824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Contingent earn-out liability</w:t>
            </w: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26,300</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26,300</w:t>
            </w:r>
          </w:p>
        </w:tc>
        <w:tc>
          <w:tcPr>
            <w:tcW w:w="0" w:type="dxa"/>
            <w:vAlign w:val="bottom"/>
          </w:tcPr>
          <w:p>
            <w:pPr>
              <w:spacing w:after="0"/>
              <w:rPr>
                <w:sz w:val="1"/>
                <w:szCs w:val="1"/>
                <w:color w:val="auto"/>
              </w:rPr>
            </w:pPr>
          </w:p>
        </w:tc>
      </w:tr>
      <w:tr>
        <w:trPr>
          <w:trHeight w:val="174"/>
        </w:trPr>
        <w:tc>
          <w:tcPr>
            <w:tcW w:w="82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TOTAL CURRENT LIABILITIES</w:t>
            </w:r>
          </w:p>
        </w:tc>
        <w:tc>
          <w:tcPr>
            <w:tcW w:w="20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185,077</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195,488</w:t>
            </w:r>
          </w:p>
        </w:tc>
        <w:tc>
          <w:tcPr>
            <w:tcW w:w="0" w:type="dxa"/>
            <w:vAlign w:val="bottom"/>
          </w:tcPr>
          <w:p>
            <w:pPr>
              <w:spacing w:after="0"/>
              <w:rPr>
                <w:sz w:val="1"/>
                <w:szCs w:val="1"/>
                <w:color w:val="auto"/>
              </w:rPr>
            </w:pPr>
          </w:p>
        </w:tc>
      </w:tr>
      <w:tr>
        <w:trPr>
          <w:trHeight w:val="138"/>
        </w:trPr>
        <w:tc>
          <w:tcPr>
            <w:tcW w:w="8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CONTINGENT EARN-OUT LIABILITY</w:t>
            </w: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8"/>
        </w:trPr>
        <w:tc>
          <w:tcPr>
            <w:tcW w:w="8240" w:type="dxa"/>
            <w:vAlign w:val="bottom"/>
          </w:tcPr>
          <w:p>
            <w:pPr>
              <w:ind w:left="20"/>
              <w:spacing w:after="0"/>
              <w:rPr>
                <w:sz w:val="20"/>
                <w:szCs w:val="20"/>
                <w:color w:val="auto"/>
              </w:rPr>
            </w:pPr>
            <w:r>
              <w:rPr>
                <w:rFonts w:ascii="Arial" w:cs="Arial" w:eastAsia="Arial" w:hAnsi="Arial"/>
                <w:sz w:val="14"/>
                <w:szCs w:val="14"/>
                <w:color w:val="auto"/>
              </w:rPr>
              <w:t>OTHER LONG-TERM LIABILITIES</w:t>
            </w: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40,853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47,835</w:t>
            </w:r>
          </w:p>
        </w:tc>
        <w:tc>
          <w:tcPr>
            <w:tcW w:w="0" w:type="dxa"/>
            <w:vAlign w:val="bottom"/>
          </w:tcPr>
          <w:p>
            <w:pPr>
              <w:spacing w:after="0"/>
              <w:rPr>
                <w:sz w:val="1"/>
                <w:szCs w:val="1"/>
                <w:color w:val="auto"/>
              </w:rPr>
            </w:pPr>
          </w:p>
        </w:tc>
      </w:tr>
      <w:tr>
        <w:trPr>
          <w:trHeight w:val="184"/>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INCOME TAXES</w:t>
            </w: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1,663</w:t>
            </w:r>
          </w:p>
        </w:tc>
        <w:tc>
          <w:tcPr>
            <w:tcW w:w="0" w:type="dxa"/>
            <w:vAlign w:val="bottom"/>
          </w:tcPr>
          <w:p>
            <w:pPr>
              <w:spacing w:after="0"/>
              <w:rPr>
                <w:sz w:val="1"/>
                <w:szCs w:val="1"/>
                <w:color w:val="auto"/>
              </w:rPr>
            </w:pPr>
          </w:p>
        </w:tc>
      </w:tr>
      <w:tr>
        <w:trPr>
          <w:trHeight w:val="178"/>
        </w:trPr>
        <w:tc>
          <w:tcPr>
            <w:tcW w:w="8240" w:type="dxa"/>
            <w:vAlign w:val="bottom"/>
          </w:tcPr>
          <w:p>
            <w:pPr>
              <w:ind w:left="20"/>
              <w:spacing w:after="0"/>
              <w:rPr>
                <w:sz w:val="20"/>
                <w:szCs w:val="20"/>
                <w:color w:val="auto"/>
              </w:rPr>
            </w:pPr>
            <w:r>
              <w:rPr>
                <w:rFonts w:ascii="Arial" w:cs="Arial" w:eastAsia="Arial" w:hAnsi="Arial"/>
                <w:sz w:val="14"/>
                <w:szCs w:val="14"/>
                <w:color w:val="auto"/>
              </w:rPr>
              <w:t>INCOME TAX LIABILITY</w:t>
            </w: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18,686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16,440</w:t>
            </w:r>
          </w:p>
        </w:tc>
        <w:tc>
          <w:tcPr>
            <w:tcW w:w="0" w:type="dxa"/>
            <w:vAlign w:val="bottom"/>
          </w:tcPr>
          <w:p>
            <w:pPr>
              <w:spacing w:after="0"/>
              <w:rPr>
                <w:sz w:val="1"/>
                <w:szCs w:val="1"/>
                <w:color w:val="auto"/>
              </w:rPr>
            </w:pPr>
          </w:p>
        </w:tc>
      </w:tr>
      <w:tr>
        <w:trPr>
          <w:trHeight w:val="184"/>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COMMITMENTS AND CONTINGENCIES (Note 18)</w:t>
            </w:r>
          </w:p>
        </w:tc>
        <w:tc>
          <w:tcPr>
            <w:tcW w:w="20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8"/>
        </w:trPr>
        <w:tc>
          <w:tcPr>
            <w:tcW w:w="8240" w:type="dxa"/>
            <w:vAlign w:val="bottom"/>
          </w:tcPr>
          <w:p>
            <w:pPr>
              <w:ind w:left="20"/>
              <w:spacing w:after="0"/>
              <w:rPr>
                <w:sz w:val="20"/>
                <w:szCs w:val="20"/>
                <w:color w:val="auto"/>
              </w:rPr>
            </w:pPr>
            <w:r>
              <w:rPr>
                <w:rFonts w:ascii="Arial" w:cs="Arial" w:eastAsia="Arial" w:hAnsi="Arial"/>
                <w:sz w:val="14"/>
                <w:szCs w:val="14"/>
                <w:color w:val="auto"/>
              </w:rPr>
              <w:t>STOCKHOLDERS’ EQUITY:</w:t>
            </w: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Convertible preferred stock, $1.00 par value Authorized—500 shares; Issued and outstanding — none</w:t>
            </w:r>
          </w:p>
        </w:tc>
        <w:tc>
          <w:tcPr>
            <w:tcW w:w="20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9"/>
        </w:trPr>
        <w:tc>
          <w:tcPr>
            <w:tcW w:w="8240" w:type="dxa"/>
            <w:vAlign w:val="bottom"/>
          </w:tcPr>
          <w:p>
            <w:pPr>
              <w:ind w:left="120"/>
              <w:spacing w:after="0" w:line="129" w:lineRule="exact"/>
              <w:rPr>
                <w:sz w:val="20"/>
                <w:szCs w:val="20"/>
                <w:color w:val="auto"/>
              </w:rPr>
            </w:pPr>
            <w:r>
              <w:rPr>
                <w:rFonts w:ascii="Arial" w:cs="Arial" w:eastAsia="Arial" w:hAnsi="Arial"/>
                <w:sz w:val="14"/>
                <w:szCs w:val="14"/>
                <w:color w:val="auto"/>
                <w:w w:val="88"/>
              </w:rPr>
              <w:t>Common stock, $0.10 par value — Authorized, 80,000 shares; Issued — 21,238 shares at September 30, 2021 and 21,058 shares at December 31,</w:t>
            </w:r>
          </w:p>
        </w:tc>
        <w:tc>
          <w:tcPr>
            <w:tcW w:w="200" w:type="dxa"/>
            <w:vAlign w:val="bottom"/>
          </w:tcPr>
          <w:p>
            <w:pPr>
              <w:spacing w:after="0"/>
              <w:rPr>
                <w:sz w:val="11"/>
                <w:szCs w:val="11"/>
                <w:color w:val="auto"/>
              </w:rPr>
            </w:pPr>
          </w:p>
        </w:tc>
        <w:tc>
          <w:tcPr>
            <w:tcW w:w="1240" w:type="dxa"/>
            <w:vAlign w:val="bottom"/>
            <w:vMerge w:val="restart"/>
          </w:tcPr>
          <w:p>
            <w:pPr>
              <w:jc w:val="right"/>
              <w:spacing w:after="0"/>
              <w:rPr>
                <w:sz w:val="20"/>
                <w:szCs w:val="20"/>
                <w:color w:val="auto"/>
              </w:rPr>
            </w:pPr>
            <w:r>
              <w:rPr>
                <w:rFonts w:ascii="Arial" w:cs="Arial" w:eastAsia="Arial" w:hAnsi="Arial"/>
                <w:sz w:val="14"/>
                <w:szCs w:val="14"/>
                <w:color w:val="auto"/>
              </w:rPr>
              <w:t>2,124</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vMerge w:val="restart"/>
          </w:tcPr>
          <w:p>
            <w:pPr>
              <w:jc w:val="right"/>
              <w:spacing w:after="0"/>
              <w:rPr>
                <w:sz w:val="20"/>
                <w:szCs w:val="20"/>
                <w:color w:val="auto"/>
              </w:rPr>
            </w:pPr>
            <w:r>
              <w:rPr>
                <w:rFonts w:ascii="Arial" w:cs="Arial" w:eastAsia="Arial" w:hAnsi="Arial"/>
                <w:sz w:val="14"/>
                <w:szCs w:val="14"/>
                <w:color w:val="auto"/>
              </w:rPr>
              <w:t>2,106</w:t>
            </w:r>
          </w:p>
        </w:tc>
        <w:tc>
          <w:tcPr>
            <w:tcW w:w="0" w:type="dxa"/>
            <w:vAlign w:val="bottom"/>
          </w:tcPr>
          <w:p>
            <w:pPr>
              <w:spacing w:after="0"/>
              <w:rPr>
                <w:sz w:val="1"/>
                <w:szCs w:val="1"/>
                <w:color w:val="auto"/>
              </w:rPr>
            </w:pPr>
          </w:p>
        </w:tc>
      </w:tr>
      <w:tr>
        <w:trPr>
          <w:trHeight w:val="178"/>
        </w:trPr>
        <w:tc>
          <w:tcPr>
            <w:tcW w:w="8240" w:type="dxa"/>
            <w:vAlign w:val="bottom"/>
          </w:tcPr>
          <w:p>
            <w:pPr>
              <w:ind w:left="120"/>
              <w:spacing w:after="0"/>
              <w:rPr>
                <w:sz w:val="20"/>
                <w:szCs w:val="20"/>
                <w:color w:val="auto"/>
              </w:rPr>
            </w:pPr>
            <w:r>
              <w:rPr>
                <w:rFonts w:ascii="Arial" w:cs="Arial" w:eastAsia="Arial" w:hAnsi="Arial"/>
                <w:sz w:val="14"/>
                <w:szCs w:val="14"/>
                <w:color w:val="auto"/>
              </w:rPr>
              <w:t>2020 and outstanding — 21,238 shares at September 30, 2021 and 21,058 shares at December 31, 2020</w:t>
            </w:r>
          </w:p>
        </w:tc>
        <w:tc>
          <w:tcPr>
            <w:tcW w:w="20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Additional paid-in capital</w:t>
            </w: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711,152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693,068</w:t>
            </w:r>
          </w:p>
        </w:tc>
        <w:tc>
          <w:tcPr>
            <w:tcW w:w="0" w:type="dxa"/>
            <w:vAlign w:val="bottom"/>
          </w:tcPr>
          <w:p>
            <w:pPr>
              <w:spacing w:after="0"/>
              <w:rPr>
                <w:sz w:val="1"/>
                <w:szCs w:val="1"/>
                <w:color w:val="auto"/>
              </w:rPr>
            </w:pPr>
          </w:p>
        </w:tc>
      </w:tr>
      <w:tr>
        <w:trPr>
          <w:trHeight w:val="178"/>
        </w:trPr>
        <w:tc>
          <w:tcPr>
            <w:tcW w:w="8240" w:type="dxa"/>
            <w:vAlign w:val="bottom"/>
          </w:tcPr>
          <w:p>
            <w:pPr>
              <w:ind w:left="120"/>
              <w:spacing w:after="0"/>
              <w:rPr>
                <w:sz w:val="20"/>
                <w:szCs w:val="20"/>
                <w:color w:val="auto"/>
              </w:rPr>
            </w:pPr>
            <w:r>
              <w:rPr>
                <w:rFonts w:ascii="Arial" w:cs="Arial" w:eastAsia="Arial" w:hAnsi="Arial"/>
                <w:sz w:val="14"/>
                <w:szCs w:val="14"/>
                <w:color w:val="auto"/>
              </w:rPr>
              <w:t>Treasury stock, at cost (237 and 209 shares, respectively)</w:t>
            </w: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84"/>
        </w:trPr>
        <w:tc>
          <w:tcPr>
            <w:tcW w:w="8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Retained earnings</w:t>
            </w: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891,862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808,652</w:t>
            </w:r>
          </w:p>
        </w:tc>
        <w:tc>
          <w:tcPr>
            <w:tcW w:w="0" w:type="dxa"/>
            <w:vAlign w:val="bottom"/>
          </w:tcPr>
          <w:p>
            <w:pPr>
              <w:spacing w:after="0"/>
              <w:rPr>
                <w:sz w:val="1"/>
                <w:szCs w:val="1"/>
                <w:color w:val="auto"/>
              </w:rPr>
            </w:pPr>
          </w:p>
        </w:tc>
      </w:tr>
      <w:tr>
        <w:trPr>
          <w:trHeight w:val="178"/>
        </w:trPr>
        <w:tc>
          <w:tcPr>
            <w:tcW w:w="824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Accumulated other comprehensive loss</w:t>
            </w: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(15,118)</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(1,522)</w:t>
            </w:r>
          </w:p>
        </w:tc>
        <w:tc>
          <w:tcPr>
            <w:tcW w:w="0" w:type="dxa"/>
            <w:vAlign w:val="bottom"/>
          </w:tcPr>
          <w:p>
            <w:pPr>
              <w:spacing w:after="0"/>
              <w:rPr>
                <w:sz w:val="1"/>
                <w:szCs w:val="1"/>
                <w:color w:val="auto"/>
              </w:rPr>
            </w:pPr>
          </w:p>
        </w:tc>
      </w:tr>
      <w:tr>
        <w:trPr>
          <w:trHeight w:val="174"/>
        </w:trPr>
        <w:tc>
          <w:tcPr>
            <w:tcW w:w="82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TOTAL STOCKHOLDERS' EQUITY</w:t>
            </w:r>
          </w:p>
        </w:tc>
        <w:tc>
          <w:tcPr>
            <w:tcW w:w="20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1,589,972</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1,502,265</w:t>
            </w:r>
          </w:p>
        </w:tc>
        <w:tc>
          <w:tcPr>
            <w:tcW w:w="0" w:type="dxa"/>
            <w:vAlign w:val="bottom"/>
          </w:tcPr>
          <w:p>
            <w:pPr>
              <w:spacing w:after="0"/>
              <w:rPr>
                <w:sz w:val="1"/>
                <w:szCs w:val="1"/>
                <w:color w:val="auto"/>
              </w:rPr>
            </w:pPr>
          </w:p>
        </w:tc>
      </w:tr>
      <w:tr>
        <w:trPr>
          <w:trHeight w:val="177"/>
        </w:trPr>
        <w:tc>
          <w:tcPr>
            <w:tcW w:w="8240" w:type="dxa"/>
            <w:vAlign w:val="bottom"/>
          </w:tcPr>
          <w:p>
            <w:pPr>
              <w:ind w:left="20"/>
              <w:spacing w:after="0"/>
              <w:rPr>
                <w:sz w:val="20"/>
                <w:szCs w:val="20"/>
                <w:color w:val="auto"/>
              </w:rPr>
            </w:pPr>
            <w:r>
              <w:rPr>
                <w:rFonts w:ascii="Arial" w:cs="Arial" w:eastAsia="Arial" w:hAnsi="Arial"/>
                <w:sz w:val="14"/>
                <w:szCs w:val="14"/>
                <w:color w:val="auto"/>
              </w:rPr>
              <w:t>TOTAL LIABILITIES AND STOCKHOLDERS' EQUITY</w:t>
            </w:r>
          </w:p>
        </w:tc>
        <w:tc>
          <w:tcPr>
            <w:tcW w:w="2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1,839,351</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1,763,691</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5"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______________________________________________________</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(1) December 31, 2020 balances were derived from audited consolidated financial statements.</w:t>
      </w:r>
    </w:p>
    <w:p>
      <w:pPr>
        <w:spacing w:after="0" w:line="85" w:lineRule="exact"/>
        <w:rPr>
          <w:sz w:val="20"/>
          <w:szCs w:val="20"/>
          <w:color w:val="auto"/>
        </w:rPr>
      </w:pPr>
    </w:p>
    <w:p>
      <w:pPr>
        <w:ind w:left="2920"/>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95"/>
        </w:trPr>
        <w:tc>
          <w:tcPr>
            <w:tcW w:w="3800" w:type="dxa"/>
            <w:vAlign w:val="bottom"/>
            <w:gridSpan w:val="2"/>
          </w:tcPr>
          <w:p>
            <w:pPr>
              <w:spacing w:after="0"/>
              <w:rPr>
                <w:rFonts w:ascii="Arial" w:cs="Arial" w:eastAsia="Arial" w:hAnsi="Arial"/>
                <w:sz w:val="17"/>
                <w:szCs w:val="17"/>
                <w:color w:val="0000FF"/>
              </w:rPr>
            </w:pPr>
            <w:hyperlink w:anchor="page1">
              <w:r>
                <w:rPr>
                  <w:rFonts w:ascii="Arial" w:cs="Arial" w:eastAsia="Arial" w:hAnsi="Arial"/>
                  <w:sz w:val="17"/>
                  <w:szCs w:val="17"/>
                  <w:color w:val="0000FF"/>
                </w:rPr>
                <w:t>Table of Contents</w:t>
              </w:r>
            </w:hyperlink>
          </w:p>
        </w:tc>
        <w:tc>
          <w:tcPr>
            <w:tcW w:w="1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737"/>
        </w:trPr>
        <w:tc>
          <w:tcPr>
            <w:tcW w:w="1220" w:type="dxa"/>
            <w:vAlign w:val="bottom"/>
            <w:tcBorders>
              <w:top w:val="single" w:sz="8" w:color="0000FF"/>
            </w:tcBorders>
          </w:tcPr>
          <w:p>
            <w:pPr>
              <w:spacing w:after="0"/>
              <w:rPr>
                <w:sz w:val="24"/>
                <w:szCs w:val="24"/>
                <w:color w:val="auto"/>
              </w:rPr>
            </w:pPr>
          </w:p>
        </w:tc>
        <w:tc>
          <w:tcPr>
            <w:tcW w:w="2580" w:type="dxa"/>
            <w:vAlign w:val="bottom"/>
          </w:tcPr>
          <w:p>
            <w:pPr>
              <w:spacing w:after="0"/>
              <w:rPr>
                <w:sz w:val="24"/>
                <w:szCs w:val="24"/>
                <w:color w:val="auto"/>
              </w:rPr>
            </w:pPr>
          </w:p>
        </w:tc>
        <w:tc>
          <w:tcPr>
            <w:tcW w:w="3640" w:type="dxa"/>
            <w:vAlign w:val="bottom"/>
            <w:gridSpan w:val="5"/>
          </w:tcPr>
          <w:p>
            <w:pPr>
              <w:jc w:val="center"/>
              <w:spacing w:after="0"/>
              <w:rPr>
                <w:sz w:val="20"/>
                <w:szCs w:val="20"/>
                <w:color w:val="auto"/>
              </w:rPr>
            </w:pPr>
            <w:r>
              <w:rPr>
                <w:rFonts w:ascii="Arial" w:cs="Arial" w:eastAsia="Arial" w:hAnsi="Arial"/>
                <w:sz w:val="17"/>
                <w:szCs w:val="17"/>
                <w:b w:val="1"/>
                <w:bCs w:val="1"/>
                <w:color w:val="auto"/>
              </w:rPr>
              <w:t>ICU MEDICAL, INC. AND SUBSIDIARIES</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13"/>
        </w:trPr>
        <w:tc>
          <w:tcPr>
            <w:tcW w:w="1220" w:type="dxa"/>
            <w:vAlign w:val="bottom"/>
          </w:tcPr>
          <w:p>
            <w:pPr>
              <w:spacing w:after="0"/>
              <w:rPr>
                <w:sz w:val="18"/>
                <w:szCs w:val="18"/>
                <w:color w:val="auto"/>
              </w:rPr>
            </w:pPr>
          </w:p>
        </w:tc>
        <w:tc>
          <w:tcPr>
            <w:tcW w:w="7580" w:type="dxa"/>
            <w:vAlign w:val="bottom"/>
            <w:gridSpan w:val="9"/>
          </w:tcPr>
          <w:p>
            <w:pPr>
              <w:jc w:val="center"/>
              <w:ind w:left="1134"/>
              <w:spacing w:after="0"/>
              <w:rPr>
                <w:sz w:val="20"/>
                <w:szCs w:val="20"/>
                <w:color w:val="auto"/>
              </w:rPr>
            </w:pPr>
            <w:r>
              <w:rPr>
                <w:rFonts w:ascii="Arial" w:cs="Arial" w:eastAsia="Arial" w:hAnsi="Arial"/>
                <w:sz w:val="17"/>
                <w:szCs w:val="17"/>
                <w:b w:val="1"/>
                <w:bCs w:val="1"/>
                <w:color w:val="auto"/>
                <w:w w:val="99"/>
              </w:rPr>
              <w:t>CONDENSED CONSOLIDATED STATEMENTS OF OPERATIONS (Unaudited)</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9"/>
        </w:trPr>
        <w:tc>
          <w:tcPr>
            <w:tcW w:w="12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3160" w:type="dxa"/>
            <w:vAlign w:val="bottom"/>
            <w:gridSpan w:val="4"/>
          </w:tcPr>
          <w:p>
            <w:pPr>
              <w:jc w:val="center"/>
              <w:ind w:left="394"/>
              <w:spacing w:after="0"/>
              <w:rPr>
                <w:sz w:val="20"/>
                <w:szCs w:val="20"/>
                <w:color w:val="auto"/>
              </w:rPr>
            </w:pPr>
            <w:r>
              <w:rPr>
                <w:rFonts w:ascii="Arial" w:cs="Arial" w:eastAsia="Arial" w:hAnsi="Arial"/>
                <w:sz w:val="17"/>
                <w:szCs w:val="17"/>
                <w:color w:val="auto"/>
                <w:w w:val="89"/>
              </w:rPr>
              <w:t>(In thousands, except per share data)</w:t>
            </w: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491"/>
        </w:trPr>
        <w:tc>
          <w:tcPr>
            <w:tcW w:w="12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20" w:type="dxa"/>
            <w:vAlign w:val="bottom"/>
            <w:gridSpan w:val="5"/>
          </w:tcPr>
          <w:p>
            <w:pPr>
              <w:ind w:left="320"/>
              <w:spacing w:after="0"/>
              <w:rPr>
                <w:sz w:val="20"/>
                <w:szCs w:val="20"/>
                <w:color w:val="auto"/>
              </w:rPr>
            </w:pPr>
            <w:r>
              <w:rPr>
                <w:rFonts w:ascii="Arial" w:cs="Arial" w:eastAsia="Arial" w:hAnsi="Arial"/>
                <w:sz w:val="17"/>
                <w:szCs w:val="17"/>
                <w:b w:val="1"/>
                <w:bCs w:val="1"/>
                <w:color w:val="auto"/>
              </w:rPr>
              <w:t>Three months ended</w:t>
            </w:r>
          </w:p>
        </w:tc>
        <w:tc>
          <w:tcPr>
            <w:tcW w:w="380" w:type="dxa"/>
            <w:vAlign w:val="bottom"/>
          </w:tcPr>
          <w:p>
            <w:pPr>
              <w:spacing w:after="0"/>
              <w:rPr>
                <w:sz w:val="24"/>
                <w:szCs w:val="24"/>
                <w:color w:val="auto"/>
              </w:rPr>
            </w:pPr>
          </w:p>
        </w:tc>
        <w:tc>
          <w:tcPr>
            <w:tcW w:w="2440" w:type="dxa"/>
            <w:vAlign w:val="bottom"/>
            <w:gridSpan w:val="4"/>
          </w:tcPr>
          <w:p>
            <w:pPr>
              <w:jc w:val="right"/>
              <w:ind w:right="634"/>
              <w:spacing w:after="0"/>
              <w:rPr>
                <w:sz w:val="20"/>
                <w:szCs w:val="20"/>
                <w:color w:val="auto"/>
              </w:rPr>
            </w:pPr>
            <w:r>
              <w:rPr>
                <w:rFonts w:ascii="Arial" w:cs="Arial" w:eastAsia="Arial" w:hAnsi="Arial"/>
                <w:sz w:val="17"/>
                <w:szCs w:val="17"/>
                <w:b w:val="1"/>
                <w:bCs w:val="1"/>
                <w:color w:val="auto"/>
              </w:rPr>
              <w:t>Nine months ended</w:t>
            </w:r>
          </w:p>
        </w:tc>
      </w:tr>
      <w:tr>
        <w:trPr>
          <w:trHeight w:val="220"/>
        </w:trPr>
        <w:tc>
          <w:tcPr>
            <w:tcW w:w="12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September 30,</w:t>
            </w: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September 30,</w:t>
            </w:r>
          </w:p>
        </w:tc>
        <w:tc>
          <w:tcPr>
            <w:tcW w:w="860" w:type="dxa"/>
            <w:vAlign w:val="bottom"/>
            <w:tcBorders>
              <w:bottom w:val="single" w:sz="8" w:color="auto"/>
            </w:tcBorders>
          </w:tcPr>
          <w:p>
            <w:pPr>
              <w:spacing w:after="0"/>
              <w:rPr>
                <w:sz w:val="19"/>
                <w:szCs w:val="19"/>
                <w:color w:val="auto"/>
              </w:rPr>
            </w:pPr>
          </w:p>
        </w:tc>
      </w:tr>
      <w:tr>
        <w:trPr>
          <w:trHeight w:val="213"/>
        </w:trPr>
        <w:tc>
          <w:tcPr>
            <w:tcW w:w="1220" w:type="dxa"/>
            <w:vAlign w:val="bottom"/>
            <w:tcBorders>
              <w:bottom w:val="single" w:sz="8" w:color="CCEEFF"/>
            </w:tcBorders>
          </w:tcPr>
          <w:p>
            <w:pPr>
              <w:spacing w:after="0"/>
              <w:rPr>
                <w:sz w:val="18"/>
                <w:szCs w:val="18"/>
                <w:color w:val="auto"/>
              </w:rPr>
            </w:pPr>
          </w:p>
        </w:tc>
        <w:tc>
          <w:tcPr>
            <w:tcW w:w="2580" w:type="dxa"/>
            <w:vAlign w:val="bottom"/>
            <w:tcBorders>
              <w:bottom w:val="single" w:sz="8" w:color="CCEEFF"/>
            </w:tcBorders>
          </w:tcPr>
          <w:p>
            <w:pPr>
              <w:spacing w:after="0"/>
              <w:rPr>
                <w:sz w:val="18"/>
                <w:szCs w:val="18"/>
                <w:color w:val="auto"/>
              </w:rPr>
            </w:pPr>
          </w:p>
        </w:tc>
        <w:tc>
          <w:tcPr>
            <w:tcW w:w="17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b w:val="1"/>
                <w:bCs w:val="1"/>
                <w:color w:val="auto"/>
                <w:w w:val="89"/>
              </w:rPr>
              <w:t>2020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4"/>
              <w:spacing w:after="0"/>
              <w:rPr>
                <w:sz w:val="20"/>
                <w:szCs w:val="20"/>
                <w:color w:val="auto"/>
              </w:rPr>
            </w:pPr>
            <w:r>
              <w:rPr>
                <w:rFonts w:ascii="Arial" w:cs="Arial" w:eastAsia="Arial" w:hAnsi="Arial"/>
                <w:sz w:val="17"/>
                <w:szCs w:val="17"/>
                <w:b w:val="1"/>
                <w:bCs w:val="1"/>
                <w:color w:val="auto"/>
                <w:w w:val="89"/>
              </w:rPr>
              <w:t>2020</w:t>
            </w:r>
          </w:p>
        </w:tc>
      </w:tr>
      <w:tr>
        <w:trPr>
          <w:trHeight w:val="213"/>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 REVENUES</w:t>
            </w:r>
          </w:p>
        </w:tc>
        <w:tc>
          <w:tcPr>
            <w:tcW w:w="2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336,060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318,567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975,783</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950,553</w:t>
            </w:r>
          </w:p>
        </w:tc>
      </w:tr>
      <w:tr>
        <w:trPr>
          <w:trHeight w:val="220"/>
        </w:trPr>
        <w:tc>
          <w:tcPr>
            <w:tcW w:w="380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COST OF GOODS SOLD</w:t>
            </w:r>
          </w:p>
        </w:tc>
        <w:tc>
          <w:tcPr>
            <w:tcW w:w="17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208,269</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204,643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611,783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608,930</w:t>
            </w:r>
          </w:p>
        </w:tc>
      </w:tr>
      <w:tr>
        <w:trPr>
          <w:trHeight w:val="213"/>
        </w:trPr>
        <w:tc>
          <w:tcPr>
            <w:tcW w:w="38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GROSS PROFIT</w:t>
            </w:r>
          </w:p>
        </w:tc>
        <w:tc>
          <w:tcPr>
            <w:tcW w:w="17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127,791</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113,924</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364,000</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341,623</w:t>
            </w:r>
          </w:p>
        </w:tc>
      </w:tr>
      <w:tr>
        <w:trPr>
          <w:trHeight w:val="200"/>
        </w:trPr>
        <w:tc>
          <w:tcPr>
            <w:tcW w:w="3800" w:type="dxa"/>
            <w:vAlign w:val="bottom"/>
            <w:gridSpan w:val="2"/>
          </w:tcPr>
          <w:p>
            <w:pPr>
              <w:ind w:left="20"/>
              <w:spacing w:after="0"/>
              <w:rPr>
                <w:sz w:val="20"/>
                <w:szCs w:val="20"/>
                <w:color w:val="auto"/>
              </w:rPr>
            </w:pPr>
            <w:r>
              <w:rPr>
                <w:rFonts w:ascii="Arial" w:cs="Arial" w:eastAsia="Arial" w:hAnsi="Arial"/>
                <w:sz w:val="17"/>
                <w:szCs w:val="17"/>
                <w:color w:val="auto"/>
              </w:rPr>
              <w:t>OPERATING EXPENSES:</w:t>
            </w:r>
          </w:p>
        </w:tc>
        <w:tc>
          <w:tcPr>
            <w:tcW w:w="1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20"/>
        </w:trPr>
        <w:tc>
          <w:tcPr>
            <w:tcW w:w="38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Selling, general and administrative</w:t>
            </w:r>
          </w:p>
        </w:tc>
        <w:tc>
          <w:tcPr>
            <w:tcW w:w="17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74,815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70,854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221,127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210,401</w:t>
            </w:r>
          </w:p>
        </w:tc>
      </w:tr>
      <w:tr>
        <w:trPr>
          <w:trHeight w:val="220"/>
        </w:trPr>
        <w:tc>
          <w:tcPr>
            <w:tcW w:w="3800" w:type="dxa"/>
            <w:vAlign w:val="bottom"/>
            <w:gridSpan w:val="2"/>
          </w:tcPr>
          <w:p>
            <w:pPr>
              <w:ind w:left="140"/>
              <w:spacing w:after="0"/>
              <w:rPr>
                <w:sz w:val="20"/>
                <w:szCs w:val="20"/>
                <w:color w:val="auto"/>
              </w:rPr>
            </w:pPr>
            <w:r>
              <w:rPr>
                <w:rFonts w:ascii="Arial" w:cs="Arial" w:eastAsia="Arial" w:hAnsi="Arial"/>
                <w:sz w:val="17"/>
                <w:szCs w:val="17"/>
                <w:color w:val="auto"/>
              </w:rPr>
              <w:t>Research and development</w:t>
            </w:r>
          </w:p>
        </w:tc>
        <w:tc>
          <w:tcPr>
            <w:tcW w:w="1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12,238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10,126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34,332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31,151</w:t>
            </w:r>
          </w:p>
        </w:tc>
      </w:tr>
      <w:tr>
        <w:trPr>
          <w:trHeight w:val="220"/>
        </w:trPr>
        <w:tc>
          <w:tcPr>
            <w:tcW w:w="38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w w:val="95"/>
              </w:rPr>
              <w:t>Restructuring, strategic transaction and integration</w:t>
            </w:r>
          </w:p>
        </w:tc>
        <w:tc>
          <w:tcPr>
            <w:tcW w:w="17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2,358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4,114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8,994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22,903</w:t>
            </w:r>
          </w:p>
        </w:tc>
      </w:tr>
      <w:tr>
        <w:trPr>
          <w:trHeight w:val="220"/>
        </w:trPr>
        <w:tc>
          <w:tcPr>
            <w:tcW w:w="3800" w:type="dxa"/>
            <w:vAlign w:val="bottom"/>
            <w:gridSpan w:val="2"/>
          </w:tcPr>
          <w:p>
            <w:pPr>
              <w:ind w:left="140"/>
              <w:spacing w:after="0"/>
              <w:rPr>
                <w:sz w:val="20"/>
                <w:szCs w:val="20"/>
                <w:color w:val="auto"/>
              </w:rPr>
            </w:pPr>
            <w:r>
              <w:rPr>
                <w:rFonts w:ascii="Arial" w:cs="Arial" w:eastAsia="Arial" w:hAnsi="Arial"/>
                <w:sz w:val="17"/>
                <w:szCs w:val="17"/>
                <w:color w:val="auto"/>
              </w:rPr>
              <w:t>Change in fair value of contingent earn-out</w:t>
            </w:r>
          </w:p>
        </w:tc>
        <w:tc>
          <w:tcPr>
            <w:tcW w:w="1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4,300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7,000</w:t>
            </w:r>
          </w:p>
        </w:tc>
      </w:tr>
      <w:tr>
        <w:trPr>
          <w:trHeight w:val="220"/>
        </w:trPr>
        <w:tc>
          <w:tcPr>
            <w:tcW w:w="38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Contract settlement</w:t>
            </w:r>
          </w:p>
        </w:tc>
        <w:tc>
          <w:tcPr>
            <w:tcW w:w="17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(975)</w:t>
            </w:r>
          </w:p>
        </w:tc>
      </w:tr>
      <w:tr>
        <w:trPr>
          <w:trHeight w:val="213"/>
        </w:trPr>
        <w:tc>
          <w:tcPr>
            <w:tcW w:w="380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TOTAL OPERATING EXPENSES</w:t>
            </w:r>
          </w:p>
        </w:tc>
        <w:tc>
          <w:tcPr>
            <w:tcW w:w="17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89,411</w:t>
            </w:r>
          </w:p>
        </w:tc>
        <w:tc>
          <w:tcPr>
            <w:tcW w:w="10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88,394</w:t>
            </w:r>
          </w:p>
        </w:tc>
        <w:tc>
          <w:tcPr>
            <w:tcW w:w="10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264,580</w:t>
            </w:r>
          </w:p>
        </w:tc>
        <w:tc>
          <w:tcPr>
            <w:tcW w:w="10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270,480</w:t>
            </w:r>
          </w:p>
        </w:tc>
      </w:tr>
      <w:tr>
        <w:trPr>
          <w:trHeight w:val="213"/>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INCOME FROM OPERATIONS</w:t>
            </w:r>
          </w:p>
        </w:tc>
        <w:tc>
          <w:tcPr>
            <w:tcW w:w="1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38,380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25,530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99,420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71,143</w:t>
            </w:r>
          </w:p>
        </w:tc>
      </w:tr>
      <w:tr>
        <w:trPr>
          <w:trHeight w:val="220"/>
        </w:trPr>
        <w:tc>
          <w:tcPr>
            <w:tcW w:w="3800" w:type="dxa"/>
            <w:vAlign w:val="bottom"/>
            <w:gridSpan w:val="2"/>
          </w:tcPr>
          <w:p>
            <w:pPr>
              <w:ind w:left="20"/>
              <w:spacing w:after="0"/>
              <w:rPr>
                <w:sz w:val="20"/>
                <w:szCs w:val="20"/>
                <w:color w:val="auto"/>
              </w:rPr>
            </w:pPr>
            <w:r>
              <w:rPr>
                <w:rFonts w:ascii="Arial" w:cs="Arial" w:eastAsia="Arial" w:hAnsi="Arial"/>
                <w:sz w:val="17"/>
                <w:szCs w:val="17"/>
                <w:color w:val="auto"/>
              </w:rPr>
              <w:t>INTEREST EXPENSE</w:t>
            </w:r>
          </w:p>
        </w:tc>
        <w:tc>
          <w:tcPr>
            <w:tcW w:w="1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(168)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(616)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(492)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(1,583)</w:t>
            </w:r>
          </w:p>
        </w:tc>
      </w:tr>
      <w:tr>
        <w:trPr>
          <w:trHeight w:val="220"/>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 (EXPENSE) INCOME, net</w:t>
            </w:r>
          </w:p>
        </w:tc>
        <w:tc>
          <w:tcPr>
            <w:tcW w:w="17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(287)</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1,252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921</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(2,175)</w:t>
            </w:r>
          </w:p>
        </w:tc>
      </w:tr>
      <w:tr>
        <w:trPr>
          <w:trHeight w:val="213"/>
        </w:trPr>
        <w:tc>
          <w:tcPr>
            <w:tcW w:w="3800" w:type="dxa"/>
            <w:vAlign w:val="bottom"/>
            <w:gridSpan w:val="2"/>
          </w:tcPr>
          <w:p>
            <w:pPr>
              <w:ind w:left="20"/>
              <w:spacing w:after="0"/>
              <w:rPr>
                <w:sz w:val="20"/>
                <w:szCs w:val="20"/>
                <w:color w:val="auto"/>
              </w:rPr>
            </w:pPr>
            <w:r>
              <w:rPr>
                <w:rFonts w:ascii="Arial" w:cs="Arial" w:eastAsia="Arial" w:hAnsi="Arial"/>
                <w:sz w:val="17"/>
                <w:szCs w:val="17"/>
                <w:color w:val="auto"/>
              </w:rPr>
              <w:t>INCOME BEFORE INCOME TAXES</w:t>
            </w: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37,925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26,166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99,849</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67,385</w:t>
            </w:r>
          </w:p>
        </w:tc>
      </w:tr>
      <w:tr>
        <w:trPr>
          <w:trHeight w:val="220"/>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PROVISION FOR INCOME TAXES</w:t>
            </w:r>
          </w:p>
        </w:tc>
        <w:tc>
          <w:tcPr>
            <w:tcW w:w="17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(6,844)</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(16,639)</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(6,657)</w:t>
            </w:r>
          </w:p>
        </w:tc>
      </w:tr>
      <w:tr>
        <w:trPr>
          <w:trHeight w:val="213"/>
        </w:trPr>
        <w:tc>
          <w:tcPr>
            <w:tcW w:w="3800" w:type="dxa"/>
            <w:vAlign w:val="bottom"/>
            <w:gridSpan w:val="2"/>
          </w:tcPr>
          <w:p>
            <w:pPr>
              <w:ind w:left="20"/>
              <w:spacing w:after="0"/>
              <w:rPr>
                <w:sz w:val="20"/>
                <w:szCs w:val="20"/>
                <w:color w:val="auto"/>
              </w:rPr>
            </w:pPr>
            <w:r>
              <w:rPr>
                <w:rFonts w:ascii="Arial" w:cs="Arial" w:eastAsia="Arial" w:hAnsi="Arial"/>
                <w:sz w:val="17"/>
                <w:szCs w:val="17"/>
                <w:color w:val="auto"/>
              </w:rPr>
              <w:t>NET INCOME</w:t>
            </w:r>
          </w:p>
        </w:tc>
        <w:tc>
          <w:tcPr>
            <w:tcW w:w="20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31,081</w:t>
            </w:r>
          </w:p>
        </w:tc>
        <w:tc>
          <w:tcPr>
            <w:tcW w:w="100" w:type="dxa"/>
            <w:vAlign w:val="bottom"/>
          </w:tcPr>
          <w:p>
            <w:pPr>
              <w:spacing w:after="0"/>
              <w:rPr>
                <w:sz w:val="18"/>
                <w:szCs w:val="18"/>
                <w:color w:val="auto"/>
              </w:rPr>
            </w:pPr>
          </w:p>
        </w:tc>
        <w:tc>
          <w:tcPr>
            <w:tcW w:w="480" w:type="dxa"/>
            <w:vAlign w:val="bottom"/>
          </w:tcPr>
          <w:p>
            <w:pPr>
              <w:jc w:val="right"/>
              <w:ind w:right="294"/>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24,986</w:t>
            </w:r>
          </w:p>
        </w:tc>
        <w:tc>
          <w:tcPr>
            <w:tcW w:w="100" w:type="dxa"/>
            <w:vAlign w:val="bottom"/>
          </w:tcPr>
          <w:p>
            <w:pPr>
              <w:spacing w:after="0"/>
              <w:rPr>
                <w:sz w:val="18"/>
                <w:szCs w:val="18"/>
                <w:color w:val="auto"/>
              </w:rPr>
            </w:pP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83,210</w:t>
            </w:r>
          </w:p>
        </w:tc>
        <w:tc>
          <w:tcPr>
            <w:tcW w:w="100" w:type="dxa"/>
            <w:vAlign w:val="bottom"/>
          </w:tcPr>
          <w:p>
            <w:pPr>
              <w:spacing w:after="0"/>
              <w:rPr>
                <w:sz w:val="18"/>
                <w:szCs w:val="18"/>
                <w:color w:val="auto"/>
              </w:rPr>
            </w:pPr>
          </w:p>
        </w:tc>
        <w:tc>
          <w:tcPr>
            <w:tcW w:w="500" w:type="dxa"/>
            <w:vAlign w:val="bottom"/>
          </w:tcPr>
          <w:p>
            <w:pPr>
              <w:jc w:val="right"/>
              <w:ind w:right="314"/>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60,728</w:t>
            </w:r>
          </w:p>
        </w:tc>
      </w:tr>
      <w:tr>
        <w:trPr>
          <w:trHeight w:val="20"/>
        </w:trPr>
        <w:tc>
          <w:tcPr>
            <w:tcW w:w="1220" w:type="dxa"/>
            <w:vAlign w:val="bottom"/>
            <w:tcBorders>
              <w:bottom w:val="single" w:sz="8" w:color="CCEEFF"/>
            </w:tcBorders>
          </w:tcPr>
          <w:p>
            <w:pPr>
              <w:spacing w:after="0" w:line="20" w:lineRule="exact"/>
              <w:rPr>
                <w:sz w:val="1"/>
                <w:szCs w:val="1"/>
                <w:color w:val="auto"/>
              </w:rPr>
            </w:pPr>
          </w:p>
        </w:tc>
        <w:tc>
          <w:tcPr>
            <w:tcW w:w="258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185"/>
        </w:trPr>
        <w:tc>
          <w:tcPr>
            <w:tcW w:w="3800" w:type="dxa"/>
            <w:vAlign w:val="bottom"/>
            <w:gridSpan w:val="2"/>
            <w:shd w:val="clear" w:color="auto" w:fill="CCEEFF"/>
          </w:tcPr>
          <w:p>
            <w:pPr>
              <w:ind w:left="20"/>
              <w:spacing w:after="0" w:line="185" w:lineRule="exact"/>
              <w:rPr>
                <w:sz w:val="20"/>
                <w:szCs w:val="20"/>
                <w:color w:val="auto"/>
              </w:rPr>
            </w:pPr>
            <w:r>
              <w:rPr>
                <w:rFonts w:ascii="Arial" w:cs="Arial" w:eastAsia="Arial" w:hAnsi="Arial"/>
                <w:sz w:val="17"/>
                <w:szCs w:val="17"/>
                <w:color w:val="auto"/>
              </w:rPr>
              <w:t>NET INCOME PER SHARE</w:t>
            </w:r>
          </w:p>
        </w:tc>
        <w:tc>
          <w:tcPr>
            <w:tcW w:w="17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220"/>
        </w:trPr>
        <w:tc>
          <w:tcPr>
            <w:tcW w:w="3800" w:type="dxa"/>
            <w:vAlign w:val="bottom"/>
            <w:gridSpan w:val="2"/>
          </w:tcPr>
          <w:p>
            <w:pPr>
              <w:ind w:left="340"/>
              <w:spacing w:after="0"/>
              <w:rPr>
                <w:sz w:val="20"/>
                <w:szCs w:val="20"/>
                <w:color w:val="auto"/>
              </w:rPr>
            </w:pPr>
            <w:r>
              <w:rPr>
                <w:rFonts w:ascii="Arial" w:cs="Arial" w:eastAsia="Arial" w:hAnsi="Arial"/>
                <w:sz w:val="17"/>
                <w:szCs w:val="17"/>
                <w:color w:val="auto"/>
              </w:rPr>
              <w:t>Basic</w:t>
            </w:r>
          </w:p>
        </w:tc>
        <w:tc>
          <w:tcPr>
            <w:tcW w:w="20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1.47</w:t>
            </w:r>
          </w:p>
        </w:tc>
        <w:tc>
          <w:tcPr>
            <w:tcW w:w="100" w:type="dxa"/>
            <w:vAlign w:val="bottom"/>
          </w:tcPr>
          <w:p>
            <w:pPr>
              <w:spacing w:after="0"/>
              <w:rPr>
                <w:sz w:val="19"/>
                <w:szCs w:val="19"/>
                <w:color w:val="auto"/>
              </w:rPr>
            </w:pPr>
          </w:p>
        </w:tc>
        <w:tc>
          <w:tcPr>
            <w:tcW w:w="480" w:type="dxa"/>
            <w:vAlign w:val="bottom"/>
          </w:tcPr>
          <w:p>
            <w:pPr>
              <w:jc w:val="right"/>
              <w:ind w:right="294"/>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1.19</w:t>
            </w:r>
          </w:p>
        </w:tc>
        <w:tc>
          <w:tcPr>
            <w:tcW w:w="100" w:type="dxa"/>
            <w:vAlign w:val="bottom"/>
          </w:tcPr>
          <w:p>
            <w:pPr>
              <w:spacing w:after="0"/>
              <w:rPr>
                <w:sz w:val="19"/>
                <w:szCs w:val="19"/>
                <w:color w:val="auto"/>
              </w:rPr>
            </w:pP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3.93</w:t>
            </w:r>
          </w:p>
        </w:tc>
        <w:tc>
          <w:tcPr>
            <w:tcW w:w="100" w:type="dxa"/>
            <w:vAlign w:val="bottom"/>
          </w:tcPr>
          <w:p>
            <w:pPr>
              <w:spacing w:after="0"/>
              <w:rPr>
                <w:sz w:val="19"/>
                <w:szCs w:val="19"/>
                <w:color w:val="auto"/>
              </w:rPr>
            </w:pPr>
          </w:p>
        </w:tc>
        <w:tc>
          <w:tcPr>
            <w:tcW w:w="500" w:type="dxa"/>
            <w:vAlign w:val="bottom"/>
          </w:tcPr>
          <w:p>
            <w:pPr>
              <w:jc w:val="right"/>
              <w:ind w:right="314"/>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2.91</w:t>
            </w:r>
          </w:p>
        </w:tc>
      </w:tr>
      <w:tr>
        <w:trPr>
          <w:trHeight w:val="220"/>
        </w:trPr>
        <w:tc>
          <w:tcPr>
            <w:tcW w:w="380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Diluted</w:t>
            </w:r>
          </w:p>
        </w:tc>
        <w:tc>
          <w:tcPr>
            <w:tcW w:w="2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2.82</w:t>
            </w:r>
          </w:p>
        </w:tc>
      </w:tr>
      <w:tr>
        <w:trPr>
          <w:trHeight w:val="220"/>
        </w:trPr>
        <w:tc>
          <w:tcPr>
            <w:tcW w:w="3800" w:type="dxa"/>
            <w:vAlign w:val="bottom"/>
            <w:gridSpan w:val="2"/>
          </w:tcPr>
          <w:p>
            <w:pPr>
              <w:ind w:left="20"/>
              <w:spacing w:after="0"/>
              <w:rPr>
                <w:sz w:val="20"/>
                <w:szCs w:val="20"/>
                <w:color w:val="auto"/>
              </w:rPr>
            </w:pPr>
            <w:r>
              <w:rPr>
                <w:rFonts w:ascii="Arial" w:cs="Arial" w:eastAsia="Arial" w:hAnsi="Arial"/>
                <w:sz w:val="17"/>
                <w:szCs w:val="17"/>
                <w:color w:val="auto"/>
              </w:rPr>
              <w:t>WEIGHTED AVERAGE NUMBER OF SHARES</w:t>
            </w:r>
          </w:p>
        </w:tc>
        <w:tc>
          <w:tcPr>
            <w:tcW w:w="1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0"/>
        </w:trPr>
        <w:tc>
          <w:tcPr>
            <w:tcW w:w="380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Basic</w:t>
            </w:r>
          </w:p>
        </w:tc>
        <w:tc>
          <w:tcPr>
            <w:tcW w:w="17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21,214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20,948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21,189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20,870</w:t>
            </w:r>
          </w:p>
        </w:tc>
      </w:tr>
      <w:tr>
        <w:trPr>
          <w:trHeight w:val="220"/>
        </w:trPr>
        <w:tc>
          <w:tcPr>
            <w:tcW w:w="3800" w:type="dxa"/>
            <w:vAlign w:val="bottom"/>
            <w:gridSpan w:val="2"/>
          </w:tcPr>
          <w:p>
            <w:pPr>
              <w:ind w:left="340"/>
              <w:spacing w:after="0"/>
              <w:rPr>
                <w:sz w:val="20"/>
                <w:szCs w:val="20"/>
                <w:color w:val="auto"/>
              </w:rPr>
            </w:pPr>
            <w:r>
              <w:rPr>
                <w:rFonts w:ascii="Arial" w:cs="Arial" w:eastAsia="Arial" w:hAnsi="Arial"/>
                <w:sz w:val="17"/>
                <w:szCs w:val="17"/>
                <w:color w:val="auto"/>
              </w:rPr>
              <w:t>Diluted</w:t>
            </w:r>
          </w:p>
        </w:tc>
        <w:tc>
          <w:tcPr>
            <w:tcW w:w="1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21,730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21,556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21,735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21,561</w:t>
            </w:r>
          </w:p>
        </w:tc>
      </w:tr>
    </w:tbl>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95"/>
        </w:trPr>
        <w:tc>
          <w:tcPr>
            <w:tcW w:w="5500" w:type="dxa"/>
            <w:vAlign w:val="bottom"/>
            <w:gridSpan w:val="2"/>
          </w:tcPr>
          <w:p>
            <w:pPr>
              <w:spacing w:after="0"/>
              <w:rPr>
                <w:rFonts w:ascii="Arial" w:cs="Arial" w:eastAsia="Arial" w:hAnsi="Arial"/>
                <w:sz w:val="17"/>
                <w:szCs w:val="17"/>
                <w:color w:val="0000FF"/>
              </w:rPr>
            </w:pPr>
            <w:hyperlink w:anchor="page1">
              <w:r>
                <w:rPr>
                  <w:rFonts w:ascii="Arial" w:cs="Arial" w:eastAsia="Arial" w:hAnsi="Arial"/>
                  <w:sz w:val="17"/>
                  <w:szCs w:val="17"/>
                  <w:color w:val="0000FF"/>
                </w:rPr>
                <w:t>Table of Contents</w:t>
              </w:r>
            </w:hyperlink>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737"/>
        </w:trPr>
        <w:tc>
          <w:tcPr>
            <w:tcW w:w="1220" w:type="dxa"/>
            <w:vAlign w:val="bottom"/>
            <w:tcBorders>
              <w:top w:val="single" w:sz="8" w:color="0000FF"/>
            </w:tcBorders>
          </w:tcPr>
          <w:p>
            <w:pPr>
              <w:spacing w:after="0"/>
              <w:rPr>
                <w:sz w:val="24"/>
                <w:szCs w:val="24"/>
                <w:color w:val="auto"/>
              </w:rPr>
            </w:pPr>
          </w:p>
        </w:tc>
        <w:tc>
          <w:tcPr>
            <w:tcW w:w="6220" w:type="dxa"/>
            <w:vAlign w:val="bottom"/>
            <w:gridSpan w:val="5"/>
          </w:tcPr>
          <w:p>
            <w:pPr>
              <w:jc w:val="center"/>
              <w:ind w:left="2494"/>
              <w:spacing w:after="0"/>
              <w:rPr>
                <w:sz w:val="20"/>
                <w:szCs w:val="20"/>
                <w:color w:val="auto"/>
              </w:rPr>
            </w:pPr>
            <w:r>
              <w:rPr>
                <w:rFonts w:ascii="Arial" w:cs="Arial" w:eastAsia="Arial" w:hAnsi="Arial"/>
                <w:sz w:val="17"/>
                <w:szCs w:val="17"/>
                <w:b w:val="1"/>
                <w:bCs w:val="1"/>
                <w:color w:val="auto"/>
              </w:rPr>
              <w:t>ICU MEDICAL, INC. AND SUBSIDIARIES</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13"/>
        </w:trPr>
        <w:tc>
          <w:tcPr>
            <w:tcW w:w="1220" w:type="dxa"/>
            <w:vAlign w:val="bottom"/>
          </w:tcPr>
          <w:p>
            <w:pPr>
              <w:spacing w:after="0"/>
              <w:rPr>
                <w:sz w:val="18"/>
                <w:szCs w:val="18"/>
                <w:color w:val="auto"/>
              </w:rPr>
            </w:pPr>
          </w:p>
        </w:tc>
        <w:tc>
          <w:tcPr>
            <w:tcW w:w="8660" w:type="dxa"/>
            <w:vAlign w:val="bottom"/>
            <w:gridSpan w:val="10"/>
          </w:tcPr>
          <w:p>
            <w:pPr>
              <w:jc w:val="center"/>
              <w:ind w:left="54"/>
              <w:spacing w:after="0"/>
              <w:rPr>
                <w:sz w:val="20"/>
                <w:szCs w:val="20"/>
                <w:color w:val="auto"/>
              </w:rPr>
            </w:pPr>
            <w:r>
              <w:rPr>
                <w:rFonts w:ascii="Arial" w:cs="Arial" w:eastAsia="Arial" w:hAnsi="Arial"/>
                <w:sz w:val="17"/>
                <w:szCs w:val="17"/>
                <w:b w:val="1"/>
                <w:bCs w:val="1"/>
                <w:color w:val="auto"/>
              </w:rPr>
              <w:t>CONDENSED CONSOLIDATED STATEMENTS OF COMPREHENSIVE INCOME (Unaudited)</w:t>
            </w: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9"/>
        </w:trPr>
        <w:tc>
          <w:tcPr>
            <w:tcW w:w="1220" w:type="dxa"/>
            <w:vAlign w:val="bottom"/>
          </w:tcPr>
          <w:p>
            <w:pPr>
              <w:spacing w:after="0"/>
              <w:rPr>
                <w:sz w:val="19"/>
                <w:szCs w:val="19"/>
                <w:color w:val="auto"/>
              </w:rPr>
            </w:pPr>
          </w:p>
        </w:tc>
        <w:tc>
          <w:tcPr>
            <w:tcW w:w="5740" w:type="dxa"/>
            <w:vAlign w:val="bottom"/>
            <w:gridSpan w:val="4"/>
          </w:tcPr>
          <w:p>
            <w:pPr>
              <w:jc w:val="center"/>
              <w:ind w:left="2974"/>
              <w:spacing w:after="0"/>
              <w:rPr>
                <w:sz w:val="20"/>
                <w:szCs w:val="20"/>
                <w:color w:val="auto"/>
              </w:rPr>
            </w:pPr>
            <w:r>
              <w:rPr>
                <w:rFonts w:ascii="Arial" w:cs="Arial" w:eastAsia="Arial" w:hAnsi="Arial"/>
                <w:sz w:val="17"/>
                <w:szCs w:val="17"/>
                <w:color w:val="auto"/>
                <w:w w:val="91"/>
              </w:rPr>
              <w:t>(In thousands)</w:t>
            </w: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491"/>
        </w:trPr>
        <w:tc>
          <w:tcPr>
            <w:tcW w:w="12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20" w:type="dxa"/>
            <w:vAlign w:val="bottom"/>
            <w:gridSpan w:val="5"/>
          </w:tcPr>
          <w:p>
            <w:pPr>
              <w:ind w:left="320"/>
              <w:spacing w:after="0"/>
              <w:rPr>
                <w:sz w:val="20"/>
                <w:szCs w:val="20"/>
                <w:color w:val="auto"/>
              </w:rPr>
            </w:pPr>
            <w:r>
              <w:rPr>
                <w:rFonts w:ascii="Arial" w:cs="Arial" w:eastAsia="Arial" w:hAnsi="Arial"/>
                <w:sz w:val="17"/>
                <w:szCs w:val="17"/>
                <w:b w:val="1"/>
                <w:bCs w:val="1"/>
                <w:color w:val="auto"/>
              </w:rPr>
              <w:t>Three months ended</w:t>
            </w:r>
          </w:p>
        </w:tc>
        <w:tc>
          <w:tcPr>
            <w:tcW w:w="300" w:type="dxa"/>
            <w:vAlign w:val="bottom"/>
          </w:tcPr>
          <w:p>
            <w:pPr>
              <w:spacing w:after="0"/>
              <w:rPr>
                <w:sz w:val="24"/>
                <w:szCs w:val="24"/>
                <w:color w:val="auto"/>
              </w:rPr>
            </w:pPr>
          </w:p>
        </w:tc>
        <w:tc>
          <w:tcPr>
            <w:tcW w:w="2520" w:type="dxa"/>
            <w:vAlign w:val="bottom"/>
            <w:gridSpan w:val="4"/>
          </w:tcPr>
          <w:p>
            <w:pPr>
              <w:jc w:val="right"/>
              <w:ind w:right="641"/>
              <w:spacing w:after="0"/>
              <w:rPr>
                <w:sz w:val="20"/>
                <w:szCs w:val="20"/>
                <w:color w:val="auto"/>
              </w:rPr>
            </w:pPr>
            <w:r>
              <w:rPr>
                <w:rFonts w:ascii="Arial" w:cs="Arial" w:eastAsia="Arial" w:hAnsi="Arial"/>
                <w:sz w:val="17"/>
                <w:szCs w:val="17"/>
                <w:b w:val="1"/>
                <w:bCs w:val="1"/>
                <w:color w:val="auto"/>
              </w:rPr>
              <w:t>Nine months ended</w:t>
            </w:r>
          </w:p>
        </w:tc>
      </w:tr>
      <w:tr>
        <w:trPr>
          <w:trHeight w:val="220"/>
        </w:trPr>
        <w:tc>
          <w:tcPr>
            <w:tcW w:w="122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September 30,</w:t>
            </w: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September 30,</w:t>
            </w:r>
          </w:p>
        </w:tc>
        <w:tc>
          <w:tcPr>
            <w:tcW w:w="860" w:type="dxa"/>
            <w:vAlign w:val="bottom"/>
            <w:tcBorders>
              <w:bottom w:val="single" w:sz="8" w:color="auto"/>
            </w:tcBorders>
          </w:tcPr>
          <w:p>
            <w:pPr>
              <w:spacing w:after="0"/>
              <w:rPr>
                <w:sz w:val="19"/>
                <w:szCs w:val="19"/>
                <w:color w:val="auto"/>
              </w:rPr>
            </w:pPr>
          </w:p>
        </w:tc>
      </w:tr>
      <w:tr>
        <w:trPr>
          <w:trHeight w:val="213"/>
        </w:trPr>
        <w:tc>
          <w:tcPr>
            <w:tcW w:w="1220" w:type="dxa"/>
            <w:vAlign w:val="bottom"/>
            <w:tcBorders>
              <w:bottom w:val="single" w:sz="8" w:color="CCEEFF"/>
            </w:tcBorders>
          </w:tcPr>
          <w:p>
            <w:pPr>
              <w:spacing w:after="0"/>
              <w:rPr>
                <w:sz w:val="18"/>
                <w:szCs w:val="18"/>
                <w:color w:val="auto"/>
              </w:rPr>
            </w:pPr>
          </w:p>
        </w:tc>
        <w:tc>
          <w:tcPr>
            <w:tcW w:w="42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40"/>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41"/>
              <w:spacing w:after="0"/>
              <w:rPr>
                <w:sz w:val="20"/>
                <w:szCs w:val="20"/>
                <w:color w:val="auto"/>
              </w:rPr>
            </w:pPr>
            <w:r>
              <w:rPr>
                <w:rFonts w:ascii="Arial" w:cs="Arial" w:eastAsia="Arial" w:hAnsi="Arial"/>
                <w:sz w:val="17"/>
                <w:szCs w:val="17"/>
                <w:b w:val="1"/>
                <w:bCs w:val="1"/>
                <w:color w:val="auto"/>
                <w:w w:val="89"/>
              </w:rPr>
              <w:t>2020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40"/>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21"/>
              <w:spacing w:after="0"/>
              <w:rPr>
                <w:sz w:val="20"/>
                <w:szCs w:val="20"/>
                <w:color w:val="auto"/>
              </w:rPr>
            </w:pPr>
            <w:r>
              <w:rPr>
                <w:rFonts w:ascii="Arial" w:cs="Arial" w:eastAsia="Arial" w:hAnsi="Arial"/>
                <w:sz w:val="17"/>
                <w:szCs w:val="17"/>
                <w:b w:val="1"/>
                <w:bCs w:val="1"/>
                <w:color w:val="auto"/>
                <w:w w:val="89"/>
              </w:rPr>
              <w:t>2020</w:t>
            </w:r>
          </w:p>
        </w:tc>
      </w:tr>
      <w:tr>
        <w:trPr>
          <w:trHeight w:val="200"/>
        </w:trPr>
        <w:tc>
          <w:tcPr>
            <w:tcW w:w="55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31,081</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24,986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83,210</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60,728</w:t>
            </w:r>
          </w:p>
        </w:tc>
      </w:tr>
      <w:tr>
        <w:trPr>
          <w:trHeight w:val="220"/>
        </w:trPr>
        <w:tc>
          <w:tcPr>
            <w:tcW w:w="5500" w:type="dxa"/>
            <w:vAlign w:val="bottom"/>
            <w:gridSpan w:val="2"/>
          </w:tcPr>
          <w:p>
            <w:pPr>
              <w:ind w:left="20"/>
              <w:spacing w:after="0"/>
              <w:rPr>
                <w:sz w:val="20"/>
                <w:szCs w:val="20"/>
                <w:color w:val="auto"/>
              </w:rPr>
            </w:pPr>
            <w:r>
              <w:rPr>
                <w:rFonts w:ascii="Arial" w:cs="Arial" w:eastAsia="Arial" w:hAnsi="Arial"/>
                <w:sz w:val="17"/>
                <w:szCs w:val="17"/>
                <w:color w:val="auto"/>
              </w:rPr>
              <w:t>Other comprehensive (loss) income, net of tax:</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168"/>
        </w:trPr>
        <w:tc>
          <w:tcPr>
            <w:tcW w:w="5500" w:type="dxa"/>
            <w:vAlign w:val="bottom"/>
            <w:gridSpan w:val="2"/>
            <w:shd w:val="clear" w:color="auto" w:fill="CCEEFF"/>
          </w:tcPr>
          <w:p>
            <w:pPr>
              <w:ind w:left="140"/>
              <w:spacing w:after="0" w:line="168" w:lineRule="exact"/>
              <w:rPr>
                <w:sz w:val="20"/>
                <w:szCs w:val="20"/>
                <w:color w:val="auto"/>
              </w:rPr>
            </w:pPr>
            <w:r>
              <w:rPr>
                <w:rFonts w:ascii="Arial" w:cs="Arial" w:eastAsia="Arial" w:hAnsi="Arial"/>
                <w:sz w:val="17"/>
                <w:szCs w:val="17"/>
                <w:color w:val="auto"/>
                <w:w w:val="94"/>
              </w:rPr>
              <w:t>Cash flow hedge adjustments, net of taxes of $259 and $(321) for the three</w:t>
            </w: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68"/>
        </w:trPr>
        <w:tc>
          <w:tcPr>
            <w:tcW w:w="5500" w:type="dxa"/>
            <w:vAlign w:val="bottom"/>
            <w:gridSpan w:val="2"/>
            <w:shd w:val="clear" w:color="auto" w:fill="CCEEFF"/>
          </w:tcPr>
          <w:p>
            <w:pPr>
              <w:ind w:left="140"/>
              <w:spacing w:after="0" w:line="168" w:lineRule="exact"/>
              <w:rPr>
                <w:sz w:val="20"/>
                <w:szCs w:val="20"/>
                <w:color w:val="auto"/>
              </w:rPr>
            </w:pPr>
            <w:r>
              <w:rPr>
                <w:rFonts w:ascii="Arial" w:cs="Arial" w:eastAsia="Arial" w:hAnsi="Arial"/>
                <w:sz w:val="17"/>
                <w:szCs w:val="17"/>
                <w:color w:val="auto"/>
                <w:w w:val="96"/>
              </w:rPr>
              <w:t>months ended September 30, 2021 and 2020, respectively, and $668 and</w:t>
            </w: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219"/>
        </w:trPr>
        <w:tc>
          <w:tcPr>
            <w:tcW w:w="55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w w:val="93"/>
              </w:rPr>
              <w:t>$256 for the nine months ended September 30, 2021 and 2020, respectively</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(810)</w:t>
            </w:r>
          </w:p>
        </w:tc>
      </w:tr>
      <w:tr>
        <w:trPr>
          <w:trHeight w:val="220"/>
        </w:trPr>
        <w:tc>
          <w:tcPr>
            <w:tcW w:w="5500" w:type="dxa"/>
            <w:vAlign w:val="bottom"/>
            <w:gridSpan w:val="2"/>
          </w:tcPr>
          <w:p>
            <w:pPr>
              <w:ind w:left="140"/>
              <w:spacing w:after="0"/>
              <w:rPr>
                <w:sz w:val="20"/>
                <w:szCs w:val="20"/>
                <w:color w:val="auto"/>
              </w:rPr>
            </w:pPr>
            <w:r>
              <w:rPr>
                <w:rFonts w:ascii="Arial" w:cs="Arial" w:eastAsia="Arial" w:hAnsi="Arial"/>
                <w:sz w:val="17"/>
                <w:szCs w:val="17"/>
                <w:color w:val="auto"/>
                <w:w w:val="97"/>
              </w:rPr>
              <w:t>Foreign currency translation adjustment, net of taxes of $0 for all periods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(5,360)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6,626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(11,516)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754</w:t>
            </w:r>
          </w:p>
        </w:tc>
      </w:tr>
      <w:tr>
        <w:trPr>
          <w:trHeight w:val="220"/>
        </w:trPr>
        <w:tc>
          <w:tcPr>
            <w:tcW w:w="55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Other adjustments, net of taxes of $0 for all periods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w:t>
            </w:r>
          </w:p>
        </w:tc>
      </w:tr>
      <w:tr>
        <w:trPr>
          <w:trHeight w:val="200"/>
        </w:trPr>
        <w:tc>
          <w:tcPr>
            <w:tcW w:w="550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Other comprehensive (loss) income, net of taxes</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(6,167)</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7,645</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(13,596)</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w:t>
            </w:r>
          </w:p>
        </w:tc>
      </w:tr>
      <w:tr>
        <w:trPr>
          <w:trHeight w:val="225"/>
        </w:trPr>
        <w:tc>
          <w:tcPr>
            <w:tcW w:w="5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TOTAL COMPREHENSIVE INCOME</w:t>
            </w: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24,914</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32,631</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69,614</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60,597</w:t>
            </w:r>
          </w:p>
        </w:tc>
      </w:tr>
      <w:tr>
        <w:trPr>
          <w:trHeight w:val="20"/>
        </w:trPr>
        <w:tc>
          <w:tcPr>
            <w:tcW w:w="1220" w:type="dxa"/>
            <w:vAlign w:val="bottom"/>
            <w:tcBorders>
              <w:top w:val="single" w:sz="8" w:color="CCEEFF"/>
            </w:tcBorders>
          </w:tcPr>
          <w:p>
            <w:pPr>
              <w:spacing w:after="0" w:line="20" w:lineRule="exact"/>
              <w:rPr>
                <w:sz w:val="1"/>
                <w:szCs w:val="1"/>
                <w:color w:val="auto"/>
              </w:rPr>
            </w:pPr>
          </w:p>
        </w:tc>
        <w:tc>
          <w:tcPr>
            <w:tcW w:w="4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 w:name="page6"/>
    <w:bookmarkEnd w:id="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ICU MEDICAL, INC. AND SUBSIDIARIES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CONDENSED CONSOLIDATED STATEMENTS OF STOCKHOLDERS’ EQUITY (Unaudited)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(Amounts in thousands)</w:t>
      </w:r>
    </w:p>
    <w:p>
      <w:pPr>
        <w:spacing w:after="0" w:line="200" w:lineRule="exact"/>
        <w:rPr>
          <w:sz w:val="20"/>
          <w:szCs w:val="20"/>
          <w:color w:val="auto"/>
        </w:rPr>
      </w:pPr>
    </w:p>
    <w:p>
      <w:pPr>
        <w:spacing w:after="0" w:line="274" w:lineRule="exact"/>
        <w:rPr>
          <w:sz w:val="20"/>
          <w:szCs w:val="20"/>
          <w:color w:val="auto"/>
        </w:rPr>
      </w:pPr>
    </w:p>
    <w:tbl>
      <w:tblPr>
        <w:tblLayout w:type="fixed"/>
        <w:tblInd w:w="20" w:type="dxa"/>
        <w:tblCellMar>
          <w:top w:w="0" w:type="dxa"/>
          <w:left w:w="0" w:type="dxa"/>
          <w:bottom w:w="0" w:type="dxa"/>
          <w:right w:w="0" w:type="dxa"/>
        </w:tblCellMar>
      </w:tblPr>
      <w:tr>
        <w:trPr>
          <w:trHeight w:val="183"/>
        </w:trPr>
        <w:tc>
          <w:tcPr>
            <w:tcW w:w="4420" w:type="dxa"/>
            <w:vAlign w:val="bottom"/>
          </w:tcPr>
          <w:p>
            <w:pPr>
              <w:spacing w:after="0"/>
              <w:rPr>
                <w:sz w:val="15"/>
                <w:szCs w:val="15"/>
                <w:color w:val="auto"/>
              </w:rPr>
            </w:pPr>
          </w:p>
        </w:tc>
        <w:tc>
          <w:tcPr>
            <w:tcW w:w="1720" w:type="dxa"/>
            <w:vAlign w:val="bottom"/>
            <w:gridSpan w:val="5"/>
          </w:tcPr>
          <w:p>
            <w:pPr>
              <w:ind w:left="38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6"/>
        </w:trPr>
        <w:tc>
          <w:tcPr>
            <w:tcW w:w="4420" w:type="dxa"/>
            <w:vAlign w:val="bottom"/>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Additional</w:t>
            </w: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tcPr>
          <w:p>
            <w:pPr>
              <w:jc w:val="center"/>
              <w:ind w:right="160"/>
              <w:spacing w:after="0" w:line="116" w:lineRule="exact"/>
              <w:rPr>
                <w:sz w:val="20"/>
                <w:szCs w:val="20"/>
                <w:color w:val="auto"/>
              </w:rPr>
            </w:pPr>
            <w:r>
              <w:rPr>
                <w:rFonts w:ascii="Arial" w:cs="Arial" w:eastAsia="Arial" w:hAnsi="Arial"/>
                <w:sz w:val="13"/>
                <w:szCs w:val="13"/>
                <w:b w:val="1"/>
                <w:bCs w:val="1"/>
                <w:color w:val="auto"/>
                <w:w w:val="95"/>
              </w:rPr>
              <w:t>Accumulated</w:t>
            </w: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4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7"/>
              </w:rPr>
              <w:t>Treasury</w:t>
            </w:r>
          </w:p>
        </w:tc>
        <w:tc>
          <w:tcPr>
            <w:tcW w:w="120" w:type="dxa"/>
            <w:vAlign w:val="bottom"/>
          </w:tcPr>
          <w:p>
            <w:pPr>
              <w:spacing w:after="0"/>
              <w:rPr>
                <w:sz w:val="11"/>
                <w:szCs w:val="11"/>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11"/>
                <w:szCs w:val="11"/>
                <w:color w:val="auto"/>
              </w:rPr>
            </w:pPr>
          </w:p>
        </w:tc>
        <w:tc>
          <w:tcPr>
            <w:tcW w:w="110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420" w:type="dxa"/>
            <w:vAlign w:val="bottom"/>
          </w:tcPr>
          <w:p>
            <w:pPr>
              <w:spacing w:after="0"/>
              <w:rPr>
                <w:sz w:val="11"/>
                <w:szCs w:val="11"/>
                <w:color w:val="auto"/>
              </w:rPr>
            </w:pPr>
          </w:p>
        </w:tc>
        <w:tc>
          <w:tcPr>
            <w:tcW w:w="102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Shares</w:t>
            </w:r>
          </w:p>
        </w:tc>
        <w:tc>
          <w:tcPr>
            <w:tcW w:w="7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1"/>
                <w:szCs w:val="11"/>
                <w:color w:val="auto"/>
              </w:rPr>
            </w:pPr>
          </w:p>
        </w:tc>
        <w:tc>
          <w:tcPr>
            <w:tcW w:w="96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9"/>
              </w:rPr>
              <w:t>Paid-in</w:t>
            </w:r>
          </w:p>
        </w:tc>
        <w:tc>
          <w:tcPr>
            <w:tcW w:w="14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7"/>
              </w:rPr>
              <w:t>Comprehensive</w:t>
            </w:r>
          </w:p>
        </w:tc>
        <w:tc>
          <w:tcPr>
            <w:tcW w:w="160" w:type="dxa"/>
            <w:vAlign w:val="bottom"/>
          </w:tcPr>
          <w:p>
            <w:pPr>
              <w:spacing w:after="0"/>
              <w:rPr>
                <w:sz w:val="11"/>
                <w:szCs w:val="11"/>
                <w:color w:val="auto"/>
              </w:rPr>
            </w:pPr>
          </w:p>
        </w:tc>
        <w:tc>
          <w:tcPr>
            <w:tcW w:w="68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0"/>
        </w:trPr>
        <w:tc>
          <w:tcPr>
            <w:tcW w:w="442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70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Capital</w:t>
            </w:r>
          </w:p>
        </w:tc>
        <w:tc>
          <w:tcPr>
            <w:tcW w:w="140" w:type="dxa"/>
            <w:vAlign w:val="bottom"/>
          </w:tcPr>
          <w:p>
            <w:pPr>
              <w:spacing w:after="0"/>
              <w:rPr>
                <w:sz w:val="15"/>
                <w:szCs w:val="15"/>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3"/>
              </w:rPr>
              <w:t>Stock</w:t>
            </w:r>
          </w:p>
        </w:tc>
        <w:tc>
          <w:tcPr>
            <w:tcW w:w="120" w:type="dxa"/>
            <w:vAlign w:val="bottom"/>
          </w:tcPr>
          <w:p>
            <w:pPr>
              <w:spacing w:after="0"/>
              <w:rPr>
                <w:sz w:val="15"/>
                <w:szCs w:val="15"/>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5"/>
                <w:szCs w:val="15"/>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79"/>
              </w:rPr>
              <w:t>Loss</w:t>
            </w:r>
          </w:p>
        </w:tc>
        <w:tc>
          <w:tcPr>
            <w:tcW w:w="1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42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4"/>
                <w:szCs w:val="14"/>
                <w:b w:val="1"/>
                <w:bCs w:val="1"/>
                <w:color w:val="auto"/>
              </w:rPr>
              <w:t>Balance, January 1, 2021</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21,058</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b w:val="1"/>
                <w:bCs w:val="1"/>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2,106</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693,068</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(39)</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808,652</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(1,522)</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6"/>
              </w:rPr>
              <w:t>1,502,265</w:t>
            </w:r>
          </w:p>
        </w:tc>
        <w:tc>
          <w:tcPr>
            <w:tcW w:w="0" w:type="dxa"/>
            <w:vAlign w:val="bottom"/>
          </w:tcPr>
          <w:p>
            <w:pPr>
              <w:spacing w:after="0"/>
              <w:rPr>
                <w:sz w:val="1"/>
                <w:szCs w:val="1"/>
                <w:color w:val="auto"/>
              </w:rPr>
            </w:pPr>
          </w:p>
        </w:tc>
      </w:tr>
      <w:tr>
        <w:trPr>
          <w:trHeight w:val="178"/>
        </w:trPr>
        <w:tc>
          <w:tcPr>
            <w:tcW w:w="4420" w:type="dxa"/>
            <w:vAlign w:val="bottom"/>
          </w:tcPr>
          <w:p>
            <w:pPr>
              <w:ind w:left="20"/>
              <w:spacing w:after="0"/>
              <w:rPr>
                <w:sz w:val="20"/>
                <w:szCs w:val="20"/>
                <w:color w:val="auto"/>
              </w:rPr>
            </w:pPr>
            <w:r>
              <w:rPr>
                <w:rFonts w:ascii="Arial" w:cs="Arial" w:eastAsia="Arial" w:hAnsi="Arial"/>
                <w:sz w:val="14"/>
                <w:szCs w:val="14"/>
                <w:color w:val="auto"/>
              </w:rPr>
              <w:t>Issuance of restricted stock and exercise of stock options</w:t>
            </w:r>
          </w:p>
        </w:tc>
        <w:tc>
          <w:tcPr>
            <w:tcW w:w="920" w:type="dxa"/>
            <w:vAlign w:val="bottom"/>
          </w:tcPr>
          <w:p>
            <w:pPr>
              <w:jc w:val="right"/>
              <w:spacing w:after="0"/>
              <w:rPr>
                <w:sz w:val="20"/>
                <w:szCs w:val="20"/>
                <w:color w:val="auto"/>
              </w:rPr>
            </w:pPr>
            <w:r>
              <w:rPr>
                <w:rFonts w:ascii="Arial" w:cs="Arial" w:eastAsia="Arial" w:hAnsi="Arial"/>
                <w:sz w:val="14"/>
                <w:szCs w:val="14"/>
                <w:color w:val="auto"/>
              </w:rPr>
              <w:t>198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16</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2,496</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2,352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4,864</w:t>
            </w:r>
          </w:p>
        </w:tc>
        <w:tc>
          <w:tcPr>
            <w:tcW w:w="0" w:type="dxa"/>
            <w:vAlign w:val="bottom"/>
          </w:tcPr>
          <w:p>
            <w:pPr>
              <w:spacing w:after="0"/>
              <w:rPr>
                <w:sz w:val="1"/>
                <w:szCs w:val="1"/>
                <w:color w:val="auto"/>
              </w:rPr>
            </w:pPr>
          </w:p>
        </w:tc>
      </w:tr>
      <w:tr>
        <w:trPr>
          <w:trHeight w:val="184"/>
        </w:trPr>
        <w:tc>
          <w:tcPr>
            <w:tcW w:w="4420" w:type="dxa"/>
            <w:vAlign w:val="bottom"/>
            <w:shd w:val="clear" w:color="auto" w:fill="CCEEFF"/>
          </w:tcPr>
          <w:p>
            <w:pPr>
              <w:ind w:left="20"/>
              <w:spacing w:after="0"/>
              <w:rPr>
                <w:sz w:val="20"/>
                <w:szCs w:val="20"/>
                <w:color w:val="auto"/>
              </w:rPr>
            </w:pPr>
            <w:r>
              <w:rPr>
                <w:rFonts w:ascii="Arial" w:cs="Arial" w:eastAsia="Arial" w:hAnsi="Arial"/>
                <w:sz w:val="14"/>
                <w:szCs w:val="14"/>
                <w:color w:val="auto"/>
                <w:w w:val="95"/>
              </w:rPr>
              <w:t>Tax withholding payments related to net share settlement of equity awards</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(7,723)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(7,723)</w:t>
            </w:r>
          </w:p>
        </w:tc>
        <w:tc>
          <w:tcPr>
            <w:tcW w:w="0" w:type="dxa"/>
            <w:vAlign w:val="bottom"/>
          </w:tcPr>
          <w:p>
            <w:pPr>
              <w:spacing w:after="0"/>
              <w:rPr>
                <w:sz w:val="1"/>
                <w:szCs w:val="1"/>
                <w:color w:val="auto"/>
              </w:rPr>
            </w:pPr>
          </w:p>
        </w:tc>
      </w:tr>
      <w:tr>
        <w:trPr>
          <w:trHeight w:val="178"/>
        </w:trPr>
        <w:tc>
          <w:tcPr>
            <w:tcW w:w="4420" w:type="dxa"/>
            <w:vAlign w:val="bottom"/>
          </w:tcPr>
          <w:p>
            <w:pPr>
              <w:ind w:left="20"/>
              <w:spacing w:after="0"/>
              <w:rPr>
                <w:sz w:val="20"/>
                <w:szCs w:val="20"/>
                <w:color w:val="auto"/>
              </w:rPr>
            </w:pPr>
            <w:r>
              <w:rPr>
                <w:rFonts w:ascii="Arial" w:cs="Arial" w:eastAsia="Arial" w:hAnsi="Arial"/>
                <w:sz w:val="14"/>
                <w:szCs w:val="14"/>
                <w:color w:val="auto"/>
              </w:rPr>
              <w:t>Stock compensation</w:t>
            </w: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6,022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6,022</w:t>
            </w:r>
          </w:p>
        </w:tc>
        <w:tc>
          <w:tcPr>
            <w:tcW w:w="0" w:type="dxa"/>
            <w:vAlign w:val="bottom"/>
          </w:tcPr>
          <w:p>
            <w:pPr>
              <w:spacing w:after="0"/>
              <w:rPr>
                <w:sz w:val="1"/>
                <w:szCs w:val="1"/>
                <w:color w:val="auto"/>
              </w:rPr>
            </w:pPr>
          </w:p>
        </w:tc>
      </w:tr>
      <w:tr>
        <w:trPr>
          <w:trHeight w:val="184"/>
        </w:trPr>
        <w:tc>
          <w:tcPr>
            <w:tcW w:w="4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loss, net of tax</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(8,391)</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(8,391)</w:t>
            </w:r>
          </w:p>
        </w:tc>
        <w:tc>
          <w:tcPr>
            <w:tcW w:w="0" w:type="dxa"/>
            <w:vAlign w:val="bottom"/>
          </w:tcPr>
          <w:p>
            <w:pPr>
              <w:spacing w:after="0"/>
              <w:rPr>
                <w:sz w:val="1"/>
                <w:szCs w:val="1"/>
                <w:color w:val="auto"/>
              </w:rPr>
            </w:pPr>
          </w:p>
        </w:tc>
      </w:tr>
      <w:tr>
        <w:trPr>
          <w:trHeight w:val="178"/>
        </w:trPr>
        <w:tc>
          <w:tcPr>
            <w:tcW w:w="442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23,731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23,731</w:t>
            </w:r>
          </w:p>
        </w:tc>
        <w:tc>
          <w:tcPr>
            <w:tcW w:w="0" w:type="dxa"/>
            <w:vAlign w:val="bottom"/>
          </w:tcPr>
          <w:p>
            <w:pPr>
              <w:spacing w:after="0"/>
              <w:rPr>
                <w:sz w:val="1"/>
                <w:szCs w:val="1"/>
                <w:color w:val="auto"/>
              </w:rPr>
            </w:pPr>
          </w:p>
        </w:tc>
      </w:tr>
      <w:tr>
        <w:trPr>
          <w:trHeight w:val="177"/>
        </w:trPr>
        <w:tc>
          <w:tcPr>
            <w:tcW w:w="442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4"/>
                <w:szCs w:val="14"/>
                <w:b w:val="1"/>
                <w:bCs w:val="1"/>
                <w:color w:val="auto"/>
              </w:rPr>
              <w:t>Balance, March 31, 2021</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21,219</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b w:val="1"/>
                <w:bCs w:val="1"/>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2,122</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701,586</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(5,410)</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832,383</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(9,913)</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6"/>
              </w:rPr>
              <w:t>1,520,768</w:t>
            </w:r>
          </w:p>
        </w:tc>
        <w:tc>
          <w:tcPr>
            <w:tcW w:w="0" w:type="dxa"/>
            <w:vAlign w:val="bottom"/>
          </w:tcPr>
          <w:p>
            <w:pPr>
              <w:spacing w:after="0"/>
              <w:rPr>
                <w:sz w:val="1"/>
                <w:szCs w:val="1"/>
                <w:color w:val="auto"/>
              </w:rPr>
            </w:pPr>
          </w:p>
        </w:tc>
      </w:tr>
      <w:tr>
        <w:trPr>
          <w:trHeight w:val="178"/>
        </w:trPr>
        <w:tc>
          <w:tcPr>
            <w:tcW w:w="4420" w:type="dxa"/>
            <w:vAlign w:val="bottom"/>
          </w:tcPr>
          <w:p>
            <w:pPr>
              <w:ind w:left="20"/>
              <w:spacing w:after="0"/>
              <w:rPr>
                <w:sz w:val="20"/>
                <w:szCs w:val="20"/>
                <w:color w:val="auto"/>
              </w:rPr>
            </w:pPr>
            <w:r>
              <w:rPr>
                <w:rFonts w:ascii="Arial" w:cs="Arial" w:eastAsia="Arial" w:hAnsi="Arial"/>
                <w:sz w:val="14"/>
                <w:szCs w:val="14"/>
                <w:color w:val="auto"/>
              </w:rPr>
              <w:t>Issuance of restricted stock and exercise of stock options</w:t>
            </w: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(2,685)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3,237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552</w:t>
            </w:r>
          </w:p>
        </w:tc>
        <w:tc>
          <w:tcPr>
            <w:tcW w:w="0" w:type="dxa"/>
            <w:vAlign w:val="bottom"/>
          </w:tcPr>
          <w:p>
            <w:pPr>
              <w:spacing w:after="0"/>
              <w:rPr>
                <w:sz w:val="1"/>
                <w:szCs w:val="1"/>
                <w:color w:val="auto"/>
              </w:rPr>
            </w:pPr>
          </w:p>
        </w:tc>
      </w:tr>
      <w:tr>
        <w:trPr>
          <w:trHeight w:val="184"/>
        </w:trPr>
        <w:tc>
          <w:tcPr>
            <w:tcW w:w="4420" w:type="dxa"/>
            <w:vAlign w:val="bottom"/>
            <w:shd w:val="clear" w:color="auto" w:fill="CCEEFF"/>
          </w:tcPr>
          <w:p>
            <w:pPr>
              <w:ind w:left="20"/>
              <w:spacing w:after="0"/>
              <w:rPr>
                <w:sz w:val="20"/>
                <w:szCs w:val="20"/>
                <w:color w:val="auto"/>
              </w:rPr>
            </w:pPr>
            <w:r>
              <w:rPr>
                <w:rFonts w:ascii="Arial" w:cs="Arial" w:eastAsia="Arial" w:hAnsi="Arial"/>
                <w:sz w:val="14"/>
                <w:szCs w:val="14"/>
                <w:color w:val="auto"/>
                <w:w w:val="95"/>
              </w:rPr>
              <w:t>Tax withholding payments related to net share settlement of equity awards</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178"/>
        </w:trPr>
        <w:tc>
          <w:tcPr>
            <w:tcW w:w="4420" w:type="dxa"/>
            <w:vAlign w:val="bottom"/>
          </w:tcPr>
          <w:p>
            <w:pPr>
              <w:ind w:left="20"/>
              <w:spacing w:after="0"/>
              <w:rPr>
                <w:sz w:val="20"/>
                <w:szCs w:val="20"/>
                <w:color w:val="auto"/>
              </w:rPr>
            </w:pPr>
            <w:r>
              <w:rPr>
                <w:rFonts w:ascii="Arial" w:cs="Arial" w:eastAsia="Arial" w:hAnsi="Arial"/>
                <w:sz w:val="14"/>
                <w:szCs w:val="14"/>
                <w:color w:val="auto"/>
              </w:rPr>
              <w:t>Stock compensation</w:t>
            </w: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6,681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6,681</w:t>
            </w:r>
          </w:p>
        </w:tc>
        <w:tc>
          <w:tcPr>
            <w:tcW w:w="0" w:type="dxa"/>
            <w:vAlign w:val="bottom"/>
          </w:tcPr>
          <w:p>
            <w:pPr>
              <w:spacing w:after="0"/>
              <w:rPr>
                <w:sz w:val="1"/>
                <w:szCs w:val="1"/>
                <w:color w:val="auto"/>
              </w:rPr>
            </w:pPr>
          </w:p>
        </w:tc>
      </w:tr>
      <w:tr>
        <w:trPr>
          <w:trHeight w:val="184"/>
        </w:trPr>
        <w:tc>
          <w:tcPr>
            <w:tcW w:w="4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 net of tax</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962</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962</w:t>
            </w:r>
          </w:p>
        </w:tc>
        <w:tc>
          <w:tcPr>
            <w:tcW w:w="0" w:type="dxa"/>
            <w:vAlign w:val="bottom"/>
          </w:tcPr>
          <w:p>
            <w:pPr>
              <w:spacing w:after="0"/>
              <w:rPr>
                <w:sz w:val="1"/>
                <w:szCs w:val="1"/>
                <w:color w:val="auto"/>
              </w:rPr>
            </w:pPr>
          </w:p>
        </w:tc>
      </w:tr>
      <w:tr>
        <w:trPr>
          <w:trHeight w:val="178"/>
        </w:trPr>
        <w:tc>
          <w:tcPr>
            <w:tcW w:w="442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28,398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28,398</w:t>
            </w:r>
          </w:p>
        </w:tc>
        <w:tc>
          <w:tcPr>
            <w:tcW w:w="0" w:type="dxa"/>
            <w:vAlign w:val="bottom"/>
          </w:tcPr>
          <w:p>
            <w:pPr>
              <w:spacing w:after="0"/>
              <w:rPr>
                <w:sz w:val="1"/>
                <w:szCs w:val="1"/>
                <w:color w:val="auto"/>
              </w:rPr>
            </w:pPr>
          </w:p>
        </w:tc>
      </w:tr>
      <w:tr>
        <w:trPr>
          <w:trHeight w:val="177"/>
        </w:trPr>
        <w:tc>
          <w:tcPr>
            <w:tcW w:w="442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4"/>
                <w:szCs w:val="14"/>
                <w:b w:val="1"/>
                <w:bCs w:val="1"/>
                <w:color w:val="auto"/>
              </w:rPr>
              <w:t>Balance, June 30, 2021</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21,219</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b w:val="1"/>
                <w:bCs w:val="1"/>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2,122</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705,582</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(2,269)</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860,781</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(8,951)</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6"/>
              </w:rPr>
              <w:t>1,557,265</w:t>
            </w:r>
          </w:p>
        </w:tc>
        <w:tc>
          <w:tcPr>
            <w:tcW w:w="0" w:type="dxa"/>
            <w:vAlign w:val="bottom"/>
          </w:tcPr>
          <w:p>
            <w:pPr>
              <w:spacing w:after="0"/>
              <w:rPr>
                <w:sz w:val="1"/>
                <w:szCs w:val="1"/>
                <w:color w:val="auto"/>
              </w:rPr>
            </w:pPr>
          </w:p>
        </w:tc>
      </w:tr>
      <w:tr>
        <w:trPr>
          <w:trHeight w:val="178"/>
        </w:trPr>
        <w:tc>
          <w:tcPr>
            <w:tcW w:w="4420" w:type="dxa"/>
            <w:vAlign w:val="bottom"/>
          </w:tcPr>
          <w:p>
            <w:pPr>
              <w:ind w:left="20"/>
              <w:spacing w:after="0"/>
              <w:rPr>
                <w:sz w:val="20"/>
                <w:szCs w:val="20"/>
                <w:color w:val="auto"/>
              </w:rPr>
            </w:pPr>
            <w:r>
              <w:rPr>
                <w:rFonts w:ascii="Arial" w:cs="Arial" w:eastAsia="Arial" w:hAnsi="Arial"/>
                <w:sz w:val="14"/>
                <w:szCs w:val="14"/>
                <w:color w:val="auto"/>
              </w:rPr>
              <w:t>Issuance of restricted stock and exercise of stock options</w:t>
            </w:r>
          </w:p>
        </w:tc>
        <w:tc>
          <w:tcPr>
            <w:tcW w:w="92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(963)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2,511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1,550</w:t>
            </w:r>
          </w:p>
        </w:tc>
        <w:tc>
          <w:tcPr>
            <w:tcW w:w="0" w:type="dxa"/>
            <w:vAlign w:val="bottom"/>
          </w:tcPr>
          <w:p>
            <w:pPr>
              <w:spacing w:after="0"/>
              <w:rPr>
                <w:sz w:val="1"/>
                <w:szCs w:val="1"/>
                <w:color w:val="auto"/>
              </w:rPr>
            </w:pPr>
          </w:p>
        </w:tc>
      </w:tr>
      <w:tr>
        <w:trPr>
          <w:trHeight w:val="184"/>
        </w:trPr>
        <w:tc>
          <w:tcPr>
            <w:tcW w:w="4420" w:type="dxa"/>
            <w:vAlign w:val="bottom"/>
            <w:shd w:val="clear" w:color="auto" w:fill="CCEEFF"/>
          </w:tcPr>
          <w:p>
            <w:pPr>
              <w:ind w:left="20"/>
              <w:spacing w:after="0"/>
              <w:rPr>
                <w:sz w:val="20"/>
                <w:szCs w:val="20"/>
                <w:color w:val="auto"/>
              </w:rPr>
            </w:pPr>
            <w:r>
              <w:rPr>
                <w:rFonts w:ascii="Arial" w:cs="Arial" w:eastAsia="Arial" w:hAnsi="Arial"/>
                <w:sz w:val="14"/>
                <w:szCs w:val="14"/>
                <w:color w:val="auto"/>
                <w:w w:val="95"/>
              </w:rPr>
              <w:t>Tax withholding payments related to net share settlement of equity awards</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w:t>
            </w:r>
          </w:p>
        </w:tc>
        <w:tc>
          <w:tcPr>
            <w:tcW w:w="0" w:type="dxa"/>
            <w:vAlign w:val="bottom"/>
          </w:tcPr>
          <w:p>
            <w:pPr>
              <w:spacing w:after="0"/>
              <w:rPr>
                <w:sz w:val="1"/>
                <w:szCs w:val="1"/>
                <w:color w:val="auto"/>
              </w:rPr>
            </w:pPr>
          </w:p>
        </w:tc>
      </w:tr>
      <w:tr>
        <w:trPr>
          <w:trHeight w:val="178"/>
        </w:trPr>
        <w:tc>
          <w:tcPr>
            <w:tcW w:w="4420" w:type="dxa"/>
            <w:vAlign w:val="bottom"/>
          </w:tcPr>
          <w:p>
            <w:pPr>
              <w:ind w:left="20"/>
              <w:spacing w:after="0"/>
              <w:rPr>
                <w:sz w:val="20"/>
                <w:szCs w:val="20"/>
                <w:color w:val="auto"/>
              </w:rPr>
            </w:pPr>
            <w:r>
              <w:rPr>
                <w:rFonts w:ascii="Arial" w:cs="Arial" w:eastAsia="Arial" w:hAnsi="Arial"/>
                <w:sz w:val="14"/>
                <w:szCs w:val="14"/>
                <w:color w:val="auto"/>
              </w:rPr>
              <w:t>Stock compensation</w:t>
            </w: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6,533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6,533</w:t>
            </w:r>
          </w:p>
        </w:tc>
        <w:tc>
          <w:tcPr>
            <w:tcW w:w="0" w:type="dxa"/>
            <w:vAlign w:val="bottom"/>
          </w:tcPr>
          <w:p>
            <w:pPr>
              <w:spacing w:after="0"/>
              <w:rPr>
                <w:sz w:val="1"/>
                <w:szCs w:val="1"/>
                <w:color w:val="auto"/>
              </w:rPr>
            </w:pPr>
          </w:p>
        </w:tc>
      </w:tr>
      <w:tr>
        <w:trPr>
          <w:trHeight w:val="184"/>
        </w:trPr>
        <w:tc>
          <w:tcPr>
            <w:tcW w:w="4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loss, net of tax</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(6,167)</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(6,167)</w:t>
            </w:r>
          </w:p>
        </w:tc>
        <w:tc>
          <w:tcPr>
            <w:tcW w:w="0" w:type="dxa"/>
            <w:vAlign w:val="bottom"/>
          </w:tcPr>
          <w:p>
            <w:pPr>
              <w:spacing w:after="0"/>
              <w:rPr>
                <w:sz w:val="1"/>
                <w:szCs w:val="1"/>
                <w:color w:val="auto"/>
              </w:rPr>
            </w:pPr>
          </w:p>
        </w:tc>
      </w:tr>
      <w:tr>
        <w:trPr>
          <w:trHeight w:val="178"/>
        </w:trPr>
        <w:tc>
          <w:tcPr>
            <w:tcW w:w="442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31,081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31,081</w:t>
            </w:r>
          </w:p>
        </w:tc>
        <w:tc>
          <w:tcPr>
            <w:tcW w:w="0" w:type="dxa"/>
            <w:vAlign w:val="bottom"/>
          </w:tcPr>
          <w:p>
            <w:pPr>
              <w:spacing w:after="0"/>
              <w:rPr>
                <w:sz w:val="1"/>
                <w:szCs w:val="1"/>
                <w:color w:val="auto"/>
              </w:rPr>
            </w:pPr>
          </w:p>
        </w:tc>
      </w:tr>
      <w:tr>
        <w:trPr>
          <w:trHeight w:val="202"/>
        </w:trPr>
        <w:tc>
          <w:tcPr>
            <w:tcW w:w="442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4"/>
                <w:szCs w:val="14"/>
                <w:b w:val="1"/>
                <w:bCs w:val="1"/>
                <w:color w:val="auto"/>
              </w:rPr>
              <w:t>Balance, September 30, 2021</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21,238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b w:val="1"/>
                <w:bCs w:val="1"/>
                <w:color w:val="auto"/>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2,124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711,152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891,862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(15,118)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6"/>
              </w:rPr>
              <w:t>1,589,972</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 w:name="page7"/>
    <w:bookmarkEnd w:id="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70" w:lineRule="exact"/>
        <w:rPr>
          <w:sz w:val="20"/>
          <w:szCs w:val="20"/>
          <w:color w:val="auto"/>
        </w:rPr>
      </w:pPr>
    </w:p>
    <w:tbl>
      <w:tblPr>
        <w:tblLayout w:type="fixed"/>
        <w:tblInd w:w="20" w:type="dxa"/>
        <w:tblCellMar>
          <w:top w:w="0" w:type="dxa"/>
          <w:left w:w="0" w:type="dxa"/>
          <w:bottom w:w="0" w:type="dxa"/>
          <w:right w:w="0" w:type="dxa"/>
        </w:tblCellMar>
      </w:tblPr>
      <w:tr>
        <w:trPr>
          <w:trHeight w:val="183"/>
        </w:trPr>
        <w:tc>
          <w:tcPr>
            <w:tcW w:w="4420" w:type="dxa"/>
            <w:vAlign w:val="bottom"/>
          </w:tcPr>
          <w:p>
            <w:pPr>
              <w:spacing w:after="0"/>
              <w:rPr>
                <w:sz w:val="15"/>
                <w:szCs w:val="15"/>
                <w:color w:val="auto"/>
              </w:rPr>
            </w:pPr>
          </w:p>
        </w:tc>
        <w:tc>
          <w:tcPr>
            <w:tcW w:w="1720" w:type="dxa"/>
            <w:vAlign w:val="bottom"/>
            <w:gridSpan w:val="5"/>
          </w:tcPr>
          <w:p>
            <w:pPr>
              <w:ind w:left="36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6"/>
        </w:trPr>
        <w:tc>
          <w:tcPr>
            <w:tcW w:w="4420" w:type="dxa"/>
            <w:vAlign w:val="bottom"/>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Additional</w:t>
            </w: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tcPr>
          <w:p>
            <w:pPr>
              <w:jc w:val="center"/>
              <w:ind w:right="160"/>
              <w:spacing w:after="0" w:line="116" w:lineRule="exact"/>
              <w:rPr>
                <w:sz w:val="20"/>
                <w:szCs w:val="20"/>
                <w:color w:val="auto"/>
              </w:rPr>
            </w:pPr>
            <w:r>
              <w:rPr>
                <w:rFonts w:ascii="Arial" w:cs="Arial" w:eastAsia="Arial" w:hAnsi="Arial"/>
                <w:sz w:val="13"/>
                <w:szCs w:val="13"/>
                <w:b w:val="1"/>
                <w:bCs w:val="1"/>
                <w:color w:val="auto"/>
                <w:w w:val="95"/>
              </w:rPr>
              <w:t>Accumulated</w:t>
            </w: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4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1"/>
              </w:rPr>
              <w:t>Treasury</w:t>
            </w:r>
          </w:p>
        </w:tc>
        <w:tc>
          <w:tcPr>
            <w:tcW w:w="140" w:type="dxa"/>
            <w:vAlign w:val="bottom"/>
          </w:tcPr>
          <w:p>
            <w:pPr>
              <w:spacing w:after="0"/>
              <w:rPr>
                <w:sz w:val="11"/>
                <w:szCs w:val="11"/>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11"/>
                <w:szCs w:val="11"/>
                <w:color w:val="auto"/>
              </w:rPr>
            </w:pPr>
          </w:p>
        </w:tc>
        <w:tc>
          <w:tcPr>
            <w:tcW w:w="110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420" w:type="dxa"/>
            <w:vAlign w:val="bottom"/>
          </w:tcPr>
          <w:p>
            <w:pPr>
              <w:spacing w:after="0"/>
              <w:rPr>
                <w:sz w:val="11"/>
                <w:szCs w:val="11"/>
                <w:color w:val="auto"/>
              </w:rPr>
            </w:pPr>
          </w:p>
        </w:tc>
        <w:tc>
          <w:tcPr>
            <w:tcW w:w="102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Shares</w:t>
            </w:r>
          </w:p>
        </w:tc>
        <w:tc>
          <w:tcPr>
            <w:tcW w:w="7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1"/>
                <w:szCs w:val="11"/>
                <w:color w:val="auto"/>
              </w:rPr>
            </w:pPr>
          </w:p>
        </w:tc>
        <w:tc>
          <w:tcPr>
            <w:tcW w:w="94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94"/>
              </w:rPr>
              <w:t>Paid-in</w:t>
            </w:r>
          </w:p>
        </w:tc>
        <w:tc>
          <w:tcPr>
            <w:tcW w:w="14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7"/>
              </w:rPr>
              <w:t>Comprehensive</w:t>
            </w:r>
          </w:p>
        </w:tc>
        <w:tc>
          <w:tcPr>
            <w:tcW w:w="160" w:type="dxa"/>
            <w:vAlign w:val="bottom"/>
          </w:tcPr>
          <w:p>
            <w:pPr>
              <w:spacing w:after="0"/>
              <w:rPr>
                <w:sz w:val="11"/>
                <w:szCs w:val="11"/>
                <w:color w:val="auto"/>
              </w:rPr>
            </w:pPr>
          </w:p>
        </w:tc>
        <w:tc>
          <w:tcPr>
            <w:tcW w:w="68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0"/>
        </w:trPr>
        <w:tc>
          <w:tcPr>
            <w:tcW w:w="442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70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Capital</w:t>
            </w:r>
          </w:p>
        </w:tc>
        <w:tc>
          <w:tcPr>
            <w:tcW w:w="140" w:type="dxa"/>
            <w:vAlign w:val="bottom"/>
          </w:tcPr>
          <w:p>
            <w:pPr>
              <w:spacing w:after="0"/>
              <w:rPr>
                <w:sz w:val="15"/>
                <w:szCs w:val="15"/>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3"/>
              </w:rPr>
              <w:t>Stock</w:t>
            </w:r>
          </w:p>
        </w:tc>
        <w:tc>
          <w:tcPr>
            <w:tcW w:w="140" w:type="dxa"/>
            <w:vAlign w:val="bottom"/>
          </w:tcPr>
          <w:p>
            <w:pPr>
              <w:spacing w:after="0"/>
              <w:rPr>
                <w:sz w:val="15"/>
                <w:szCs w:val="15"/>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5"/>
                <w:szCs w:val="15"/>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79"/>
              </w:rPr>
              <w:t>Loss</w:t>
            </w:r>
          </w:p>
        </w:tc>
        <w:tc>
          <w:tcPr>
            <w:tcW w:w="1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42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4"/>
                <w:szCs w:val="14"/>
                <w:b w:val="1"/>
                <w:bCs w:val="1"/>
                <w:color w:val="auto"/>
              </w:rPr>
              <w:t>Balance, January 1, 2020</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20,742</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b w:val="1"/>
                <w:bCs w:val="1"/>
                <w:color w:val="auto"/>
                <w:w w:val="76"/>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2,074</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668,947</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(157)</w:t>
            </w:r>
          </w:p>
        </w:tc>
        <w:tc>
          <w:tcPr>
            <w:tcW w:w="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721,782</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(15,402)</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6"/>
              </w:rPr>
              <w:t>1,377,244</w:t>
            </w:r>
          </w:p>
        </w:tc>
        <w:tc>
          <w:tcPr>
            <w:tcW w:w="0" w:type="dxa"/>
            <w:vAlign w:val="bottom"/>
          </w:tcPr>
          <w:p>
            <w:pPr>
              <w:spacing w:after="0"/>
              <w:rPr>
                <w:sz w:val="1"/>
                <w:szCs w:val="1"/>
                <w:color w:val="auto"/>
              </w:rPr>
            </w:pPr>
          </w:p>
        </w:tc>
      </w:tr>
      <w:tr>
        <w:trPr>
          <w:trHeight w:val="178"/>
        </w:trPr>
        <w:tc>
          <w:tcPr>
            <w:tcW w:w="4420" w:type="dxa"/>
            <w:vAlign w:val="bottom"/>
          </w:tcPr>
          <w:p>
            <w:pPr>
              <w:ind w:left="20"/>
              <w:spacing w:after="0"/>
              <w:rPr>
                <w:sz w:val="20"/>
                <w:szCs w:val="20"/>
                <w:color w:val="auto"/>
              </w:rPr>
            </w:pPr>
            <w:r>
              <w:rPr>
                <w:rFonts w:ascii="Arial" w:cs="Arial" w:eastAsia="Arial" w:hAnsi="Arial"/>
                <w:sz w:val="14"/>
                <w:szCs w:val="14"/>
                <w:color w:val="auto"/>
              </w:rPr>
              <w:t>Issuance of restricted stock and exercise of stock options</w:t>
            </w:r>
          </w:p>
        </w:tc>
        <w:tc>
          <w:tcPr>
            <w:tcW w:w="920" w:type="dxa"/>
            <w:vAlign w:val="bottom"/>
          </w:tcPr>
          <w:p>
            <w:pPr>
              <w:jc w:val="right"/>
              <w:spacing w:after="0"/>
              <w:rPr>
                <w:sz w:val="20"/>
                <w:szCs w:val="20"/>
                <w:color w:val="auto"/>
              </w:rPr>
            </w:pPr>
            <w:r>
              <w:rPr>
                <w:rFonts w:ascii="Arial" w:cs="Arial" w:eastAsia="Arial" w:hAnsi="Arial"/>
                <w:sz w:val="14"/>
                <w:szCs w:val="14"/>
                <w:color w:val="auto"/>
              </w:rPr>
              <w:t>155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(10,207)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10,758</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560</w:t>
            </w:r>
          </w:p>
        </w:tc>
        <w:tc>
          <w:tcPr>
            <w:tcW w:w="0" w:type="dxa"/>
            <w:vAlign w:val="bottom"/>
          </w:tcPr>
          <w:p>
            <w:pPr>
              <w:spacing w:after="0"/>
              <w:rPr>
                <w:sz w:val="1"/>
                <w:szCs w:val="1"/>
                <w:color w:val="auto"/>
              </w:rPr>
            </w:pPr>
          </w:p>
        </w:tc>
      </w:tr>
      <w:tr>
        <w:trPr>
          <w:trHeight w:val="184"/>
        </w:trPr>
        <w:tc>
          <w:tcPr>
            <w:tcW w:w="4420" w:type="dxa"/>
            <w:vAlign w:val="bottom"/>
            <w:shd w:val="clear" w:color="auto" w:fill="CCEEFF"/>
          </w:tcPr>
          <w:p>
            <w:pPr>
              <w:ind w:left="20"/>
              <w:spacing w:after="0"/>
              <w:rPr>
                <w:sz w:val="20"/>
                <w:szCs w:val="20"/>
                <w:color w:val="auto"/>
              </w:rPr>
            </w:pPr>
            <w:r>
              <w:rPr>
                <w:rFonts w:ascii="Arial" w:cs="Arial" w:eastAsia="Arial" w:hAnsi="Arial"/>
                <w:sz w:val="14"/>
                <w:szCs w:val="14"/>
                <w:color w:val="auto"/>
                <w:w w:val="95"/>
              </w:rPr>
              <w:t>Tax withholding payments related to net share settlement of equity awards</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(12,174)</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(12,174)</w:t>
            </w:r>
          </w:p>
        </w:tc>
        <w:tc>
          <w:tcPr>
            <w:tcW w:w="0" w:type="dxa"/>
            <w:vAlign w:val="bottom"/>
          </w:tcPr>
          <w:p>
            <w:pPr>
              <w:spacing w:after="0"/>
              <w:rPr>
                <w:sz w:val="1"/>
                <w:szCs w:val="1"/>
                <w:color w:val="auto"/>
              </w:rPr>
            </w:pPr>
          </w:p>
        </w:tc>
      </w:tr>
      <w:tr>
        <w:trPr>
          <w:trHeight w:val="178"/>
        </w:trPr>
        <w:tc>
          <w:tcPr>
            <w:tcW w:w="4420" w:type="dxa"/>
            <w:vAlign w:val="bottom"/>
          </w:tcPr>
          <w:p>
            <w:pPr>
              <w:ind w:left="20"/>
              <w:spacing w:after="0"/>
              <w:rPr>
                <w:sz w:val="20"/>
                <w:szCs w:val="20"/>
                <w:color w:val="auto"/>
              </w:rPr>
            </w:pPr>
            <w:r>
              <w:rPr>
                <w:rFonts w:ascii="Arial" w:cs="Arial" w:eastAsia="Arial" w:hAnsi="Arial"/>
                <w:sz w:val="14"/>
                <w:szCs w:val="14"/>
                <w:color w:val="auto"/>
              </w:rPr>
              <w:t>Stock compensation</w:t>
            </w: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6,939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6,939</w:t>
            </w:r>
          </w:p>
        </w:tc>
        <w:tc>
          <w:tcPr>
            <w:tcW w:w="0" w:type="dxa"/>
            <w:vAlign w:val="bottom"/>
          </w:tcPr>
          <w:p>
            <w:pPr>
              <w:spacing w:after="0"/>
              <w:rPr>
                <w:sz w:val="1"/>
                <w:szCs w:val="1"/>
                <w:color w:val="auto"/>
              </w:rPr>
            </w:pPr>
          </w:p>
        </w:tc>
      </w:tr>
      <w:tr>
        <w:trPr>
          <w:trHeight w:val="184"/>
        </w:trPr>
        <w:tc>
          <w:tcPr>
            <w:tcW w:w="4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loss, net of tax</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(13,510)</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(13,510)</w:t>
            </w:r>
          </w:p>
        </w:tc>
        <w:tc>
          <w:tcPr>
            <w:tcW w:w="0" w:type="dxa"/>
            <w:vAlign w:val="bottom"/>
          </w:tcPr>
          <w:p>
            <w:pPr>
              <w:spacing w:after="0"/>
              <w:rPr>
                <w:sz w:val="1"/>
                <w:szCs w:val="1"/>
                <w:color w:val="auto"/>
              </w:rPr>
            </w:pPr>
          </w:p>
        </w:tc>
      </w:tr>
      <w:tr>
        <w:trPr>
          <w:trHeight w:val="178"/>
        </w:trPr>
        <w:tc>
          <w:tcPr>
            <w:tcW w:w="442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16,834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16,834</w:t>
            </w:r>
          </w:p>
        </w:tc>
        <w:tc>
          <w:tcPr>
            <w:tcW w:w="0" w:type="dxa"/>
            <w:vAlign w:val="bottom"/>
          </w:tcPr>
          <w:p>
            <w:pPr>
              <w:spacing w:after="0"/>
              <w:rPr>
                <w:sz w:val="1"/>
                <w:szCs w:val="1"/>
                <w:color w:val="auto"/>
              </w:rPr>
            </w:pPr>
          </w:p>
        </w:tc>
      </w:tr>
      <w:tr>
        <w:trPr>
          <w:trHeight w:val="177"/>
        </w:trPr>
        <w:tc>
          <w:tcPr>
            <w:tcW w:w="442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4"/>
                <w:szCs w:val="14"/>
                <w:b w:val="1"/>
                <w:bCs w:val="1"/>
                <w:color w:val="auto"/>
              </w:rPr>
              <w:t>Balance, March 31, 2020</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20,833</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b w:val="1"/>
                <w:bCs w:val="1"/>
                <w:color w:val="auto"/>
                <w:w w:val="76"/>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2,083</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665,679</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(1,573)</w:t>
            </w:r>
          </w:p>
        </w:tc>
        <w:tc>
          <w:tcPr>
            <w:tcW w:w="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738,616</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(28,912)</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6"/>
              </w:rPr>
              <w:t>1,375,893</w:t>
            </w:r>
          </w:p>
        </w:tc>
        <w:tc>
          <w:tcPr>
            <w:tcW w:w="0" w:type="dxa"/>
            <w:vAlign w:val="bottom"/>
          </w:tcPr>
          <w:p>
            <w:pPr>
              <w:spacing w:after="0"/>
              <w:rPr>
                <w:sz w:val="1"/>
                <w:szCs w:val="1"/>
                <w:color w:val="auto"/>
              </w:rPr>
            </w:pPr>
          </w:p>
        </w:tc>
      </w:tr>
      <w:tr>
        <w:trPr>
          <w:trHeight w:val="178"/>
        </w:trPr>
        <w:tc>
          <w:tcPr>
            <w:tcW w:w="4420" w:type="dxa"/>
            <w:vAlign w:val="bottom"/>
          </w:tcPr>
          <w:p>
            <w:pPr>
              <w:ind w:left="20"/>
              <w:spacing w:after="0"/>
              <w:rPr>
                <w:sz w:val="20"/>
                <w:szCs w:val="20"/>
                <w:color w:val="auto"/>
              </w:rPr>
            </w:pPr>
            <w:r>
              <w:rPr>
                <w:rFonts w:ascii="Arial" w:cs="Arial" w:eastAsia="Arial" w:hAnsi="Arial"/>
                <w:sz w:val="14"/>
                <w:szCs w:val="14"/>
                <w:color w:val="auto"/>
              </w:rPr>
              <w:t>Issuance of restricted stock and exercise of stock options</w:t>
            </w:r>
          </w:p>
        </w:tc>
        <w:tc>
          <w:tcPr>
            <w:tcW w:w="920" w:type="dxa"/>
            <w:vAlign w:val="bottom"/>
          </w:tcPr>
          <w:p>
            <w:pPr>
              <w:jc w:val="right"/>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4,408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1,820</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6,239</w:t>
            </w:r>
          </w:p>
        </w:tc>
        <w:tc>
          <w:tcPr>
            <w:tcW w:w="0" w:type="dxa"/>
            <w:vAlign w:val="bottom"/>
          </w:tcPr>
          <w:p>
            <w:pPr>
              <w:spacing w:after="0"/>
              <w:rPr>
                <w:sz w:val="1"/>
                <w:szCs w:val="1"/>
                <w:color w:val="auto"/>
              </w:rPr>
            </w:pPr>
          </w:p>
        </w:tc>
      </w:tr>
      <w:tr>
        <w:trPr>
          <w:trHeight w:val="184"/>
        </w:trPr>
        <w:tc>
          <w:tcPr>
            <w:tcW w:w="4420" w:type="dxa"/>
            <w:vAlign w:val="bottom"/>
            <w:shd w:val="clear" w:color="auto" w:fill="CCEEFF"/>
          </w:tcPr>
          <w:p>
            <w:pPr>
              <w:ind w:left="20"/>
              <w:spacing w:after="0"/>
              <w:rPr>
                <w:sz w:val="20"/>
                <w:szCs w:val="20"/>
                <w:color w:val="auto"/>
              </w:rPr>
            </w:pPr>
            <w:r>
              <w:rPr>
                <w:rFonts w:ascii="Arial" w:cs="Arial" w:eastAsia="Arial" w:hAnsi="Arial"/>
                <w:sz w:val="14"/>
                <w:szCs w:val="14"/>
                <w:color w:val="auto"/>
                <w:w w:val="95"/>
              </w:rPr>
              <w:t>Tax withholding payments related to net share settlement of equity awards</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(387)</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(387)</w:t>
            </w:r>
          </w:p>
        </w:tc>
        <w:tc>
          <w:tcPr>
            <w:tcW w:w="0" w:type="dxa"/>
            <w:vAlign w:val="bottom"/>
          </w:tcPr>
          <w:p>
            <w:pPr>
              <w:spacing w:after="0"/>
              <w:rPr>
                <w:sz w:val="1"/>
                <w:szCs w:val="1"/>
                <w:color w:val="auto"/>
              </w:rPr>
            </w:pPr>
          </w:p>
        </w:tc>
      </w:tr>
      <w:tr>
        <w:trPr>
          <w:trHeight w:val="178"/>
        </w:trPr>
        <w:tc>
          <w:tcPr>
            <w:tcW w:w="4420" w:type="dxa"/>
            <w:vAlign w:val="bottom"/>
          </w:tcPr>
          <w:p>
            <w:pPr>
              <w:ind w:left="20"/>
              <w:spacing w:after="0"/>
              <w:rPr>
                <w:sz w:val="20"/>
                <w:szCs w:val="20"/>
                <w:color w:val="auto"/>
              </w:rPr>
            </w:pPr>
            <w:r>
              <w:rPr>
                <w:rFonts w:ascii="Arial" w:cs="Arial" w:eastAsia="Arial" w:hAnsi="Arial"/>
                <w:sz w:val="14"/>
                <w:szCs w:val="14"/>
                <w:color w:val="auto"/>
              </w:rPr>
              <w:t>Stock compensation</w:t>
            </w: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5,410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5,410</w:t>
            </w:r>
          </w:p>
        </w:tc>
        <w:tc>
          <w:tcPr>
            <w:tcW w:w="0" w:type="dxa"/>
            <w:vAlign w:val="bottom"/>
          </w:tcPr>
          <w:p>
            <w:pPr>
              <w:spacing w:after="0"/>
              <w:rPr>
                <w:sz w:val="1"/>
                <w:szCs w:val="1"/>
                <w:color w:val="auto"/>
              </w:rPr>
            </w:pPr>
          </w:p>
        </w:tc>
      </w:tr>
      <w:tr>
        <w:trPr>
          <w:trHeight w:val="184"/>
        </w:trPr>
        <w:tc>
          <w:tcPr>
            <w:tcW w:w="4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 net of tax</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5,734</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5,734</w:t>
            </w:r>
          </w:p>
        </w:tc>
        <w:tc>
          <w:tcPr>
            <w:tcW w:w="0" w:type="dxa"/>
            <w:vAlign w:val="bottom"/>
          </w:tcPr>
          <w:p>
            <w:pPr>
              <w:spacing w:after="0"/>
              <w:rPr>
                <w:sz w:val="1"/>
                <w:szCs w:val="1"/>
                <w:color w:val="auto"/>
              </w:rPr>
            </w:pPr>
          </w:p>
        </w:tc>
      </w:tr>
      <w:tr>
        <w:trPr>
          <w:trHeight w:val="178"/>
        </w:trPr>
        <w:tc>
          <w:tcPr>
            <w:tcW w:w="442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18,908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18,908</w:t>
            </w:r>
          </w:p>
        </w:tc>
        <w:tc>
          <w:tcPr>
            <w:tcW w:w="0" w:type="dxa"/>
            <w:vAlign w:val="bottom"/>
          </w:tcPr>
          <w:p>
            <w:pPr>
              <w:spacing w:after="0"/>
              <w:rPr>
                <w:sz w:val="1"/>
                <w:szCs w:val="1"/>
                <w:color w:val="auto"/>
              </w:rPr>
            </w:pPr>
          </w:p>
        </w:tc>
      </w:tr>
      <w:tr>
        <w:trPr>
          <w:trHeight w:val="177"/>
        </w:trPr>
        <w:tc>
          <w:tcPr>
            <w:tcW w:w="442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4"/>
                <w:szCs w:val="14"/>
                <w:b w:val="1"/>
                <w:bCs w:val="1"/>
                <w:color w:val="auto"/>
              </w:rPr>
              <w:t>Balance, June 30, 2020</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20,937</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b w:val="1"/>
                <w:bCs w:val="1"/>
                <w:color w:val="auto"/>
                <w:w w:val="76"/>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2,094</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675,497</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(140)</w:t>
            </w:r>
          </w:p>
        </w:tc>
        <w:tc>
          <w:tcPr>
            <w:tcW w:w="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757,524</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(23,178)</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6"/>
              </w:rPr>
              <w:t>1,411,797</w:t>
            </w:r>
          </w:p>
        </w:tc>
        <w:tc>
          <w:tcPr>
            <w:tcW w:w="0" w:type="dxa"/>
            <w:vAlign w:val="bottom"/>
          </w:tcPr>
          <w:p>
            <w:pPr>
              <w:spacing w:after="0"/>
              <w:rPr>
                <w:sz w:val="1"/>
                <w:szCs w:val="1"/>
                <w:color w:val="auto"/>
              </w:rPr>
            </w:pPr>
          </w:p>
        </w:tc>
      </w:tr>
      <w:tr>
        <w:trPr>
          <w:trHeight w:val="178"/>
        </w:trPr>
        <w:tc>
          <w:tcPr>
            <w:tcW w:w="4420" w:type="dxa"/>
            <w:vAlign w:val="bottom"/>
          </w:tcPr>
          <w:p>
            <w:pPr>
              <w:ind w:left="20"/>
              <w:spacing w:after="0"/>
              <w:rPr>
                <w:sz w:val="20"/>
                <w:szCs w:val="20"/>
                <w:color w:val="auto"/>
              </w:rPr>
            </w:pPr>
            <w:r>
              <w:rPr>
                <w:rFonts w:ascii="Arial" w:cs="Arial" w:eastAsia="Arial" w:hAnsi="Arial"/>
                <w:sz w:val="14"/>
                <w:szCs w:val="14"/>
                <w:color w:val="auto"/>
              </w:rPr>
              <w:t>Issuance of restricted stock and exercise of stock options</w:t>
            </w:r>
          </w:p>
        </w:tc>
        <w:tc>
          <w:tcPr>
            <w:tcW w:w="920" w:type="dxa"/>
            <w:vAlign w:val="bottom"/>
          </w:tcPr>
          <w:p>
            <w:pPr>
              <w:jc w:val="right"/>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1,564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220</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1,787</w:t>
            </w:r>
          </w:p>
        </w:tc>
        <w:tc>
          <w:tcPr>
            <w:tcW w:w="0" w:type="dxa"/>
            <w:vAlign w:val="bottom"/>
          </w:tcPr>
          <w:p>
            <w:pPr>
              <w:spacing w:after="0"/>
              <w:rPr>
                <w:sz w:val="1"/>
                <w:szCs w:val="1"/>
                <w:color w:val="auto"/>
              </w:rPr>
            </w:pPr>
          </w:p>
        </w:tc>
      </w:tr>
      <w:tr>
        <w:trPr>
          <w:trHeight w:val="184"/>
        </w:trPr>
        <w:tc>
          <w:tcPr>
            <w:tcW w:w="4420" w:type="dxa"/>
            <w:vAlign w:val="bottom"/>
            <w:shd w:val="clear" w:color="auto" w:fill="CCEEFF"/>
          </w:tcPr>
          <w:p>
            <w:pPr>
              <w:ind w:left="20"/>
              <w:spacing w:after="0"/>
              <w:rPr>
                <w:sz w:val="20"/>
                <w:szCs w:val="20"/>
                <w:color w:val="auto"/>
              </w:rPr>
            </w:pPr>
            <w:r>
              <w:rPr>
                <w:rFonts w:ascii="Arial" w:cs="Arial" w:eastAsia="Arial" w:hAnsi="Arial"/>
                <w:sz w:val="14"/>
                <w:szCs w:val="14"/>
                <w:color w:val="auto"/>
                <w:w w:val="95"/>
              </w:rPr>
              <w:t>Tax withholding payments related to net share settlement of equity awards</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w:t>
            </w:r>
          </w:p>
        </w:tc>
        <w:tc>
          <w:tcPr>
            <w:tcW w:w="0" w:type="dxa"/>
            <w:vAlign w:val="bottom"/>
          </w:tcPr>
          <w:p>
            <w:pPr>
              <w:spacing w:after="0"/>
              <w:rPr>
                <w:sz w:val="1"/>
                <w:szCs w:val="1"/>
                <w:color w:val="auto"/>
              </w:rPr>
            </w:pPr>
          </w:p>
        </w:tc>
      </w:tr>
      <w:tr>
        <w:trPr>
          <w:trHeight w:val="178"/>
        </w:trPr>
        <w:tc>
          <w:tcPr>
            <w:tcW w:w="4420" w:type="dxa"/>
            <w:vAlign w:val="bottom"/>
          </w:tcPr>
          <w:p>
            <w:pPr>
              <w:ind w:left="20"/>
              <w:spacing w:after="0"/>
              <w:rPr>
                <w:sz w:val="20"/>
                <w:szCs w:val="20"/>
                <w:color w:val="auto"/>
              </w:rPr>
            </w:pPr>
            <w:r>
              <w:rPr>
                <w:rFonts w:ascii="Arial" w:cs="Arial" w:eastAsia="Arial" w:hAnsi="Arial"/>
                <w:sz w:val="14"/>
                <w:szCs w:val="14"/>
                <w:color w:val="auto"/>
              </w:rPr>
              <w:t>Stock compensation</w:t>
            </w: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6,265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6,265</w:t>
            </w:r>
          </w:p>
        </w:tc>
        <w:tc>
          <w:tcPr>
            <w:tcW w:w="0" w:type="dxa"/>
            <w:vAlign w:val="bottom"/>
          </w:tcPr>
          <w:p>
            <w:pPr>
              <w:spacing w:after="0"/>
              <w:rPr>
                <w:sz w:val="1"/>
                <w:szCs w:val="1"/>
                <w:color w:val="auto"/>
              </w:rPr>
            </w:pPr>
          </w:p>
        </w:tc>
      </w:tr>
      <w:tr>
        <w:trPr>
          <w:trHeight w:val="184"/>
        </w:trPr>
        <w:tc>
          <w:tcPr>
            <w:tcW w:w="4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 net of tax</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7,645</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7,645</w:t>
            </w:r>
          </w:p>
        </w:tc>
        <w:tc>
          <w:tcPr>
            <w:tcW w:w="0" w:type="dxa"/>
            <w:vAlign w:val="bottom"/>
          </w:tcPr>
          <w:p>
            <w:pPr>
              <w:spacing w:after="0"/>
              <w:rPr>
                <w:sz w:val="1"/>
                <w:szCs w:val="1"/>
                <w:color w:val="auto"/>
              </w:rPr>
            </w:pPr>
          </w:p>
        </w:tc>
      </w:tr>
      <w:tr>
        <w:trPr>
          <w:trHeight w:val="178"/>
        </w:trPr>
        <w:tc>
          <w:tcPr>
            <w:tcW w:w="442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24,986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24,986</w:t>
            </w:r>
          </w:p>
        </w:tc>
        <w:tc>
          <w:tcPr>
            <w:tcW w:w="0" w:type="dxa"/>
            <w:vAlign w:val="bottom"/>
          </w:tcPr>
          <w:p>
            <w:pPr>
              <w:spacing w:after="0"/>
              <w:rPr>
                <w:sz w:val="1"/>
                <w:szCs w:val="1"/>
                <w:color w:val="auto"/>
              </w:rPr>
            </w:pPr>
          </w:p>
        </w:tc>
      </w:tr>
      <w:tr>
        <w:trPr>
          <w:trHeight w:val="202"/>
        </w:trPr>
        <w:tc>
          <w:tcPr>
            <w:tcW w:w="442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4"/>
                <w:szCs w:val="14"/>
                <w:b w:val="1"/>
                <w:bCs w:val="1"/>
                <w:color w:val="auto"/>
              </w:rPr>
              <w:t>Balance, September 30, 2020</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20,969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b w:val="1"/>
                <w:bCs w:val="1"/>
                <w:color w:val="auto"/>
                <w:w w:val="76"/>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2,097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683,326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(180)</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782,510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(15,533)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6"/>
              </w:rPr>
              <w:t>1,452,220</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 w:name="page8"/>
    <w:bookmarkEnd w:id="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35" w:lineRule="exact"/>
        <w:rPr>
          <w:sz w:val="20"/>
          <w:szCs w:val="20"/>
          <w:color w:val="auto"/>
        </w:rPr>
      </w:pPr>
    </w:p>
    <w:p>
      <w:pPr>
        <w:jc w:val="center"/>
        <w:ind w:left="340" w:right="2560"/>
        <w:spacing w:after="0" w:line="282" w:lineRule="auto"/>
        <w:rPr>
          <w:sz w:val="20"/>
          <w:szCs w:val="20"/>
          <w:color w:val="auto"/>
        </w:rPr>
      </w:pPr>
      <w:r>
        <w:rPr>
          <w:rFonts w:ascii="Arial" w:cs="Arial" w:eastAsia="Arial" w:hAnsi="Arial"/>
          <w:sz w:val="17"/>
          <w:szCs w:val="17"/>
          <w:b w:val="1"/>
          <w:bCs w:val="1"/>
          <w:color w:val="auto"/>
        </w:rPr>
        <w:t xml:space="preserve">ICU MEDICAL, INC. AND SUBSIDIARIES CONDENSED CONSOLIDATED STATEMENTS OF CASH FLOWS (Unaudited) </w:t>
      </w:r>
      <w:r>
        <w:rPr>
          <w:rFonts w:ascii="Arial" w:cs="Arial" w:eastAsia="Arial" w:hAnsi="Arial"/>
          <w:sz w:val="17"/>
          <w:szCs w:val="17"/>
          <w:color w:val="auto"/>
        </w:rPr>
        <w:t>(In thousands)</w:t>
      </w:r>
    </w:p>
    <w:p>
      <w:pPr>
        <w:spacing w:after="0" w:line="270" w:lineRule="exact"/>
        <w:rPr>
          <w:sz w:val="20"/>
          <w:szCs w:val="20"/>
          <w:color w:val="auto"/>
        </w:rPr>
      </w:pPr>
    </w:p>
    <w:p>
      <w:pPr>
        <w:ind w:left="9160"/>
        <w:spacing w:after="0"/>
        <w:rPr>
          <w:sz w:val="20"/>
          <w:szCs w:val="20"/>
          <w:color w:val="auto"/>
        </w:rPr>
      </w:pPr>
      <w:r>
        <w:rPr>
          <w:rFonts w:ascii="Arial" w:cs="Arial" w:eastAsia="Arial" w:hAnsi="Arial"/>
          <w:sz w:val="14"/>
          <w:szCs w:val="14"/>
          <w:b w:val="1"/>
          <w:bCs w:val="1"/>
          <w:color w:val="auto"/>
        </w:rPr>
        <w:t>Nine months ended</w:t>
      </w:r>
    </w:p>
    <w:p>
      <w:pPr>
        <w:ind w:left="9320"/>
        <w:spacing w:after="0"/>
        <w:rPr>
          <w:sz w:val="20"/>
          <w:szCs w:val="20"/>
          <w:color w:val="auto"/>
        </w:rPr>
      </w:pPr>
      <w:r>
        <w:rPr>
          <w:rFonts w:ascii="Arial" w:cs="Arial" w:eastAsia="Arial" w:hAnsi="Arial"/>
          <w:sz w:val="14"/>
          <w:szCs w:val="14"/>
          <w:b w:val="1"/>
          <w:bCs w:val="1"/>
          <w:color w:val="auto"/>
        </w:rPr>
        <w:t>September 30,</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8240" w:type="dxa"/>
            <w:vAlign w:val="bottom"/>
            <w:tcBorders>
              <w:bottom w:val="single" w:sz="8" w:color="CCEEFF"/>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2020</w:t>
            </w:r>
          </w:p>
        </w:tc>
      </w:tr>
      <w:tr>
        <w:trPr>
          <w:trHeight w:val="175"/>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OPERATING ACTIVITIES:</w:t>
            </w:r>
          </w:p>
        </w:tc>
        <w:tc>
          <w:tcPr>
            <w:tcW w:w="9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78"/>
        </w:trPr>
        <w:tc>
          <w:tcPr>
            <w:tcW w:w="82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900" w:type="dxa"/>
            <w:vAlign w:val="bottom"/>
          </w:tcPr>
          <w:p>
            <w:pPr>
              <w:jc w:val="right"/>
              <w:ind w:right="751"/>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83,210</w:t>
            </w:r>
          </w:p>
        </w:tc>
        <w:tc>
          <w:tcPr>
            <w:tcW w:w="100" w:type="dxa"/>
            <w:vAlign w:val="bottom"/>
          </w:tcPr>
          <w:p>
            <w:pPr>
              <w:spacing w:after="0"/>
              <w:rPr>
                <w:sz w:val="15"/>
                <w:szCs w:val="15"/>
                <w:color w:val="auto"/>
              </w:rPr>
            </w:pPr>
          </w:p>
        </w:tc>
        <w:tc>
          <w:tcPr>
            <w:tcW w:w="340" w:type="dxa"/>
            <w:vAlign w:val="bottom"/>
          </w:tcPr>
          <w:p>
            <w:pPr>
              <w:jc w:val="right"/>
              <w:ind w:right="191"/>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60,728</w:t>
            </w:r>
          </w:p>
        </w:tc>
      </w:tr>
      <w:tr>
        <w:trPr>
          <w:trHeight w:val="184"/>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9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78"/>
        </w:trPr>
        <w:tc>
          <w:tcPr>
            <w:tcW w:w="8240" w:type="dxa"/>
            <w:vAlign w:val="bottom"/>
          </w:tcPr>
          <w:p>
            <w:pPr>
              <w:ind w:left="120"/>
              <w:spacing w:after="0"/>
              <w:rPr>
                <w:sz w:val="20"/>
                <w:szCs w:val="20"/>
                <w:color w:val="auto"/>
              </w:rPr>
            </w:pPr>
            <w:r>
              <w:rPr>
                <w:rFonts w:ascii="Arial" w:cs="Arial" w:eastAsia="Arial" w:hAnsi="Arial"/>
                <w:sz w:val="14"/>
                <w:szCs w:val="14"/>
                <w:color w:val="auto"/>
              </w:rPr>
              <w:t>Depreciation and amortization</w:t>
            </w:r>
          </w:p>
        </w:tc>
        <w:tc>
          <w:tcPr>
            <w:tcW w:w="9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66,564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64,037</w:t>
            </w:r>
          </w:p>
        </w:tc>
      </w:tr>
      <w:tr>
        <w:trPr>
          <w:trHeight w:val="184"/>
        </w:trPr>
        <w:tc>
          <w:tcPr>
            <w:tcW w:w="8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Noncash lease expense</w:t>
            </w:r>
          </w:p>
        </w:tc>
        <w:tc>
          <w:tcPr>
            <w:tcW w:w="9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7,165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6,859</w:t>
            </w:r>
          </w:p>
        </w:tc>
      </w:tr>
      <w:tr>
        <w:trPr>
          <w:trHeight w:val="178"/>
        </w:trPr>
        <w:tc>
          <w:tcPr>
            <w:tcW w:w="8240" w:type="dxa"/>
            <w:vAlign w:val="bottom"/>
          </w:tcPr>
          <w:p>
            <w:pPr>
              <w:ind w:left="120"/>
              <w:spacing w:after="0"/>
              <w:rPr>
                <w:sz w:val="20"/>
                <w:szCs w:val="20"/>
                <w:color w:val="auto"/>
              </w:rPr>
            </w:pPr>
            <w:r>
              <w:rPr>
                <w:rFonts w:ascii="Arial" w:cs="Arial" w:eastAsia="Arial" w:hAnsi="Arial"/>
                <w:sz w:val="14"/>
                <w:szCs w:val="14"/>
                <w:color w:val="auto"/>
              </w:rPr>
              <w:t>Provision for doubtful accounts</w:t>
            </w:r>
          </w:p>
        </w:tc>
        <w:tc>
          <w:tcPr>
            <w:tcW w:w="9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342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2,785</w:t>
            </w:r>
          </w:p>
        </w:tc>
      </w:tr>
      <w:tr>
        <w:trPr>
          <w:trHeight w:val="184"/>
        </w:trPr>
        <w:tc>
          <w:tcPr>
            <w:tcW w:w="8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Provision for warranty and returns</w:t>
            </w:r>
          </w:p>
        </w:tc>
        <w:tc>
          <w:tcPr>
            <w:tcW w:w="9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(1,296)</w:t>
            </w:r>
          </w:p>
        </w:tc>
      </w:tr>
      <w:tr>
        <w:trPr>
          <w:trHeight w:val="178"/>
        </w:trPr>
        <w:tc>
          <w:tcPr>
            <w:tcW w:w="8240" w:type="dxa"/>
            <w:vAlign w:val="bottom"/>
          </w:tcPr>
          <w:p>
            <w:pPr>
              <w:ind w:left="120"/>
              <w:spacing w:after="0"/>
              <w:rPr>
                <w:sz w:val="20"/>
                <w:szCs w:val="20"/>
                <w:color w:val="auto"/>
              </w:rPr>
            </w:pPr>
            <w:r>
              <w:rPr>
                <w:rFonts w:ascii="Arial" w:cs="Arial" w:eastAsia="Arial" w:hAnsi="Arial"/>
                <w:sz w:val="14"/>
                <w:szCs w:val="14"/>
                <w:color w:val="auto"/>
              </w:rPr>
              <w:t>Stock compensation</w:t>
            </w:r>
          </w:p>
        </w:tc>
        <w:tc>
          <w:tcPr>
            <w:tcW w:w="9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19,236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18,614</w:t>
            </w:r>
          </w:p>
        </w:tc>
      </w:tr>
      <w:tr>
        <w:trPr>
          <w:trHeight w:val="184"/>
        </w:trPr>
        <w:tc>
          <w:tcPr>
            <w:tcW w:w="8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Loss on disposal of property and equipment and other assets</w:t>
            </w:r>
          </w:p>
        </w:tc>
        <w:tc>
          <w:tcPr>
            <w:tcW w:w="9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1,673</w:t>
            </w:r>
          </w:p>
        </w:tc>
      </w:tr>
      <w:tr>
        <w:trPr>
          <w:trHeight w:val="178"/>
        </w:trPr>
        <w:tc>
          <w:tcPr>
            <w:tcW w:w="8240" w:type="dxa"/>
            <w:vAlign w:val="bottom"/>
          </w:tcPr>
          <w:p>
            <w:pPr>
              <w:ind w:left="120"/>
              <w:spacing w:after="0"/>
              <w:rPr>
                <w:sz w:val="20"/>
                <w:szCs w:val="20"/>
                <w:color w:val="auto"/>
              </w:rPr>
            </w:pPr>
            <w:r>
              <w:rPr>
                <w:rFonts w:ascii="Arial" w:cs="Arial" w:eastAsia="Arial" w:hAnsi="Arial"/>
                <w:sz w:val="14"/>
                <w:szCs w:val="14"/>
                <w:color w:val="auto"/>
              </w:rPr>
              <w:t>Bond premium amortization</w:t>
            </w:r>
          </w:p>
        </w:tc>
        <w:tc>
          <w:tcPr>
            <w:tcW w:w="9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514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126</w:t>
            </w:r>
          </w:p>
        </w:tc>
      </w:tr>
      <w:tr>
        <w:trPr>
          <w:trHeight w:val="184"/>
        </w:trPr>
        <w:tc>
          <w:tcPr>
            <w:tcW w:w="8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Debt issuance costs amortization</w:t>
            </w:r>
          </w:p>
        </w:tc>
        <w:tc>
          <w:tcPr>
            <w:tcW w:w="9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w:t>
            </w:r>
          </w:p>
        </w:tc>
      </w:tr>
      <w:tr>
        <w:trPr>
          <w:trHeight w:val="178"/>
        </w:trPr>
        <w:tc>
          <w:tcPr>
            <w:tcW w:w="8240" w:type="dxa"/>
            <w:vAlign w:val="bottom"/>
          </w:tcPr>
          <w:p>
            <w:pPr>
              <w:ind w:left="120"/>
              <w:spacing w:after="0"/>
              <w:rPr>
                <w:sz w:val="20"/>
                <w:szCs w:val="20"/>
                <w:color w:val="auto"/>
              </w:rPr>
            </w:pPr>
            <w:r>
              <w:rPr>
                <w:rFonts w:ascii="Arial" w:cs="Arial" w:eastAsia="Arial" w:hAnsi="Arial"/>
                <w:sz w:val="14"/>
                <w:szCs w:val="14"/>
                <w:color w:val="auto"/>
              </w:rPr>
              <w:t>Change in fair value of contingent earn-out</w:t>
            </w:r>
          </w:p>
        </w:tc>
        <w:tc>
          <w:tcPr>
            <w:tcW w:w="90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7,000</w:t>
            </w:r>
          </w:p>
        </w:tc>
      </w:tr>
      <w:tr>
        <w:trPr>
          <w:trHeight w:val="184"/>
        </w:trPr>
        <w:tc>
          <w:tcPr>
            <w:tcW w:w="8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Product-related charges</w:t>
            </w:r>
          </w:p>
        </w:tc>
        <w:tc>
          <w:tcPr>
            <w:tcW w:w="9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2,626</w:t>
            </w:r>
          </w:p>
        </w:tc>
      </w:tr>
      <w:tr>
        <w:trPr>
          <w:trHeight w:val="178"/>
        </w:trPr>
        <w:tc>
          <w:tcPr>
            <w:tcW w:w="8240" w:type="dxa"/>
            <w:vAlign w:val="bottom"/>
          </w:tcPr>
          <w:p>
            <w:pPr>
              <w:ind w:left="120"/>
              <w:spacing w:after="0"/>
              <w:rPr>
                <w:sz w:val="20"/>
                <w:szCs w:val="20"/>
                <w:color w:val="auto"/>
              </w:rPr>
            </w:pPr>
            <w:r>
              <w:rPr>
                <w:rFonts w:ascii="Arial" w:cs="Arial" w:eastAsia="Arial" w:hAnsi="Arial"/>
                <w:sz w:val="14"/>
                <w:szCs w:val="14"/>
                <w:color w:val="auto"/>
              </w:rPr>
              <w:t>Usage of spare parts</w:t>
            </w:r>
          </w:p>
        </w:tc>
        <w:tc>
          <w:tcPr>
            <w:tcW w:w="9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9,831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8,391</w:t>
            </w:r>
          </w:p>
        </w:tc>
      </w:tr>
      <w:tr>
        <w:trPr>
          <w:trHeight w:val="184"/>
        </w:trPr>
        <w:tc>
          <w:tcPr>
            <w:tcW w:w="8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w:t>
            </w:r>
          </w:p>
        </w:tc>
        <w:tc>
          <w:tcPr>
            <w:tcW w:w="9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2,523</w:t>
            </w:r>
          </w:p>
        </w:tc>
      </w:tr>
      <w:tr>
        <w:trPr>
          <w:trHeight w:val="178"/>
        </w:trPr>
        <w:tc>
          <w:tcPr>
            <w:tcW w:w="8240" w:type="dxa"/>
            <w:vAlign w:val="bottom"/>
          </w:tcPr>
          <w:p>
            <w:pPr>
              <w:ind w:left="120"/>
              <w:spacing w:after="0"/>
              <w:rPr>
                <w:sz w:val="20"/>
                <w:szCs w:val="20"/>
                <w:color w:val="auto"/>
              </w:rPr>
            </w:pPr>
            <w:r>
              <w:rPr>
                <w:rFonts w:ascii="Arial" w:cs="Arial" w:eastAsia="Arial" w:hAnsi="Arial"/>
                <w:sz w:val="14"/>
                <w:szCs w:val="14"/>
                <w:color w:val="auto"/>
              </w:rPr>
              <w:t>Changes in operating assets and liabilities:</w:t>
            </w:r>
          </w:p>
        </w:tc>
        <w:tc>
          <w:tcPr>
            <w:tcW w:w="9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4"/>
        </w:trPr>
        <w:tc>
          <w:tcPr>
            <w:tcW w:w="82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Accounts receivable</w:t>
            </w:r>
          </w:p>
        </w:tc>
        <w:tc>
          <w:tcPr>
            <w:tcW w:w="9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3,807</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38,933</w:t>
            </w:r>
          </w:p>
        </w:tc>
      </w:tr>
      <w:tr>
        <w:trPr>
          <w:trHeight w:val="178"/>
        </w:trPr>
        <w:tc>
          <w:tcPr>
            <w:tcW w:w="8240" w:type="dxa"/>
            <w:vAlign w:val="bottom"/>
          </w:tcPr>
          <w:p>
            <w:pPr>
              <w:ind w:left="320"/>
              <w:spacing w:after="0"/>
              <w:rPr>
                <w:sz w:val="20"/>
                <w:szCs w:val="20"/>
                <w:color w:val="auto"/>
              </w:rPr>
            </w:pPr>
            <w:r>
              <w:rPr>
                <w:rFonts w:ascii="Arial" w:cs="Arial" w:eastAsia="Arial" w:hAnsi="Arial"/>
                <w:sz w:val="14"/>
                <w:szCs w:val="14"/>
                <w:color w:val="auto"/>
              </w:rPr>
              <w:t>Inventories</w:t>
            </w:r>
          </w:p>
        </w:tc>
        <w:tc>
          <w:tcPr>
            <w:tcW w:w="9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16,510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8,859</w:t>
            </w:r>
          </w:p>
        </w:tc>
      </w:tr>
      <w:tr>
        <w:trPr>
          <w:trHeight w:val="184"/>
        </w:trPr>
        <w:tc>
          <w:tcPr>
            <w:tcW w:w="82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Prepaid expenses and other assets</w:t>
            </w:r>
          </w:p>
        </w:tc>
        <w:tc>
          <w:tcPr>
            <w:tcW w:w="9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3,557</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(6,535)</w:t>
            </w:r>
          </w:p>
        </w:tc>
      </w:tr>
      <w:tr>
        <w:trPr>
          <w:trHeight w:val="178"/>
        </w:trPr>
        <w:tc>
          <w:tcPr>
            <w:tcW w:w="8240" w:type="dxa"/>
            <w:vAlign w:val="bottom"/>
          </w:tcPr>
          <w:p>
            <w:pPr>
              <w:ind w:left="320"/>
              <w:spacing w:after="0"/>
              <w:rPr>
                <w:sz w:val="20"/>
                <w:szCs w:val="20"/>
                <w:color w:val="auto"/>
              </w:rPr>
            </w:pPr>
            <w:r>
              <w:rPr>
                <w:rFonts w:ascii="Arial" w:cs="Arial" w:eastAsia="Arial" w:hAnsi="Arial"/>
                <w:sz w:val="14"/>
                <w:szCs w:val="14"/>
                <w:color w:val="auto"/>
              </w:rPr>
              <w:t>Other assets</w:t>
            </w:r>
          </w:p>
        </w:tc>
        <w:tc>
          <w:tcPr>
            <w:tcW w:w="9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91"/>
              </w:rPr>
              <w:t>(13,593)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(12,121)</w:t>
            </w:r>
          </w:p>
        </w:tc>
      </w:tr>
      <w:tr>
        <w:trPr>
          <w:trHeight w:val="184"/>
        </w:trPr>
        <w:tc>
          <w:tcPr>
            <w:tcW w:w="82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Accounts payable</w:t>
            </w:r>
          </w:p>
        </w:tc>
        <w:tc>
          <w:tcPr>
            <w:tcW w:w="9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(10,374)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(38,032)</w:t>
            </w:r>
          </w:p>
        </w:tc>
      </w:tr>
      <w:tr>
        <w:trPr>
          <w:trHeight w:val="178"/>
        </w:trPr>
        <w:tc>
          <w:tcPr>
            <w:tcW w:w="8240" w:type="dxa"/>
            <w:vAlign w:val="bottom"/>
          </w:tcPr>
          <w:p>
            <w:pPr>
              <w:ind w:left="320"/>
              <w:spacing w:after="0"/>
              <w:rPr>
                <w:sz w:val="20"/>
                <w:szCs w:val="20"/>
                <w:color w:val="auto"/>
              </w:rPr>
            </w:pPr>
            <w:r>
              <w:rPr>
                <w:rFonts w:ascii="Arial" w:cs="Arial" w:eastAsia="Arial" w:hAnsi="Arial"/>
                <w:sz w:val="14"/>
                <w:szCs w:val="14"/>
                <w:color w:val="auto"/>
              </w:rPr>
              <w:t>Accrued liabilities</w:t>
            </w:r>
          </w:p>
        </w:tc>
        <w:tc>
          <w:tcPr>
            <w:tcW w:w="9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(8,317)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(20,417)</w:t>
            </w:r>
          </w:p>
        </w:tc>
      </w:tr>
      <w:tr>
        <w:trPr>
          <w:trHeight w:val="184"/>
        </w:trPr>
        <w:tc>
          <w:tcPr>
            <w:tcW w:w="82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Income taxes, including excess tax benefits and deferred income taxes</w:t>
            </w:r>
          </w:p>
        </w:tc>
        <w:tc>
          <w:tcPr>
            <w:tcW w:w="90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(1,874)</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(743)</w:t>
            </w:r>
          </w:p>
        </w:tc>
      </w:tr>
      <w:tr>
        <w:trPr>
          <w:trHeight w:val="171"/>
        </w:trPr>
        <w:tc>
          <w:tcPr>
            <w:tcW w:w="824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Net cash provided by operating activities</w:t>
            </w:r>
          </w:p>
        </w:tc>
        <w:tc>
          <w:tcPr>
            <w:tcW w:w="9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0"/>
              </w:rPr>
              <w:t>184,917</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144,226</w:t>
            </w:r>
          </w:p>
        </w:tc>
      </w:tr>
      <w:tr>
        <w:trPr>
          <w:trHeight w:val="177"/>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INVESTING ACTIVITIES:</w:t>
            </w:r>
          </w:p>
        </w:tc>
        <w:tc>
          <w:tcPr>
            <w:tcW w:w="9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78"/>
        </w:trPr>
        <w:tc>
          <w:tcPr>
            <w:tcW w:w="8240" w:type="dxa"/>
            <w:vAlign w:val="bottom"/>
          </w:tcPr>
          <w:p>
            <w:pPr>
              <w:ind w:left="120"/>
              <w:spacing w:after="0"/>
              <w:rPr>
                <w:sz w:val="20"/>
                <w:szCs w:val="20"/>
                <w:color w:val="auto"/>
              </w:rPr>
            </w:pPr>
            <w:r>
              <w:rPr>
                <w:rFonts w:ascii="Arial" w:cs="Arial" w:eastAsia="Arial" w:hAnsi="Arial"/>
                <w:sz w:val="14"/>
                <w:szCs w:val="14"/>
                <w:color w:val="auto"/>
              </w:rPr>
              <w:t>Purchases of property and equipment</w:t>
            </w:r>
          </w:p>
        </w:tc>
        <w:tc>
          <w:tcPr>
            <w:tcW w:w="9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91"/>
              </w:rPr>
              <w:t>(46,464)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(62,362)</w:t>
            </w:r>
          </w:p>
        </w:tc>
      </w:tr>
      <w:tr>
        <w:trPr>
          <w:trHeight w:val="184"/>
        </w:trPr>
        <w:tc>
          <w:tcPr>
            <w:tcW w:w="8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Proceeds from sale of asset</w:t>
            </w:r>
          </w:p>
        </w:tc>
        <w:tc>
          <w:tcPr>
            <w:tcW w:w="9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w:t>
            </w:r>
          </w:p>
        </w:tc>
      </w:tr>
      <w:tr>
        <w:trPr>
          <w:trHeight w:val="178"/>
        </w:trPr>
        <w:tc>
          <w:tcPr>
            <w:tcW w:w="8240" w:type="dxa"/>
            <w:vAlign w:val="bottom"/>
          </w:tcPr>
          <w:p>
            <w:pPr>
              <w:ind w:left="120"/>
              <w:spacing w:after="0"/>
              <w:rPr>
                <w:sz w:val="20"/>
                <w:szCs w:val="20"/>
                <w:color w:val="auto"/>
              </w:rPr>
            </w:pPr>
            <w:r>
              <w:rPr>
                <w:rFonts w:ascii="Arial" w:cs="Arial" w:eastAsia="Arial" w:hAnsi="Arial"/>
                <w:sz w:val="14"/>
                <w:szCs w:val="14"/>
                <w:color w:val="auto"/>
              </w:rPr>
              <w:t>Intangible asset additions</w:t>
            </w:r>
          </w:p>
        </w:tc>
        <w:tc>
          <w:tcPr>
            <w:tcW w:w="9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91"/>
              </w:rPr>
              <w:t>(10,216)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(6,325)</w:t>
            </w:r>
          </w:p>
        </w:tc>
      </w:tr>
      <w:tr>
        <w:trPr>
          <w:trHeight w:val="184"/>
        </w:trPr>
        <w:tc>
          <w:tcPr>
            <w:tcW w:w="8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Investments in non-marketable equity investments</w:t>
            </w:r>
          </w:p>
        </w:tc>
        <w:tc>
          <w:tcPr>
            <w:tcW w:w="9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8"/>
        </w:trPr>
        <w:tc>
          <w:tcPr>
            <w:tcW w:w="8240" w:type="dxa"/>
            <w:vAlign w:val="bottom"/>
          </w:tcPr>
          <w:p>
            <w:pPr>
              <w:ind w:left="120"/>
              <w:spacing w:after="0"/>
              <w:rPr>
                <w:sz w:val="20"/>
                <w:szCs w:val="20"/>
                <w:color w:val="auto"/>
              </w:rPr>
            </w:pPr>
            <w:r>
              <w:rPr>
                <w:rFonts w:ascii="Arial" w:cs="Arial" w:eastAsia="Arial" w:hAnsi="Arial"/>
                <w:sz w:val="14"/>
                <w:szCs w:val="14"/>
                <w:color w:val="auto"/>
              </w:rPr>
              <w:t>Purchases of investment securities</w:t>
            </w:r>
          </w:p>
        </w:tc>
        <w:tc>
          <w:tcPr>
            <w:tcW w:w="9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91"/>
              </w:rPr>
              <w:t>(10,034)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(9,603)</w:t>
            </w:r>
          </w:p>
        </w:tc>
      </w:tr>
      <w:tr>
        <w:trPr>
          <w:trHeight w:val="184"/>
        </w:trPr>
        <w:tc>
          <w:tcPr>
            <w:tcW w:w="8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Proceeds from sale of investment securities</w:t>
            </w:r>
          </w:p>
        </w:tc>
        <w:tc>
          <w:tcPr>
            <w:tcW w:w="90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12,000</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20,900</w:t>
            </w:r>
          </w:p>
        </w:tc>
      </w:tr>
      <w:tr>
        <w:trPr>
          <w:trHeight w:val="171"/>
        </w:trPr>
        <w:tc>
          <w:tcPr>
            <w:tcW w:w="824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Net cash used in investing activities</w:t>
            </w:r>
          </w:p>
        </w:tc>
        <w:tc>
          <w:tcPr>
            <w:tcW w:w="9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1"/>
              </w:rPr>
              <w:t>(57,746)</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(57,236)</w:t>
            </w:r>
          </w:p>
        </w:tc>
      </w:tr>
      <w:tr>
        <w:trPr>
          <w:trHeight w:val="177"/>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FINANCING ACTIVITIES:</w:t>
            </w:r>
          </w:p>
        </w:tc>
        <w:tc>
          <w:tcPr>
            <w:tcW w:w="9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78"/>
        </w:trPr>
        <w:tc>
          <w:tcPr>
            <w:tcW w:w="8240" w:type="dxa"/>
            <w:vAlign w:val="bottom"/>
          </w:tcPr>
          <w:p>
            <w:pPr>
              <w:ind w:left="120"/>
              <w:spacing w:after="0"/>
              <w:rPr>
                <w:sz w:val="20"/>
                <w:szCs w:val="20"/>
                <w:color w:val="auto"/>
              </w:rPr>
            </w:pPr>
            <w:r>
              <w:rPr>
                <w:rFonts w:ascii="Arial" w:cs="Arial" w:eastAsia="Arial" w:hAnsi="Arial"/>
                <w:sz w:val="14"/>
                <w:szCs w:val="14"/>
                <w:color w:val="auto"/>
              </w:rPr>
              <w:t>Proceeds from short-term debt</w:t>
            </w:r>
          </w:p>
        </w:tc>
        <w:tc>
          <w:tcPr>
            <w:tcW w:w="90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150,000</w:t>
            </w:r>
          </w:p>
        </w:tc>
      </w:tr>
      <w:tr>
        <w:trPr>
          <w:trHeight w:val="184"/>
        </w:trPr>
        <w:tc>
          <w:tcPr>
            <w:tcW w:w="8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Repayment of short-term debt</w:t>
            </w:r>
          </w:p>
        </w:tc>
        <w:tc>
          <w:tcPr>
            <w:tcW w:w="9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(150,000)</w:t>
            </w:r>
          </w:p>
        </w:tc>
      </w:tr>
      <w:tr>
        <w:trPr>
          <w:trHeight w:val="178"/>
        </w:trPr>
        <w:tc>
          <w:tcPr>
            <w:tcW w:w="8240" w:type="dxa"/>
            <w:vAlign w:val="bottom"/>
          </w:tcPr>
          <w:p>
            <w:pPr>
              <w:ind w:left="120"/>
              <w:spacing w:after="0"/>
              <w:rPr>
                <w:sz w:val="20"/>
                <w:szCs w:val="20"/>
                <w:color w:val="auto"/>
              </w:rPr>
            </w:pPr>
            <w:r>
              <w:rPr>
                <w:rFonts w:ascii="Arial" w:cs="Arial" w:eastAsia="Arial" w:hAnsi="Arial"/>
                <w:sz w:val="14"/>
                <w:szCs w:val="14"/>
                <w:color w:val="auto"/>
              </w:rPr>
              <w:t>Proceeds from exercise of stock options</w:t>
            </w:r>
          </w:p>
        </w:tc>
        <w:tc>
          <w:tcPr>
            <w:tcW w:w="9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6,966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8,586</w:t>
            </w:r>
          </w:p>
        </w:tc>
      </w:tr>
      <w:tr>
        <w:trPr>
          <w:trHeight w:val="184"/>
        </w:trPr>
        <w:tc>
          <w:tcPr>
            <w:tcW w:w="8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Payments on finance leases</w:t>
            </w:r>
          </w:p>
        </w:tc>
        <w:tc>
          <w:tcPr>
            <w:tcW w:w="9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w:t>
            </w:r>
          </w:p>
        </w:tc>
      </w:tr>
      <w:tr>
        <w:trPr>
          <w:trHeight w:val="178"/>
        </w:trPr>
        <w:tc>
          <w:tcPr>
            <w:tcW w:w="824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Tax withholding payments related to net share settlement of equity awards</w:t>
            </w:r>
          </w:p>
        </w:tc>
        <w:tc>
          <w:tcPr>
            <w:tcW w:w="9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(8,109)</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(12,821)</w:t>
            </w:r>
          </w:p>
        </w:tc>
      </w:tr>
      <w:tr>
        <w:trPr>
          <w:trHeight w:val="177"/>
        </w:trPr>
        <w:tc>
          <w:tcPr>
            <w:tcW w:w="8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cash used in financing activities</w:t>
            </w:r>
          </w:p>
        </w:tc>
        <w:tc>
          <w:tcPr>
            <w:tcW w:w="90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(1,591)</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(4,466)</w:t>
            </w:r>
          </w:p>
        </w:tc>
      </w:tr>
      <w:tr>
        <w:trPr>
          <w:trHeight w:val="171"/>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Effect of exchange rate changes on cash</w:t>
            </w:r>
          </w:p>
        </w:tc>
        <w:tc>
          <w:tcPr>
            <w:tcW w:w="9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(2,192)</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w:t>
            </w:r>
          </w:p>
        </w:tc>
      </w:tr>
      <w:tr>
        <w:trPr>
          <w:trHeight w:val="177"/>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INCREASE CASH AND CASH EQUIVALENTS</w:t>
            </w:r>
          </w:p>
        </w:tc>
        <w:tc>
          <w:tcPr>
            <w:tcW w:w="9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123,388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82,323</w:t>
            </w:r>
          </w:p>
        </w:tc>
      </w:tr>
      <w:tr>
        <w:trPr>
          <w:trHeight w:val="178"/>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AND CASH EQUIVALENTS, beginning of period</w:t>
            </w:r>
          </w:p>
        </w:tc>
        <w:tc>
          <w:tcPr>
            <w:tcW w:w="9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0"/>
              </w:rPr>
              <w:t>396,097</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268,670</w:t>
            </w:r>
          </w:p>
        </w:tc>
      </w:tr>
      <w:tr>
        <w:trPr>
          <w:trHeight w:val="202"/>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 end of period</w:t>
            </w:r>
          </w:p>
        </w:tc>
        <w:tc>
          <w:tcPr>
            <w:tcW w:w="900" w:type="dxa"/>
            <w:vAlign w:val="bottom"/>
            <w:tcBorders>
              <w:bottom w:val="single" w:sz="8" w:color="auto"/>
            </w:tcBorders>
            <w:shd w:val="clear" w:color="auto" w:fill="CCEEFF"/>
          </w:tcPr>
          <w:p>
            <w:pPr>
              <w:jc w:val="right"/>
              <w:ind w:right="751"/>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0"/>
              </w:rPr>
              <w:t>519,485</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350,993</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 w:name="page9"/>
    <w:bookmarkEnd w:id="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u w:val="single" w:color="auto"/>
          <w:color w:val="auto"/>
        </w:rPr>
        <w:t>ICU MEDICAL, INC. AND SUBSIDIARIES</w:t>
      </w: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u w:val="single" w:color="auto"/>
          <w:color w:val="auto"/>
        </w:rPr>
        <w:t>CONDENSED CONSOLIDATED STATEMENTS OF CASH FLOWS (Unaudited) - CONTINUED</w:t>
      </w:r>
    </w:p>
    <w:p>
      <w:pPr>
        <w:spacing w:after="0" w:line="3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(In thousands)</w:t>
      </w:r>
    </w:p>
    <w:p>
      <w:pPr>
        <w:spacing w:after="0" w:line="9"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8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40" w:type="dxa"/>
            <w:vAlign w:val="bottom"/>
            <w:gridSpan w:val="4"/>
          </w:tcPr>
          <w:p>
            <w:pPr>
              <w:jc w:val="right"/>
              <w:ind w:right="662"/>
              <w:spacing w:after="0"/>
              <w:rPr>
                <w:sz w:val="20"/>
                <w:szCs w:val="20"/>
                <w:color w:val="auto"/>
              </w:rPr>
            </w:pPr>
            <w:r>
              <w:rPr>
                <w:rFonts w:ascii="Arial" w:cs="Arial" w:eastAsia="Arial" w:hAnsi="Arial"/>
                <w:sz w:val="17"/>
                <w:szCs w:val="17"/>
                <w:b w:val="1"/>
                <w:bCs w:val="1"/>
                <w:color w:val="auto"/>
              </w:rPr>
              <w:t>Nine months ended</w:t>
            </w:r>
          </w:p>
        </w:tc>
      </w:tr>
      <w:tr>
        <w:trPr>
          <w:trHeight w:val="220"/>
        </w:trPr>
        <w:tc>
          <w:tcPr>
            <w:tcW w:w="83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September 30,</w:t>
            </w:r>
          </w:p>
        </w:tc>
        <w:tc>
          <w:tcPr>
            <w:tcW w:w="880" w:type="dxa"/>
            <w:vAlign w:val="bottom"/>
            <w:tcBorders>
              <w:bottom w:val="single" w:sz="8" w:color="auto"/>
            </w:tcBorders>
          </w:tcPr>
          <w:p>
            <w:pPr>
              <w:spacing w:after="0"/>
              <w:rPr>
                <w:sz w:val="19"/>
                <w:szCs w:val="19"/>
                <w:color w:val="auto"/>
              </w:rPr>
            </w:pPr>
          </w:p>
        </w:tc>
      </w:tr>
      <w:tr>
        <w:trPr>
          <w:trHeight w:val="197"/>
        </w:trPr>
        <w:tc>
          <w:tcPr>
            <w:tcW w:w="83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62"/>
              <w:spacing w:after="0"/>
              <w:rPr>
                <w:sz w:val="20"/>
                <w:szCs w:val="20"/>
                <w:color w:val="auto"/>
              </w:rPr>
            </w:pPr>
            <w:r>
              <w:rPr>
                <w:rFonts w:ascii="Arial" w:cs="Arial" w:eastAsia="Arial" w:hAnsi="Arial"/>
                <w:sz w:val="16"/>
                <w:szCs w:val="16"/>
                <w:b w:val="1"/>
                <w:bCs w:val="1"/>
                <w:color w:val="auto"/>
                <w:w w:val="89"/>
              </w:rPr>
              <w:t>2020</w:t>
            </w:r>
          </w:p>
        </w:tc>
      </w:tr>
      <w:tr>
        <w:trPr>
          <w:trHeight w:val="189"/>
        </w:trPr>
        <w:tc>
          <w:tcPr>
            <w:tcW w:w="8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SUPPLEMENTAL DISCLOSURE OF NON-CASH INVESTING ACTIVITIES:</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204"/>
        </w:trPr>
        <w:tc>
          <w:tcPr>
            <w:tcW w:w="8300" w:type="dxa"/>
            <w:vAlign w:val="bottom"/>
          </w:tcPr>
          <w:p>
            <w:pPr>
              <w:ind w:left="80"/>
              <w:spacing w:after="0"/>
              <w:rPr>
                <w:sz w:val="20"/>
                <w:szCs w:val="20"/>
                <w:color w:val="auto"/>
              </w:rPr>
            </w:pPr>
            <w:r>
              <w:rPr>
                <w:rFonts w:ascii="Arial" w:cs="Arial" w:eastAsia="Arial" w:hAnsi="Arial"/>
                <w:sz w:val="16"/>
                <w:szCs w:val="16"/>
                <w:color w:val="auto"/>
              </w:rPr>
              <w:t>Accounts payable for property and equipment</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2,897</w:t>
            </w:r>
          </w:p>
        </w:tc>
        <w:tc>
          <w:tcPr>
            <w:tcW w:w="100" w:type="dxa"/>
            <w:vAlign w:val="bottom"/>
          </w:tcPr>
          <w:p>
            <w:pPr>
              <w:spacing w:after="0"/>
              <w:rPr>
                <w:sz w:val="17"/>
                <w:szCs w:val="17"/>
                <w:color w:val="auto"/>
              </w:rPr>
            </w:pPr>
          </w:p>
        </w:tc>
        <w:tc>
          <w:tcPr>
            <w:tcW w:w="500" w:type="dxa"/>
            <w:vAlign w:val="bottom"/>
          </w:tcPr>
          <w:p>
            <w:pPr>
              <w:jc w:val="right"/>
              <w:ind w:right="322"/>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3,633</w:t>
            </w:r>
          </w:p>
        </w:tc>
      </w:tr>
      <w:tr>
        <w:trPr>
          <w:trHeight w:val="210"/>
        </w:trPr>
        <w:tc>
          <w:tcPr>
            <w:tcW w:w="8300" w:type="dxa"/>
            <w:vAlign w:val="bottom"/>
            <w:shd w:val="clear" w:color="auto" w:fill="CCEEFF"/>
          </w:tcPr>
          <w:p>
            <w:pPr>
              <w:ind w:left="80"/>
              <w:spacing w:after="0"/>
              <w:rPr>
                <w:sz w:val="20"/>
                <w:szCs w:val="20"/>
                <w:color w:val="auto"/>
              </w:rPr>
            </w:pPr>
            <w:r>
              <w:rPr>
                <w:rFonts w:ascii="Arial" w:cs="Arial" w:eastAsia="Arial" w:hAnsi="Arial"/>
                <w:sz w:val="16"/>
                <w:szCs w:val="16"/>
                <w:color w:val="auto"/>
              </w:rPr>
              <w:t>Non-compete agreement with associated contingent earn-out liability</w:t>
            </w: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22"/>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r>
    </w:tbl>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9" w:name="page10"/>
    <w:bookmarkEnd w:id="9"/>
    <w:p>
      <w:pPr>
        <w:jc w:val="center"/>
        <w:spacing w:after="0"/>
        <w:rPr>
          <w:sz w:val="20"/>
          <w:szCs w:val="20"/>
          <w:color w:val="auto"/>
        </w:rPr>
      </w:pPr>
      <w:r>
        <w:rPr>
          <w:rFonts w:ascii="Arial" w:cs="Arial" w:eastAsia="Arial" w:hAnsi="Arial"/>
          <w:sz w:val="17"/>
          <w:szCs w:val="17"/>
          <w:b w:val="1"/>
          <w:bCs w:val="1"/>
          <w:color w:val="auto"/>
        </w:rPr>
        <w:t>ICU MEDICAL, INC. AND SUBSIDIARIES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 Basis of Presentation</w:t>
      </w:r>
    </w:p>
    <w:p>
      <w:pPr>
        <w:spacing w:after="0" w:line="224" w:lineRule="exact"/>
        <w:rPr>
          <w:sz w:val="20"/>
          <w:szCs w:val="20"/>
          <w:color w:val="auto"/>
        </w:rPr>
      </w:pPr>
    </w:p>
    <w:p>
      <w:pPr>
        <w:ind w:right="20" w:firstLine="620"/>
        <w:spacing w:after="0" w:line="258" w:lineRule="auto"/>
        <w:rPr>
          <w:sz w:val="20"/>
          <w:szCs w:val="20"/>
          <w:color w:val="auto"/>
        </w:rPr>
      </w:pPr>
      <w:r>
        <w:rPr>
          <w:rFonts w:ascii="Arial" w:cs="Arial" w:eastAsia="Arial" w:hAnsi="Arial"/>
          <w:sz w:val="17"/>
          <w:szCs w:val="17"/>
          <w:color w:val="auto"/>
        </w:rPr>
        <w:t>The accompanying unaudited interim condensed consolidated financial statements have been prepared in accordance with accounting principles generally accepted in the United States of America ("U.S.") and pursuant to the rules and regulations of the Securities and Exchange Commission (“SEC”) and reflect all adjustments, consisting of only normal recurring adjustments, which are, in the opinion of management, necessary for a fair statement of the consolidated results for the interim periods presented. Results for the interim period are not necessarily indicative of results for the full year. Certain information and footnote disclosures normally included in annual consolidated financial statements prepared in accordance with generally accepted accounting principles have been condensed or omitted pursuant to such rules and regulations. The condensed consolidated financial statements should be read in conjunction with the consolidated financial statements and notes thereto included in the Annual Report on Form 10-K of ICU Medical, Inc., ("ICU") a Delaware corporation, filed with the SEC for the year ended December 31, 2020.</w:t>
      </w:r>
    </w:p>
    <w:p>
      <w:pPr>
        <w:spacing w:after="0" w:line="180" w:lineRule="exact"/>
        <w:rPr>
          <w:sz w:val="20"/>
          <w:szCs w:val="20"/>
          <w:color w:val="auto"/>
        </w:rPr>
      </w:pPr>
    </w:p>
    <w:p>
      <w:pPr>
        <w:ind w:right="100" w:firstLine="620"/>
        <w:spacing w:after="0" w:line="285" w:lineRule="auto"/>
        <w:rPr>
          <w:sz w:val="20"/>
          <w:szCs w:val="20"/>
          <w:color w:val="auto"/>
        </w:rPr>
      </w:pPr>
      <w:r>
        <w:rPr>
          <w:rFonts w:ascii="Arial" w:cs="Arial" w:eastAsia="Arial" w:hAnsi="Arial"/>
          <w:sz w:val="16"/>
          <w:szCs w:val="16"/>
          <w:color w:val="auto"/>
        </w:rPr>
        <w:t>We are engaged in the development, manufacturing and sale of innovative medical products used in vascular therapy and critical care applications. We sell the majority of our products through our direct sales force and through independent distributors throughout the U.S. and internationally. Additionally, we sell our products on an original equipment manufacturer basis to other medical device manufacturers. All subsidiaries are wholly owned and are included in the condensed consolidated financial statements. All intercompany balances and transactions have been eliminated.</w:t>
      </w:r>
    </w:p>
    <w:p>
      <w:pPr>
        <w:spacing w:after="0" w:line="180"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Note 2:</w:t>
      </w:r>
      <w:r>
        <w:rPr>
          <w:sz w:val="20"/>
          <w:szCs w:val="20"/>
          <w:color w:val="auto"/>
        </w:rPr>
        <w:tab/>
      </w:r>
      <w:r>
        <w:rPr>
          <w:rFonts w:ascii="Arial" w:cs="Arial" w:eastAsia="Arial" w:hAnsi="Arial"/>
          <w:sz w:val="15"/>
          <w:szCs w:val="15"/>
          <w:b w:val="1"/>
          <w:bCs w:val="1"/>
          <w:color w:val="auto"/>
        </w:rPr>
        <w:t>New Accounting Pronouncements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Recently Issued Accounting Standards</w:t>
      </w:r>
    </w:p>
    <w:p>
      <w:pPr>
        <w:spacing w:after="0" w:line="244" w:lineRule="exact"/>
        <w:rPr>
          <w:sz w:val="20"/>
          <w:szCs w:val="20"/>
          <w:color w:val="auto"/>
        </w:rPr>
      </w:pPr>
    </w:p>
    <w:p>
      <w:pPr>
        <w:ind w:firstLine="172"/>
        <w:spacing w:after="0" w:line="274" w:lineRule="auto"/>
        <w:rPr>
          <w:sz w:val="20"/>
          <w:szCs w:val="20"/>
          <w:color w:val="auto"/>
        </w:rPr>
      </w:pPr>
      <w:r>
        <w:rPr>
          <w:rFonts w:ascii="Arial" w:cs="Arial" w:eastAsia="Arial" w:hAnsi="Arial"/>
          <w:sz w:val="16"/>
          <w:szCs w:val="16"/>
          <w:color w:val="auto"/>
        </w:rPr>
        <w:t>In March 2020, the FASB issued ASU No. 2020-04, Reference Rate Reform (Topic 848) - Facilitation of the Effects of Reference Rate Reform on Financial Reporting. The amendments in this update provide optional guidance for a limited period of time to ease the potential burden for reference rate reform on financial reporting. Due to concerns about structural risks of interbank offered rates and, particularly, the risk of cessation of the London Interbank Offered Rate ("LIBOR"), regulators around the world have undertaken reference rate reform initiatives to identify alternative reference rates that are more observable or transaction based and less susceptible to manipulation. The amendments in this update apply only to contracts, hedging relationships, and other transactions that reference LIBOR or another reference rate expected to be discontinued as a result of reference rate reform. Optional expedients may be applied to contracts that are modified as a result of the reference rate reform. Modifications of contracts within the scope of Topic 470, Debt, should be accounted for by prospectively adjusting the effective interest rate. Modifications of contracts within the scope of ASC 842, Leases, should be accounted for as a continuation of the existing contracts with no reassessments of the lease classification and the discount rate (incremental borrowing rate). Exceptions to Topic 815, Derivatives and Hedging, results in not having a dedesignation of a hedging relationship if certain criteria are met. The amendments in this ASU are effective for all entities as of March 12, 2020 through December 31, 2022. The impact of this ASU on our contracts has not been material.</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 Restructuring, Strategic Transaction and Integration</w:t>
      </w:r>
    </w:p>
    <w:p>
      <w:pPr>
        <w:spacing w:after="0" w:line="250" w:lineRule="exact"/>
        <w:rPr>
          <w:sz w:val="20"/>
          <w:szCs w:val="20"/>
          <w:color w:val="auto"/>
        </w:rPr>
      </w:pPr>
    </w:p>
    <w:p>
      <w:pPr>
        <w:ind w:right="520" w:firstLine="172"/>
        <w:spacing w:after="0" w:line="315" w:lineRule="auto"/>
        <w:rPr>
          <w:sz w:val="20"/>
          <w:szCs w:val="20"/>
          <w:color w:val="auto"/>
        </w:rPr>
      </w:pPr>
      <w:r>
        <w:rPr>
          <w:rFonts w:ascii="Arial" w:cs="Arial" w:eastAsia="Arial" w:hAnsi="Arial"/>
          <w:sz w:val="16"/>
          <w:szCs w:val="16"/>
          <w:color w:val="auto"/>
        </w:rPr>
        <w:t>Restructuring, strategic transaction and integration expenses were $2.4 million and $9.0 million for the three and nine months ended September 30, 2021 respectively, as compared to $4.1 million and $22.9 million for the three and nine months ended September 30, 2020 respectively.</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Restructuring</w:t>
      </w:r>
    </w:p>
    <w:p>
      <w:pPr>
        <w:spacing w:after="0" w:line="244" w:lineRule="exact"/>
        <w:rPr>
          <w:sz w:val="20"/>
          <w:szCs w:val="20"/>
          <w:color w:val="auto"/>
        </w:rPr>
      </w:pPr>
    </w:p>
    <w:p>
      <w:pPr>
        <w:ind w:firstLine="172"/>
        <w:spacing w:after="0" w:line="304" w:lineRule="auto"/>
        <w:rPr>
          <w:sz w:val="20"/>
          <w:szCs w:val="20"/>
          <w:color w:val="auto"/>
        </w:rPr>
      </w:pPr>
      <w:r>
        <w:rPr>
          <w:rFonts w:ascii="Arial" w:cs="Arial" w:eastAsia="Arial" w:hAnsi="Arial"/>
          <w:sz w:val="15"/>
          <w:szCs w:val="15"/>
          <w:color w:val="auto"/>
        </w:rPr>
        <w:t>During the third quarter we adjusted certain facility restructuring liabilities by $2.0 million, shown in the table below under "other adjustments", to reflect actual amounts owed which resulted in net restructuring credits of $(1.9) million and $(1.8) million, for the three and nine months ended September 30, 2021, respectively. During the three and nine months ended September 30, 2020 restructuring charges were $0.0 million and $8.1 million, respectively. Restructuring charges for the three and nine months ended September 30, 2020 were primarily related to severance charges and costs related to office and other facility closures. Restructuring charges are included in the above restructuring, strategic transaction and integration expenses in our condensed consolidated statement of operations.</w:t>
      </w:r>
    </w:p>
    <w:p>
      <w:pPr>
        <w:spacing w:after="0" w:line="148"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following table summarizes the details of changes in our restructuring-related accrual for the period ended September 30, 2021 (in thousands):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7"/>
          <w:szCs w:val="17"/>
          <w:b w:val="1"/>
          <w:bCs w:val="1"/>
          <w:color w:val="auto"/>
        </w:rPr>
        <w:t>ICU MEDICAL, INC. AND SUBSIDIARIES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Accrued Balance</w:t>
            </w:r>
          </w:p>
        </w:tc>
        <w:tc>
          <w:tcPr>
            <w:tcW w:w="300" w:type="dxa"/>
            <w:vAlign w:val="bottom"/>
          </w:tcPr>
          <w:p>
            <w:pPr>
              <w:spacing w:after="0"/>
              <w:rPr>
                <w:sz w:val="16"/>
                <w:szCs w:val="16"/>
                <w:color w:val="auto"/>
              </w:rPr>
            </w:pPr>
          </w:p>
        </w:tc>
        <w:tc>
          <w:tcPr>
            <w:tcW w:w="1340" w:type="dxa"/>
            <w:vAlign w:val="bottom"/>
            <w:gridSpan w:val="2"/>
          </w:tcPr>
          <w:p>
            <w:pPr>
              <w:ind w:left="200"/>
              <w:spacing w:after="0"/>
              <w:rPr>
                <w:sz w:val="20"/>
                <w:szCs w:val="20"/>
                <w:color w:val="auto"/>
              </w:rPr>
            </w:pPr>
            <w:r>
              <w:rPr>
                <w:rFonts w:ascii="Arial" w:cs="Arial" w:eastAsia="Arial" w:hAnsi="Arial"/>
                <w:sz w:val="16"/>
                <w:szCs w:val="16"/>
                <w:b w:val="1"/>
                <w:bCs w:val="1"/>
                <w:color w:val="auto"/>
              </w:rPr>
              <w:t>Charges</w:t>
            </w:r>
          </w:p>
        </w:tc>
        <w:tc>
          <w:tcPr>
            <w:tcW w:w="300" w:type="dxa"/>
            <w:vAlign w:val="bottom"/>
          </w:tcPr>
          <w:p>
            <w:pPr>
              <w:spacing w:after="0"/>
              <w:rPr>
                <w:sz w:val="16"/>
                <w:szCs w:val="16"/>
                <w:color w:val="auto"/>
              </w:rPr>
            </w:pPr>
          </w:p>
        </w:tc>
        <w:tc>
          <w:tcPr>
            <w:tcW w:w="136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Payments</w:t>
            </w:r>
          </w:p>
        </w:tc>
        <w:tc>
          <w:tcPr>
            <w:tcW w:w="260" w:type="dxa"/>
            <w:vAlign w:val="bottom"/>
          </w:tcPr>
          <w:p>
            <w:pPr>
              <w:spacing w:after="0"/>
              <w:rPr>
                <w:sz w:val="16"/>
                <w:szCs w:val="16"/>
                <w:color w:val="auto"/>
              </w:rPr>
            </w:pPr>
          </w:p>
        </w:tc>
        <w:tc>
          <w:tcPr>
            <w:tcW w:w="1340" w:type="dxa"/>
            <w:vAlign w:val="bottom"/>
          </w:tcPr>
          <w:p>
            <w:pPr>
              <w:jc w:val="center"/>
              <w:ind w:right="257"/>
              <w:spacing w:after="0"/>
              <w:rPr>
                <w:sz w:val="20"/>
                <w:szCs w:val="20"/>
                <w:color w:val="auto"/>
              </w:rPr>
            </w:pPr>
            <w:r>
              <w:rPr>
                <w:rFonts w:ascii="Arial" w:cs="Arial" w:eastAsia="Arial" w:hAnsi="Arial"/>
                <w:sz w:val="16"/>
                <w:szCs w:val="16"/>
                <w:b w:val="1"/>
                <w:bCs w:val="1"/>
                <w:color w:val="auto"/>
                <w:w w:val="91"/>
              </w:rPr>
              <w:t>Currency</w:t>
            </w:r>
          </w:p>
        </w:tc>
        <w:tc>
          <w:tcPr>
            <w:tcW w:w="160" w:type="dxa"/>
            <w:vAlign w:val="bottom"/>
          </w:tcPr>
          <w:p>
            <w:pPr>
              <w:spacing w:after="0"/>
              <w:rPr>
                <w:sz w:val="16"/>
                <w:szCs w:val="16"/>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3"/>
              </w:rPr>
              <w:t>Other</w:t>
            </w:r>
          </w:p>
        </w:tc>
        <w:tc>
          <w:tcPr>
            <w:tcW w:w="120" w:type="dxa"/>
            <w:vAlign w:val="bottom"/>
          </w:tcPr>
          <w:p>
            <w:pPr>
              <w:spacing w:after="0"/>
              <w:rPr>
                <w:sz w:val="16"/>
                <w:szCs w:val="16"/>
                <w:color w:val="auto"/>
              </w:rPr>
            </w:pPr>
          </w:p>
        </w:tc>
        <w:tc>
          <w:tcPr>
            <w:tcW w:w="1440" w:type="dxa"/>
            <w:vAlign w:val="bottom"/>
          </w:tcPr>
          <w:p>
            <w:pPr>
              <w:jc w:val="right"/>
              <w:ind w:right="157"/>
              <w:spacing w:after="0"/>
              <w:rPr>
                <w:sz w:val="20"/>
                <w:szCs w:val="20"/>
                <w:color w:val="auto"/>
              </w:rPr>
            </w:pPr>
            <w:r>
              <w:rPr>
                <w:rFonts w:ascii="Arial" w:cs="Arial" w:eastAsia="Arial" w:hAnsi="Arial"/>
                <w:sz w:val="16"/>
                <w:szCs w:val="16"/>
                <w:b w:val="1"/>
                <w:bCs w:val="1"/>
                <w:color w:val="auto"/>
                <w:w w:val="90"/>
              </w:rPr>
              <w:t>Accrued Balance</w:t>
            </w:r>
          </w:p>
        </w:tc>
        <w:tc>
          <w:tcPr>
            <w:tcW w:w="0" w:type="dxa"/>
            <w:vAlign w:val="bottom"/>
          </w:tcPr>
          <w:p>
            <w:pPr>
              <w:spacing w:after="0"/>
              <w:rPr>
                <w:sz w:val="1"/>
                <w:szCs w:val="1"/>
                <w:color w:val="auto"/>
              </w:rPr>
            </w:pPr>
          </w:p>
        </w:tc>
      </w:tr>
      <w:tr>
        <w:trPr>
          <w:trHeight w:val="204"/>
        </w:trPr>
        <w:tc>
          <w:tcPr>
            <w:tcW w:w="1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January 1, 2021</w:t>
            </w:r>
          </w:p>
        </w:tc>
        <w:tc>
          <w:tcPr>
            <w:tcW w:w="300" w:type="dxa"/>
            <w:vAlign w:val="bottom"/>
          </w:tcPr>
          <w:p>
            <w:pPr>
              <w:spacing w:after="0"/>
              <w:rPr>
                <w:sz w:val="17"/>
                <w:szCs w:val="17"/>
                <w:color w:val="auto"/>
              </w:rPr>
            </w:pPr>
          </w:p>
        </w:tc>
        <w:tc>
          <w:tcPr>
            <w:tcW w:w="1340" w:type="dxa"/>
            <w:vAlign w:val="bottom"/>
            <w:gridSpan w:val="2"/>
          </w:tcPr>
          <w:p>
            <w:pPr>
              <w:ind w:left="180"/>
              <w:spacing w:after="0"/>
              <w:rPr>
                <w:sz w:val="20"/>
                <w:szCs w:val="20"/>
                <w:color w:val="auto"/>
              </w:rPr>
            </w:pPr>
            <w:r>
              <w:rPr>
                <w:rFonts w:ascii="Arial" w:cs="Arial" w:eastAsia="Arial" w:hAnsi="Arial"/>
                <w:sz w:val="16"/>
                <w:szCs w:val="16"/>
                <w:b w:val="1"/>
                <w:bCs w:val="1"/>
                <w:color w:val="auto"/>
              </w:rPr>
              <w:t>Incurred</w:t>
            </w:r>
          </w:p>
        </w:tc>
        <w:tc>
          <w:tcPr>
            <w:tcW w:w="300" w:type="dxa"/>
            <w:vAlign w:val="bottom"/>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jc w:val="center"/>
              <w:ind w:right="217"/>
              <w:spacing w:after="0"/>
              <w:rPr>
                <w:sz w:val="20"/>
                <w:szCs w:val="20"/>
                <w:color w:val="auto"/>
              </w:rPr>
            </w:pPr>
            <w:r>
              <w:rPr>
                <w:rFonts w:ascii="Arial" w:cs="Arial" w:eastAsia="Arial" w:hAnsi="Arial"/>
                <w:sz w:val="16"/>
                <w:szCs w:val="16"/>
                <w:b w:val="1"/>
                <w:bCs w:val="1"/>
                <w:color w:val="auto"/>
                <w:w w:val="88"/>
              </w:rPr>
              <w:t>Translation</w:t>
            </w:r>
          </w:p>
        </w:tc>
        <w:tc>
          <w:tcPr>
            <w:tcW w:w="160" w:type="dxa"/>
            <w:vAlign w:val="bottom"/>
          </w:tcPr>
          <w:p>
            <w:pPr>
              <w:spacing w:after="0"/>
              <w:rPr>
                <w:sz w:val="17"/>
                <w:szCs w:val="17"/>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7"/>
              </w:rPr>
              <w:t>Adjustments(1)</w:t>
            </w:r>
          </w:p>
        </w:tc>
        <w:tc>
          <w:tcPr>
            <w:tcW w:w="120" w:type="dxa"/>
            <w:vAlign w:val="bottom"/>
          </w:tcPr>
          <w:p>
            <w:pPr>
              <w:spacing w:after="0"/>
              <w:rPr>
                <w:sz w:val="17"/>
                <w:szCs w:val="17"/>
                <w:color w:val="auto"/>
              </w:rPr>
            </w:pPr>
          </w:p>
        </w:tc>
        <w:tc>
          <w:tcPr>
            <w:tcW w:w="1440" w:type="dxa"/>
            <w:vAlign w:val="bottom"/>
          </w:tcPr>
          <w:p>
            <w:pPr>
              <w:jc w:val="right"/>
              <w:ind w:right="37"/>
              <w:spacing w:after="0"/>
              <w:rPr>
                <w:sz w:val="20"/>
                <w:szCs w:val="20"/>
                <w:color w:val="auto"/>
              </w:rPr>
            </w:pPr>
            <w:r>
              <w:rPr>
                <w:rFonts w:ascii="Arial" w:cs="Arial" w:eastAsia="Arial" w:hAnsi="Arial"/>
                <w:sz w:val="16"/>
                <w:szCs w:val="16"/>
                <w:b w:val="1"/>
                <w:bCs w:val="1"/>
                <w:color w:val="auto"/>
                <w:w w:val="86"/>
              </w:rPr>
              <w:t>September 30, 2021</w:t>
            </w:r>
          </w:p>
        </w:tc>
        <w:tc>
          <w:tcPr>
            <w:tcW w:w="0" w:type="dxa"/>
            <w:vAlign w:val="bottom"/>
          </w:tcPr>
          <w:p>
            <w:pPr>
              <w:spacing w:after="0"/>
              <w:rPr>
                <w:sz w:val="1"/>
                <w:szCs w:val="1"/>
                <w:color w:val="auto"/>
              </w:rPr>
            </w:pPr>
          </w:p>
        </w:tc>
      </w:tr>
      <w:tr>
        <w:trPr>
          <w:trHeight w:val="151"/>
        </w:trPr>
        <w:tc>
          <w:tcPr>
            <w:tcW w:w="1740" w:type="dxa"/>
            <w:vAlign w:val="bottom"/>
            <w:tcBorders>
              <w:top w:val="single" w:sz="8" w:color="CCEEFF"/>
            </w:tcBorders>
            <w:shd w:val="clear" w:color="auto" w:fill="CCEEFF"/>
          </w:tcPr>
          <w:p>
            <w:pPr>
              <w:ind w:left="20"/>
              <w:spacing w:after="0" w:line="151" w:lineRule="exact"/>
              <w:rPr>
                <w:sz w:val="20"/>
                <w:szCs w:val="20"/>
                <w:color w:val="auto"/>
              </w:rPr>
            </w:pPr>
            <w:r>
              <w:rPr>
                <w:rFonts w:ascii="Arial" w:cs="Arial" w:eastAsia="Arial" w:hAnsi="Arial"/>
                <w:sz w:val="17"/>
                <w:szCs w:val="17"/>
                <w:color w:val="auto"/>
              </w:rPr>
              <w:t>Severance pay and</w:t>
            </w: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1,858</w:t>
            </w: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vMerge w:val="restart"/>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2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143</w:t>
            </w:r>
          </w:p>
        </w:tc>
        <w:tc>
          <w:tcPr>
            <w:tcW w:w="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vMerge w:val="restart"/>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2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(872)</w:t>
            </w: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vMerge w:val="restart"/>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340" w:type="dxa"/>
            <w:vAlign w:val="bottom"/>
            <w:tcBorders>
              <w:top w:val="single" w:sz="8" w:color="auto"/>
            </w:tcBorders>
            <w:vMerge w:val="restart"/>
            <w:shd w:val="clear" w:color="auto" w:fill="CCEEFF"/>
          </w:tcPr>
          <w:p>
            <w:pPr>
              <w:ind w:left="1080"/>
              <w:spacing w:after="0"/>
              <w:rPr>
                <w:sz w:val="20"/>
                <w:szCs w:val="20"/>
                <w:color w:val="auto"/>
              </w:rPr>
            </w:pPr>
            <w:r>
              <w:rPr>
                <w:rFonts w:ascii="Arial" w:cs="Arial" w:eastAsia="Arial" w:hAnsi="Arial"/>
                <w:sz w:val="17"/>
                <w:szCs w:val="17"/>
                <w:color w:val="auto"/>
              </w:rPr>
              <w:t>(3)</w:t>
            </w: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(528)</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598</w:t>
            </w:r>
          </w:p>
        </w:tc>
        <w:tc>
          <w:tcPr>
            <w:tcW w:w="0" w:type="dxa"/>
            <w:vAlign w:val="bottom"/>
          </w:tcPr>
          <w:p>
            <w:pPr>
              <w:spacing w:after="0"/>
              <w:rPr>
                <w:sz w:val="1"/>
                <w:szCs w:val="1"/>
                <w:color w:val="auto"/>
              </w:rPr>
            </w:pPr>
          </w:p>
        </w:tc>
      </w:tr>
      <w:tr>
        <w:trPr>
          <w:trHeight w:val="219"/>
        </w:trPr>
        <w:tc>
          <w:tcPr>
            <w:tcW w:w="1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benefits</w:t>
            </w:r>
          </w:p>
        </w:tc>
        <w:tc>
          <w:tcPr>
            <w:tcW w:w="160" w:type="dxa"/>
            <w:vAlign w:val="bottom"/>
            <w:vMerge w:val="continue"/>
            <w:shd w:val="clear" w:color="auto" w:fill="CCEEFF"/>
          </w:tcPr>
          <w:p>
            <w:pPr>
              <w:spacing w:after="0"/>
              <w:rPr>
                <w:sz w:val="19"/>
                <w:szCs w:val="19"/>
                <w:color w:val="auto"/>
              </w:rPr>
            </w:pPr>
          </w:p>
        </w:tc>
        <w:tc>
          <w:tcPr>
            <w:tcW w:w="13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4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1740" w:type="dxa"/>
            <w:vAlign w:val="bottom"/>
          </w:tcPr>
          <w:p>
            <w:pPr>
              <w:ind w:left="20"/>
              <w:spacing w:after="0" w:line="168" w:lineRule="exact"/>
              <w:rPr>
                <w:sz w:val="20"/>
                <w:szCs w:val="20"/>
                <w:color w:val="auto"/>
              </w:rPr>
            </w:pPr>
            <w:r>
              <w:rPr>
                <w:rFonts w:ascii="Arial" w:cs="Arial" w:eastAsia="Arial" w:hAnsi="Arial"/>
                <w:sz w:val="17"/>
                <w:szCs w:val="17"/>
                <w:color w:val="auto"/>
              </w:rPr>
              <w:t>Facility closure</w:t>
            </w:r>
          </w:p>
        </w:tc>
        <w:tc>
          <w:tcPr>
            <w:tcW w:w="16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Arial" w:cs="Arial" w:eastAsia="Arial" w:hAnsi="Arial"/>
                <w:sz w:val="17"/>
                <w:szCs w:val="17"/>
                <w:color w:val="auto"/>
              </w:rPr>
              <w:t>1,563</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4"/>
                <w:szCs w:val="14"/>
                <w:color w:val="auto"/>
              </w:rPr>
            </w:pPr>
          </w:p>
        </w:tc>
        <w:tc>
          <w:tcPr>
            <w:tcW w:w="1360" w:type="dxa"/>
            <w:vAlign w:val="bottom"/>
            <w:gridSpan w:val="2"/>
            <w:vMerge w:val="restart"/>
          </w:tcPr>
          <w:p>
            <w:pPr>
              <w:ind w:left="104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4"/>
                <w:szCs w:val="14"/>
                <w:color w:val="auto"/>
              </w:rPr>
            </w:pPr>
          </w:p>
        </w:tc>
        <w:tc>
          <w:tcPr>
            <w:tcW w:w="1340" w:type="dxa"/>
            <w:vAlign w:val="bottom"/>
            <w:vMerge w:val="restart"/>
          </w:tcPr>
          <w:p>
            <w:pPr>
              <w:ind w:left="1060"/>
              <w:spacing w:after="0"/>
              <w:rPr>
                <w:sz w:val="20"/>
                <w:szCs w:val="20"/>
                <w:color w:val="auto"/>
              </w:rPr>
            </w:pPr>
            <w:r>
              <w:rPr>
                <w:rFonts w:ascii="Arial" w:cs="Arial" w:eastAsia="Arial" w:hAnsi="Arial"/>
                <w:sz w:val="17"/>
                <w:szCs w:val="17"/>
                <w:color w:val="auto"/>
              </w:rPr>
              <w:t>31</w:t>
            </w:r>
          </w:p>
        </w:tc>
        <w:tc>
          <w:tcPr>
            <w:tcW w:w="16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7"/>
                <w:szCs w:val="17"/>
                <w:color w:val="auto"/>
              </w:rPr>
              <w:t>(1,429)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vMerge w:val="restart"/>
          </w:tcPr>
          <w:p>
            <w:pPr>
              <w:jc w:val="right"/>
              <w:spacing w:after="0"/>
              <w:rPr>
                <w:sz w:val="20"/>
                <w:szCs w:val="20"/>
                <w:color w:val="auto"/>
              </w:rPr>
            </w:pPr>
            <w:r>
              <w:rPr>
                <w:rFonts w:ascii="Arial" w:cs="Arial" w:eastAsia="Arial" w:hAnsi="Arial"/>
                <w:sz w:val="17"/>
                <w:szCs w:val="17"/>
                <w:color w:val="auto"/>
              </w:rPr>
              <w:t>165</w:t>
            </w:r>
          </w:p>
        </w:tc>
        <w:tc>
          <w:tcPr>
            <w:tcW w:w="0" w:type="dxa"/>
            <w:vAlign w:val="bottom"/>
          </w:tcPr>
          <w:p>
            <w:pPr>
              <w:spacing w:after="0"/>
              <w:rPr>
                <w:sz w:val="1"/>
                <w:szCs w:val="1"/>
                <w:color w:val="auto"/>
              </w:rPr>
            </w:pPr>
          </w:p>
        </w:tc>
      </w:tr>
      <w:tr>
        <w:trPr>
          <w:trHeight w:val="219"/>
        </w:trPr>
        <w:tc>
          <w:tcPr>
            <w:tcW w:w="1740" w:type="dxa"/>
            <w:vAlign w:val="bottom"/>
          </w:tcPr>
          <w:p>
            <w:pPr>
              <w:ind w:left="20"/>
              <w:spacing w:after="0"/>
              <w:rPr>
                <w:sz w:val="20"/>
                <w:szCs w:val="20"/>
                <w:color w:val="auto"/>
              </w:rPr>
            </w:pPr>
            <w:r>
              <w:rPr>
                <w:rFonts w:ascii="Arial" w:cs="Arial" w:eastAsia="Arial" w:hAnsi="Arial"/>
                <w:sz w:val="17"/>
                <w:szCs w:val="17"/>
                <w:color w:val="auto"/>
              </w:rPr>
              <w:t>expenses</w:t>
            </w:r>
          </w:p>
        </w:tc>
        <w:tc>
          <w:tcPr>
            <w:tcW w:w="160" w:type="dxa"/>
            <w:vAlign w:val="bottom"/>
          </w:tcPr>
          <w:p>
            <w:pPr>
              <w:spacing w:after="0"/>
              <w:rPr>
                <w:sz w:val="19"/>
                <w:szCs w:val="19"/>
                <w:color w:val="auto"/>
              </w:rPr>
            </w:pPr>
          </w:p>
        </w:tc>
        <w:tc>
          <w:tcPr>
            <w:tcW w:w="13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17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3,421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340" w:type="dxa"/>
            <w:vAlign w:val="bottom"/>
            <w:tcBorders>
              <w:top w:val="single" w:sz="8" w:color="auto"/>
              <w:bottom w:val="single" w:sz="8" w:color="auto"/>
            </w:tcBorders>
            <w:shd w:val="clear" w:color="auto" w:fill="CCEEFF"/>
          </w:tcPr>
          <w:p>
            <w:pPr>
              <w:ind w:left="1060"/>
              <w:spacing w:after="0"/>
              <w:rPr>
                <w:sz w:val="20"/>
                <w:szCs w:val="20"/>
                <w:color w:val="auto"/>
              </w:rPr>
            </w:pPr>
            <w:r>
              <w:rPr>
                <w:rFonts w:ascii="Arial" w:cs="Arial" w:eastAsia="Arial" w:hAnsi="Arial"/>
                <w:sz w:val="17"/>
                <w:szCs w:val="17"/>
                <w:color w:val="auto"/>
              </w:rPr>
              <w:t>28</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(1,957)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763</w:t>
            </w:r>
          </w:p>
        </w:tc>
        <w:tc>
          <w:tcPr>
            <w:tcW w:w="0" w:type="dxa"/>
            <w:vAlign w:val="bottom"/>
          </w:tcPr>
          <w:p>
            <w:pPr>
              <w:spacing w:after="0"/>
              <w:rPr>
                <w:sz w:val="1"/>
                <w:szCs w:val="1"/>
                <w:color w:val="auto"/>
              </w:rPr>
            </w:pPr>
          </w:p>
        </w:tc>
      </w:tr>
      <w:tr>
        <w:trPr>
          <w:trHeight w:val="20"/>
        </w:trPr>
        <w:tc>
          <w:tcPr>
            <w:tcW w:w="1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_______________________________</w:t>
      </w:r>
    </w:p>
    <w:p>
      <w:pPr>
        <w:spacing w:after="0" w:line="63" w:lineRule="exact"/>
        <w:rPr>
          <w:sz w:val="20"/>
          <w:szCs w:val="20"/>
          <w:color w:val="auto"/>
        </w:rPr>
      </w:pPr>
    </w:p>
    <w:p>
      <w:pPr>
        <w:ind w:right="180" w:firstLine="3"/>
        <w:spacing w:after="0" w:line="283" w:lineRule="auto"/>
        <w:tabs>
          <w:tab w:leader="none" w:pos="244"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estimated liabilities related to a prior year's facility closure restructuring were adjusted to actual amounts owed during the third quarter ended September 30, 2021.</w:t>
      </w:r>
    </w:p>
    <w:p>
      <w:pPr>
        <w:spacing w:after="0" w:line="28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We expect to pay our unpaid restructuring charges as of September 30, 2021 by the end of the year.</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Strategic transaction and integration expenses</w:t>
      </w:r>
    </w:p>
    <w:p>
      <w:pPr>
        <w:spacing w:after="0" w:line="244" w:lineRule="exact"/>
        <w:rPr>
          <w:sz w:val="20"/>
          <w:szCs w:val="20"/>
          <w:color w:val="auto"/>
        </w:rPr>
      </w:pPr>
    </w:p>
    <w:p>
      <w:pPr>
        <w:ind w:right="40" w:firstLine="169"/>
        <w:spacing w:after="0" w:line="275" w:lineRule="auto"/>
        <w:rPr>
          <w:sz w:val="20"/>
          <w:szCs w:val="20"/>
          <w:color w:val="auto"/>
        </w:rPr>
      </w:pPr>
      <w:r>
        <w:rPr>
          <w:rFonts w:ascii="Arial" w:cs="Arial" w:eastAsia="Arial" w:hAnsi="Arial"/>
          <w:sz w:val="16"/>
          <w:szCs w:val="16"/>
          <w:color w:val="auto"/>
        </w:rPr>
        <w:t>We incurred and expensed $4.3 million and $10.8 million in strategic transaction and integration expenses during the three and nine months ended September 30, 2021, as compared to $4.1 million and $14.8 million during the three and nine months ended September 30, 2020, respectively, which are included in restructuring, strategic transaction and integration expenses in our condensed consolidated statement of operations. The strategic transaction and integration expenses during the three months ended September 30, 2021 were primarily related to transaction expenses incurred related to entering into a definitive agreement to acquire Smiths Medical 2020 Limited ("Smiths") (see Note 20: Acquisitions). The strategic transaction and integration expenses for the nine months ended September 30, 2021 were primarily related to integration costs associated with acquisitions, the Hospira Infusion Systems ("HIS") earn-out dispute with Pfizer, one-time costs incurred to comply with regulatory initiatives and the transaction costs related to the Smiths transaction. The strategic transaction and integration expenses during the three and nine months ended September 30, 2020 were primarily related to the integration of the HIS business acquired in 2017 from Pfizer, which included the migration of IT systems at our Austin facility.</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 Revenue</w:t>
      </w:r>
    </w:p>
    <w:p>
      <w:pPr>
        <w:spacing w:after="0" w:line="250" w:lineRule="exact"/>
        <w:rPr>
          <w:sz w:val="20"/>
          <w:szCs w:val="20"/>
          <w:color w:val="auto"/>
        </w:rPr>
      </w:pPr>
    </w:p>
    <w:p>
      <w:pPr>
        <w:ind w:right="20" w:firstLine="172"/>
        <w:spacing w:after="0" w:line="285" w:lineRule="auto"/>
        <w:rPr>
          <w:sz w:val="20"/>
          <w:szCs w:val="20"/>
          <w:color w:val="auto"/>
        </w:rPr>
      </w:pPr>
      <w:r>
        <w:rPr>
          <w:rFonts w:ascii="Arial" w:cs="Arial" w:eastAsia="Arial" w:hAnsi="Arial"/>
          <w:sz w:val="16"/>
          <w:szCs w:val="16"/>
          <w:color w:val="auto"/>
        </w:rPr>
        <w:t>Our primary product lines are Infusion Consumables, Infusion Systems, IV Solutions and Critical Care. The vast majority of our sales of these products are made on a stand-alone basis to hospitals and distributors. Revenue is typically recognized upon transfer of control of the products, which we deem to be at point of shipment. However, for purposes of revenue recognition for our software licenses and renewals, we consider the control of these products to be transferred to a customer at a certain point in time; therefore, we recognize revenue at the start of the applicable license term.</w:t>
      </w:r>
    </w:p>
    <w:p>
      <w:pPr>
        <w:spacing w:after="0" w:line="186" w:lineRule="exact"/>
        <w:rPr>
          <w:sz w:val="20"/>
          <w:szCs w:val="20"/>
          <w:color w:val="auto"/>
        </w:rPr>
      </w:pPr>
    </w:p>
    <w:p>
      <w:pPr>
        <w:ind w:right="120" w:firstLine="172"/>
        <w:spacing w:after="0" w:line="298" w:lineRule="auto"/>
        <w:rPr>
          <w:sz w:val="20"/>
          <w:szCs w:val="20"/>
          <w:color w:val="auto"/>
        </w:rPr>
      </w:pPr>
      <w:r>
        <w:rPr>
          <w:rFonts w:ascii="Arial" w:cs="Arial" w:eastAsia="Arial" w:hAnsi="Arial"/>
          <w:sz w:val="15"/>
          <w:szCs w:val="15"/>
          <w:color w:val="auto"/>
        </w:rPr>
        <w:t>Payment is typically due in full within 30 days of delivery or the start of the contract term. Revenue is recorded in an amount that reflects the consideration we expect to be entitled to in exchange for those goods or services. We offer certain volume-based rebates to our distribution customers, which we record as variable consideration when calculating the transaction price. Rebates are offered on both a fixed and tiered/variable basis. In both cases, we use information available at the time and our historical experience with each customer to estimate the most likely rebate amount. We also provide chargebacks to distributors that sell to end-customers at prices determined under a contract between us and the end-customer. Chargebacks are the difference between the prices we charge our distribution customers and the contracted prices we have with the end customer which are processed as credits to our distribution customers. In estimating the expected value of chargeback amounts in order to determine the transaction price, we use information available at the time, including our historical experience.</w:t>
      </w:r>
    </w:p>
    <w:p>
      <w:pPr>
        <w:spacing w:after="0" w:line="181" w:lineRule="exact"/>
        <w:rPr>
          <w:sz w:val="20"/>
          <w:szCs w:val="20"/>
          <w:color w:val="auto"/>
        </w:rPr>
      </w:pPr>
    </w:p>
    <w:p>
      <w:pPr>
        <w:ind w:right="300" w:firstLine="169"/>
        <w:spacing w:after="0" w:line="261" w:lineRule="auto"/>
        <w:rPr>
          <w:sz w:val="20"/>
          <w:szCs w:val="20"/>
          <w:color w:val="auto"/>
        </w:rPr>
      </w:pPr>
      <w:r>
        <w:rPr>
          <w:rFonts w:ascii="Arial" w:cs="Arial" w:eastAsia="Arial" w:hAnsi="Arial"/>
          <w:sz w:val="17"/>
          <w:szCs w:val="17"/>
          <w:color w:val="auto"/>
        </w:rPr>
        <w:t>We also warranty products against defects and have a policy permitting the return of defective products, for which we accrue and expense at the time of sale using information available at that time and our historical experience. We also provide for extended service-type warranties, which we consider to be separate performance obligations. We allocate a portion of the transaction price to the extended service-type warranty based on its estimated relative selling price, and recognize revenue over the period the warranty service is provided. Our revenues are recorded at the net sales price, which includes an estimate for variable consideration related to rebates, chargebacks and product returns.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 disaggregated</w:t>
      </w:r>
    </w:p>
    <w:p>
      <w:pPr>
        <w:spacing w:after="0" w:line="218"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following table represents our revenues disaggregated by geography (in thousands):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7"/>
          <w:szCs w:val="17"/>
          <w:b w:val="1"/>
          <w:bCs w:val="1"/>
          <w:color w:val="auto"/>
        </w:rPr>
        <w:t>ICU MEDICAL, INC. AND SUBSIDIARIES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7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180" w:type="dxa"/>
            <w:vAlign w:val="bottom"/>
            <w:gridSpan w:val="3"/>
          </w:tcPr>
          <w:p>
            <w:pPr>
              <w:jc w:val="right"/>
              <w:spacing w:after="0"/>
              <w:rPr>
                <w:sz w:val="20"/>
                <w:szCs w:val="20"/>
                <w:color w:val="auto"/>
              </w:rPr>
            </w:pPr>
            <w:r>
              <w:rPr>
                <w:rFonts w:ascii="Arial" w:cs="Arial" w:eastAsia="Arial" w:hAnsi="Arial"/>
                <w:sz w:val="17"/>
                <w:szCs w:val="17"/>
                <w:b w:val="1"/>
                <w:bCs w:val="1"/>
                <w:color w:val="auto"/>
              </w:rPr>
              <w:t>Three months ended</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160" w:type="dxa"/>
            <w:vAlign w:val="bottom"/>
            <w:gridSpan w:val="3"/>
          </w:tcPr>
          <w:p>
            <w:pPr>
              <w:jc w:val="right"/>
              <w:spacing w:after="0"/>
              <w:rPr>
                <w:sz w:val="20"/>
                <w:szCs w:val="20"/>
                <w:color w:val="auto"/>
              </w:rPr>
            </w:pPr>
            <w:r>
              <w:rPr>
                <w:rFonts w:ascii="Arial" w:cs="Arial" w:eastAsia="Arial" w:hAnsi="Arial"/>
                <w:sz w:val="17"/>
                <w:szCs w:val="17"/>
                <w:b w:val="1"/>
                <w:bCs w:val="1"/>
                <w:color w:val="auto"/>
              </w:rPr>
              <w:t>Nine months ended</w:t>
            </w:r>
          </w:p>
        </w:tc>
        <w:tc>
          <w:tcPr>
            <w:tcW w:w="1100" w:type="dxa"/>
            <w:vAlign w:val="bottom"/>
          </w:tcPr>
          <w:p>
            <w:pPr>
              <w:spacing w:after="0"/>
              <w:rPr>
                <w:sz w:val="16"/>
                <w:szCs w:val="16"/>
                <w:color w:val="auto"/>
              </w:rPr>
            </w:pPr>
          </w:p>
        </w:tc>
      </w:tr>
      <w:tr>
        <w:trPr>
          <w:trHeight w:val="220"/>
        </w:trPr>
        <w:tc>
          <w:tcPr>
            <w:tcW w:w="37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3"/>
          </w:tcPr>
          <w:p>
            <w:pPr>
              <w:jc w:val="right"/>
              <w:ind w:right="134"/>
              <w:spacing w:after="0"/>
              <w:rPr>
                <w:sz w:val="20"/>
                <w:szCs w:val="20"/>
                <w:color w:val="auto"/>
              </w:rPr>
            </w:pPr>
            <w:r>
              <w:rPr>
                <w:rFonts w:ascii="Arial" w:cs="Arial" w:eastAsia="Arial" w:hAnsi="Arial"/>
                <w:sz w:val="17"/>
                <w:szCs w:val="17"/>
                <w:b w:val="1"/>
                <w:bCs w:val="1"/>
                <w:color w:val="auto"/>
              </w:rPr>
              <w:t>September 30,</w:t>
            </w:r>
          </w:p>
        </w:tc>
        <w:tc>
          <w:tcPr>
            <w:tcW w:w="10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3"/>
          </w:tcPr>
          <w:p>
            <w:pPr>
              <w:jc w:val="right"/>
              <w:ind w:right="134"/>
              <w:spacing w:after="0"/>
              <w:rPr>
                <w:sz w:val="20"/>
                <w:szCs w:val="20"/>
                <w:color w:val="auto"/>
              </w:rPr>
            </w:pPr>
            <w:r>
              <w:rPr>
                <w:rFonts w:ascii="Arial" w:cs="Arial" w:eastAsia="Arial" w:hAnsi="Arial"/>
                <w:sz w:val="17"/>
                <w:szCs w:val="17"/>
                <w:b w:val="1"/>
                <w:bCs w:val="1"/>
                <w:color w:val="auto"/>
              </w:rPr>
              <w:t>September 30,</w:t>
            </w:r>
          </w:p>
        </w:tc>
        <w:tc>
          <w:tcPr>
            <w:tcW w:w="1100" w:type="dxa"/>
            <w:vAlign w:val="bottom"/>
            <w:tcBorders>
              <w:bottom w:val="single" w:sz="8" w:color="auto"/>
            </w:tcBorders>
          </w:tcPr>
          <w:p>
            <w:pPr>
              <w:spacing w:after="0"/>
              <w:rPr>
                <w:sz w:val="19"/>
                <w:szCs w:val="19"/>
                <w:color w:val="auto"/>
              </w:rPr>
            </w:pPr>
          </w:p>
        </w:tc>
      </w:tr>
      <w:tr>
        <w:trPr>
          <w:trHeight w:val="213"/>
        </w:trPr>
        <w:tc>
          <w:tcPr>
            <w:tcW w:w="378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color w:val="auto"/>
              </w:rPr>
              <w:t>Geography</w:t>
            </w: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34"/>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634"/>
              <w:spacing w:after="0"/>
              <w:rPr>
                <w:sz w:val="20"/>
                <w:szCs w:val="20"/>
                <w:color w:val="auto"/>
              </w:rPr>
            </w:pPr>
            <w:r>
              <w:rPr>
                <w:rFonts w:ascii="Arial" w:cs="Arial" w:eastAsia="Arial" w:hAnsi="Arial"/>
                <w:sz w:val="17"/>
                <w:szCs w:val="17"/>
                <w:b w:val="1"/>
                <w:bCs w:val="1"/>
                <w:color w:val="auto"/>
                <w:w w:val="89"/>
              </w:rPr>
              <w:t>2020</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34"/>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634"/>
              <w:spacing w:after="0"/>
              <w:rPr>
                <w:sz w:val="20"/>
                <w:szCs w:val="20"/>
                <w:color w:val="auto"/>
              </w:rPr>
            </w:pPr>
            <w:r>
              <w:rPr>
                <w:rFonts w:ascii="Arial" w:cs="Arial" w:eastAsia="Arial" w:hAnsi="Arial"/>
                <w:sz w:val="17"/>
                <w:szCs w:val="17"/>
                <w:b w:val="1"/>
                <w:bCs w:val="1"/>
                <w:color w:val="auto"/>
                <w:w w:val="95"/>
              </w:rPr>
              <w:t>2020</w:t>
            </w:r>
          </w:p>
        </w:tc>
      </w:tr>
      <w:tr>
        <w:trPr>
          <w:trHeight w:val="213"/>
        </w:trPr>
        <w:tc>
          <w:tcPr>
            <w:tcW w:w="37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Europe, the Middle East and Africa</w:t>
            </w:r>
          </w:p>
        </w:tc>
        <w:tc>
          <w:tcPr>
            <w:tcW w:w="4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36,239</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14"/>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32,596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108,800</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494"/>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99,107</w:t>
            </w:r>
          </w:p>
        </w:tc>
      </w:tr>
      <w:tr>
        <w:trPr>
          <w:trHeight w:val="220"/>
        </w:trPr>
        <w:tc>
          <w:tcPr>
            <w:tcW w:w="378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Other Foreign</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54,523</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48,525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169,667</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175,618</w:t>
            </w:r>
          </w:p>
        </w:tc>
      </w:tr>
      <w:tr>
        <w:trPr>
          <w:trHeight w:val="213"/>
        </w:trPr>
        <w:tc>
          <w:tcPr>
            <w:tcW w:w="3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Foreign</w:t>
            </w: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90,762</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81,121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278,467</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274,725</w:t>
            </w:r>
          </w:p>
        </w:tc>
      </w:tr>
      <w:tr>
        <w:trPr>
          <w:trHeight w:val="220"/>
        </w:trPr>
        <w:tc>
          <w:tcPr>
            <w:tcW w:w="378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United States</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245,298</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237,446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697,316</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675,828</w:t>
            </w:r>
          </w:p>
        </w:tc>
      </w:tr>
      <w:tr>
        <w:trPr>
          <w:trHeight w:val="238"/>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Total Revenues</w:t>
            </w:r>
          </w:p>
        </w:tc>
        <w:tc>
          <w:tcPr>
            <w:tcW w:w="42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336,060</w:t>
            </w: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51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318,567</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975,783</w:t>
            </w: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494"/>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950,553</w:t>
            </w: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9"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following table represents our revenues disaggregated by product line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7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180" w:type="dxa"/>
            <w:vAlign w:val="bottom"/>
            <w:gridSpan w:val="3"/>
          </w:tcPr>
          <w:p>
            <w:pPr>
              <w:jc w:val="right"/>
              <w:spacing w:after="0"/>
              <w:rPr>
                <w:sz w:val="20"/>
                <w:szCs w:val="20"/>
                <w:color w:val="auto"/>
              </w:rPr>
            </w:pPr>
            <w:r>
              <w:rPr>
                <w:rFonts w:ascii="Arial" w:cs="Arial" w:eastAsia="Arial" w:hAnsi="Arial"/>
                <w:sz w:val="17"/>
                <w:szCs w:val="17"/>
                <w:b w:val="1"/>
                <w:bCs w:val="1"/>
                <w:color w:val="auto"/>
              </w:rPr>
              <w:t>Three months ended</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160" w:type="dxa"/>
            <w:vAlign w:val="bottom"/>
            <w:gridSpan w:val="3"/>
          </w:tcPr>
          <w:p>
            <w:pPr>
              <w:jc w:val="right"/>
              <w:spacing w:after="0"/>
              <w:rPr>
                <w:sz w:val="20"/>
                <w:szCs w:val="20"/>
                <w:color w:val="auto"/>
              </w:rPr>
            </w:pPr>
            <w:r>
              <w:rPr>
                <w:rFonts w:ascii="Arial" w:cs="Arial" w:eastAsia="Arial" w:hAnsi="Arial"/>
                <w:sz w:val="17"/>
                <w:szCs w:val="17"/>
                <w:b w:val="1"/>
                <w:bCs w:val="1"/>
                <w:color w:val="auto"/>
              </w:rPr>
              <w:t>Nine months ended</w:t>
            </w:r>
          </w:p>
        </w:tc>
        <w:tc>
          <w:tcPr>
            <w:tcW w:w="1100" w:type="dxa"/>
            <w:vAlign w:val="bottom"/>
          </w:tcPr>
          <w:p>
            <w:pPr>
              <w:spacing w:after="0"/>
              <w:rPr>
                <w:sz w:val="16"/>
                <w:szCs w:val="16"/>
                <w:color w:val="auto"/>
              </w:rPr>
            </w:pPr>
          </w:p>
        </w:tc>
      </w:tr>
      <w:tr>
        <w:trPr>
          <w:trHeight w:val="220"/>
        </w:trPr>
        <w:tc>
          <w:tcPr>
            <w:tcW w:w="37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3"/>
          </w:tcPr>
          <w:p>
            <w:pPr>
              <w:jc w:val="right"/>
              <w:ind w:right="134"/>
              <w:spacing w:after="0"/>
              <w:rPr>
                <w:sz w:val="20"/>
                <w:szCs w:val="20"/>
                <w:color w:val="auto"/>
              </w:rPr>
            </w:pPr>
            <w:r>
              <w:rPr>
                <w:rFonts w:ascii="Arial" w:cs="Arial" w:eastAsia="Arial" w:hAnsi="Arial"/>
                <w:sz w:val="17"/>
                <w:szCs w:val="17"/>
                <w:b w:val="1"/>
                <w:bCs w:val="1"/>
                <w:color w:val="auto"/>
              </w:rPr>
              <w:t>September 30,</w:t>
            </w:r>
          </w:p>
        </w:tc>
        <w:tc>
          <w:tcPr>
            <w:tcW w:w="10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3"/>
          </w:tcPr>
          <w:p>
            <w:pPr>
              <w:jc w:val="right"/>
              <w:ind w:right="134"/>
              <w:spacing w:after="0"/>
              <w:rPr>
                <w:sz w:val="20"/>
                <w:szCs w:val="20"/>
                <w:color w:val="auto"/>
              </w:rPr>
            </w:pPr>
            <w:r>
              <w:rPr>
                <w:rFonts w:ascii="Arial" w:cs="Arial" w:eastAsia="Arial" w:hAnsi="Arial"/>
                <w:sz w:val="17"/>
                <w:szCs w:val="17"/>
                <w:b w:val="1"/>
                <w:bCs w:val="1"/>
                <w:color w:val="auto"/>
              </w:rPr>
              <w:t>September 30,</w:t>
            </w:r>
          </w:p>
        </w:tc>
        <w:tc>
          <w:tcPr>
            <w:tcW w:w="1100" w:type="dxa"/>
            <w:vAlign w:val="bottom"/>
            <w:tcBorders>
              <w:bottom w:val="single" w:sz="8" w:color="auto"/>
            </w:tcBorders>
          </w:tcPr>
          <w:p>
            <w:pPr>
              <w:spacing w:after="0"/>
              <w:rPr>
                <w:sz w:val="19"/>
                <w:szCs w:val="19"/>
                <w:color w:val="auto"/>
              </w:rPr>
            </w:pPr>
          </w:p>
        </w:tc>
      </w:tr>
      <w:tr>
        <w:trPr>
          <w:trHeight w:val="213"/>
        </w:trPr>
        <w:tc>
          <w:tcPr>
            <w:tcW w:w="378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color w:val="auto"/>
              </w:rPr>
              <w:t>Product line</w:t>
            </w: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34"/>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634"/>
              <w:spacing w:after="0"/>
              <w:rPr>
                <w:sz w:val="20"/>
                <w:szCs w:val="20"/>
                <w:color w:val="auto"/>
              </w:rPr>
            </w:pPr>
            <w:r>
              <w:rPr>
                <w:rFonts w:ascii="Arial" w:cs="Arial" w:eastAsia="Arial" w:hAnsi="Arial"/>
                <w:sz w:val="17"/>
                <w:szCs w:val="17"/>
                <w:b w:val="1"/>
                <w:bCs w:val="1"/>
                <w:color w:val="auto"/>
                <w:w w:val="89"/>
              </w:rPr>
              <w:t>2020</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34"/>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634"/>
              <w:spacing w:after="0"/>
              <w:rPr>
                <w:sz w:val="20"/>
                <w:szCs w:val="20"/>
                <w:color w:val="auto"/>
              </w:rPr>
            </w:pPr>
            <w:r>
              <w:rPr>
                <w:rFonts w:ascii="Arial" w:cs="Arial" w:eastAsia="Arial" w:hAnsi="Arial"/>
                <w:sz w:val="17"/>
                <w:szCs w:val="17"/>
                <w:b w:val="1"/>
                <w:bCs w:val="1"/>
                <w:color w:val="auto"/>
                <w:w w:val="95"/>
              </w:rPr>
              <w:t>2020</w:t>
            </w:r>
          </w:p>
        </w:tc>
      </w:tr>
      <w:tr>
        <w:trPr>
          <w:trHeight w:val="213"/>
        </w:trPr>
        <w:tc>
          <w:tcPr>
            <w:tcW w:w="37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Infusion Consumables</w:t>
            </w:r>
          </w:p>
        </w:tc>
        <w:tc>
          <w:tcPr>
            <w:tcW w:w="4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144,850</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14"/>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116,054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407,419</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494"/>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350,554</w:t>
            </w:r>
          </w:p>
        </w:tc>
      </w:tr>
      <w:tr>
        <w:trPr>
          <w:trHeight w:val="220"/>
        </w:trPr>
        <w:tc>
          <w:tcPr>
            <w:tcW w:w="3780" w:type="dxa"/>
            <w:vAlign w:val="bottom"/>
          </w:tcPr>
          <w:p>
            <w:pPr>
              <w:ind w:left="140"/>
              <w:spacing w:after="0"/>
              <w:rPr>
                <w:sz w:val="20"/>
                <w:szCs w:val="20"/>
                <w:color w:val="auto"/>
              </w:rPr>
            </w:pPr>
            <w:r>
              <w:rPr>
                <w:rFonts w:ascii="Arial" w:cs="Arial" w:eastAsia="Arial" w:hAnsi="Arial"/>
                <w:sz w:val="17"/>
                <w:szCs w:val="17"/>
                <w:color w:val="auto"/>
              </w:rPr>
              <w:t>Infusion Systems</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90,688</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88,388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259,683</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267,856</w:t>
            </w:r>
          </w:p>
        </w:tc>
      </w:tr>
      <w:tr>
        <w:trPr>
          <w:trHeight w:val="220"/>
        </w:trPr>
        <w:tc>
          <w:tcPr>
            <w:tcW w:w="37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IV Solutions</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89,237</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101,900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271,834</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295,369</w:t>
            </w:r>
          </w:p>
        </w:tc>
      </w:tr>
      <w:tr>
        <w:trPr>
          <w:trHeight w:val="220"/>
        </w:trPr>
        <w:tc>
          <w:tcPr>
            <w:tcW w:w="378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Critical Care</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11,285</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12,225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36,847</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36,774</w:t>
            </w:r>
          </w:p>
        </w:tc>
      </w:tr>
      <w:tr>
        <w:trPr>
          <w:trHeight w:val="238"/>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Total Revenues</w:t>
            </w:r>
          </w:p>
        </w:tc>
        <w:tc>
          <w:tcPr>
            <w:tcW w:w="42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336,060</w:t>
            </w: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51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318,567</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975,783</w:t>
            </w: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494"/>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950,553</w:t>
            </w: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Contract balances</w:t>
      </w:r>
    </w:p>
    <w:p>
      <w:pPr>
        <w:spacing w:after="0" w:line="244"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following table presents our changes in the contract balances for the nine months ended September 30, 2021 and 2020 (in thousands):</w:t>
      </w:r>
    </w:p>
    <w:p>
      <w:pPr>
        <w:spacing w:after="0" w:line="122" w:lineRule="exact"/>
        <w:rPr>
          <w:sz w:val="20"/>
          <w:szCs w:val="20"/>
          <w:color w:val="auto"/>
        </w:rPr>
      </w:pPr>
    </w:p>
    <w:tbl>
      <w:tblPr>
        <w:tblLayout w:type="fixed"/>
        <w:tblInd w:w="20" w:type="dxa"/>
        <w:tblCellMar>
          <w:top w:w="0" w:type="dxa"/>
          <w:left w:w="0" w:type="dxa"/>
          <w:bottom w:w="0" w:type="dxa"/>
          <w:right w:w="0" w:type="dxa"/>
        </w:tblCellMar>
      </w:tblPr>
      <w:tr>
        <w:trPr>
          <w:trHeight w:val="225"/>
        </w:trPr>
        <w:tc>
          <w:tcPr>
            <w:tcW w:w="90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b w:val="1"/>
                <w:bCs w:val="1"/>
                <w:color w:val="auto"/>
              </w:rPr>
              <w:t>Contract Liabilities</w:t>
            </w:r>
          </w:p>
        </w:tc>
      </w:tr>
      <w:tr>
        <w:trPr>
          <w:trHeight w:val="213"/>
        </w:trPr>
        <w:tc>
          <w:tcPr>
            <w:tcW w:w="9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Beginning balance, January 1, 2021</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(6,430)</w:t>
            </w:r>
          </w:p>
        </w:tc>
      </w:tr>
      <w:tr>
        <w:trPr>
          <w:trHeight w:val="220"/>
        </w:trPr>
        <w:tc>
          <w:tcPr>
            <w:tcW w:w="9020" w:type="dxa"/>
            <w:vAlign w:val="bottom"/>
          </w:tcPr>
          <w:p>
            <w:pPr>
              <w:ind w:left="140"/>
              <w:spacing w:after="0"/>
              <w:rPr>
                <w:sz w:val="20"/>
                <w:szCs w:val="20"/>
                <w:color w:val="auto"/>
              </w:rPr>
            </w:pPr>
            <w:r>
              <w:rPr>
                <w:rFonts w:ascii="Arial" w:cs="Arial" w:eastAsia="Arial" w:hAnsi="Arial"/>
                <w:sz w:val="17"/>
                <w:szCs w:val="17"/>
                <w:color w:val="auto"/>
              </w:rPr>
              <w:t>Equipment revenue recognized</w:t>
            </w:r>
          </w:p>
        </w:tc>
        <w:tc>
          <w:tcPr>
            <w:tcW w:w="2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7"/>
                <w:szCs w:val="17"/>
                <w:color w:val="auto"/>
              </w:rPr>
              <w:t>7,193</w:t>
            </w:r>
          </w:p>
        </w:tc>
      </w:tr>
      <w:tr>
        <w:trPr>
          <w:trHeight w:val="220"/>
        </w:trPr>
        <w:tc>
          <w:tcPr>
            <w:tcW w:w="90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Equipment revenue deferred due to implementation</w:t>
            </w:r>
          </w:p>
        </w:tc>
        <w:tc>
          <w:tcPr>
            <w:tcW w:w="2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(8,652)</w:t>
            </w:r>
          </w:p>
        </w:tc>
      </w:tr>
      <w:tr>
        <w:trPr>
          <w:trHeight w:val="220"/>
        </w:trPr>
        <w:tc>
          <w:tcPr>
            <w:tcW w:w="9020" w:type="dxa"/>
            <w:vAlign w:val="bottom"/>
          </w:tcPr>
          <w:p>
            <w:pPr>
              <w:ind w:left="140"/>
              <w:spacing w:after="0"/>
              <w:rPr>
                <w:sz w:val="20"/>
                <w:szCs w:val="20"/>
                <w:color w:val="auto"/>
              </w:rPr>
            </w:pPr>
            <w:r>
              <w:rPr>
                <w:rFonts w:ascii="Arial" w:cs="Arial" w:eastAsia="Arial" w:hAnsi="Arial"/>
                <w:sz w:val="17"/>
                <w:szCs w:val="17"/>
                <w:color w:val="auto"/>
              </w:rPr>
              <w:t>Software revenue recognized</w:t>
            </w:r>
          </w:p>
        </w:tc>
        <w:tc>
          <w:tcPr>
            <w:tcW w:w="2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7"/>
                <w:szCs w:val="17"/>
                <w:color w:val="auto"/>
              </w:rPr>
              <w:t>6,194</w:t>
            </w:r>
          </w:p>
        </w:tc>
      </w:tr>
      <w:tr>
        <w:trPr>
          <w:trHeight w:val="220"/>
        </w:trPr>
        <w:tc>
          <w:tcPr>
            <w:tcW w:w="90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Software revenue deferred due to implementation</w:t>
            </w:r>
          </w:p>
        </w:tc>
        <w:tc>
          <w:tcPr>
            <w:tcW w:w="24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(2,967)</w:t>
            </w:r>
          </w:p>
        </w:tc>
      </w:tr>
      <w:tr>
        <w:trPr>
          <w:trHeight w:val="213"/>
        </w:trPr>
        <w:tc>
          <w:tcPr>
            <w:tcW w:w="9020" w:type="dxa"/>
            <w:vAlign w:val="bottom"/>
          </w:tcPr>
          <w:p>
            <w:pPr>
              <w:ind w:left="20"/>
              <w:spacing w:after="0"/>
              <w:rPr>
                <w:sz w:val="20"/>
                <w:szCs w:val="20"/>
                <w:color w:val="auto"/>
              </w:rPr>
            </w:pPr>
            <w:r>
              <w:rPr>
                <w:rFonts w:ascii="Arial" w:cs="Arial" w:eastAsia="Arial" w:hAnsi="Arial"/>
                <w:sz w:val="17"/>
                <w:szCs w:val="17"/>
                <w:color w:val="auto"/>
              </w:rPr>
              <w:t>Ending balance, September 30, 2021</w:t>
            </w: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(4,662)</w:t>
            </w:r>
          </w:p>
        </w:tc>
      </w:tr>
      <w:tr>
        <w:trPr>
          <w:trHeight w:val="20"/>
        </w:trPr>
        <w:tc>
          <w:tcPr>
            <w:tcW w:w="90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r>
        <w:trPr>
          <w:trHeight w:val="224"/>
        </w:trPr>
        <w:tc>
          <w:tcPr>
            <w:tcW w:w="9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r>
      <w:tr>
        <w:trPr>
          <w:trHeight w:val="220"/>
        </w:trPr>
        <w:tc>
          <w:tcPr>
            <w:tcW w:w="9020" w:type="dxa"/>
            <w:vAlign w:val="bottom"/>
          </w:tcPr>
          <w:p>
            <w:pPr>
              <w:ind w:left="20"/>
              <w:spacing w:after="0"/>
              <w:rPr>
                <w:sz w:val="20"/>
                <w:szCs w:val="20"/>
                <w:color w:val="auto"/>
              </w:rPr>
            </w:pPr>
            <w:r>
              <w:rPr>
                <w:rFonts w:ascii="Arial" w:cs="Arial" w:eastAsia="Arial" w:hAnsi="Arial"/>
                <w:sz w:val="17"/>
                <w:szCs w:val="17"/>
                <w:color w:val="auto"/>
              </w:rPr>
              <w:t>Beginning balance, January 1, 2020</w:t>
            </w: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960" w:type="dxa"/>
            <w:vAlign w:val="bottom"/>
          </w:tcPr>
          <w:p>
            <w:pPr>
              <w:jc w:val="right"/>
              <w:spacing w:after="0"/>
              <w:rPr>
                <w:sz w:val="20"/>
                <w:szCs w:val="20"/>
                <w:color w:val="auto"/>
              </w:rPr>
            </w:pPr>
            <w:r>
              <w:rPr>
                <w:rFonts w:ascii="Arial" w:cs="Arial" w:eastAsia="Arial" w:hAnsi="Arial"/>
                <w:sz w:val="17"/>
                <w:szCs w:val="17"/>
                <w:color w:val="auto"/>
              </w:rPr>
              <w:t>(4,855)</w:t>
            </w:r>
          </w:p>
        </w:tc>
      </w:tr>
      <w:tr>
        <w:trPr>
          <w:trHeight w:val="220"/>
        </w:trPr>
        <w:tc>
          <w:tcPr>
            <w:tcW w:w="90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Equipment revenue recognized</w:t>
            </w:r>
          </w:p>
        </w:tc>
        <w:tc>
          <w:tcPr>
            <w:tcW w:w="2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9,920</w:t>
            </w:r>
          </w:p>
        </w:tc>
      </w:tr>
      <w:tr>
        <w:trPr>
          <w:trHeight w:val="220"/>
        </w:trPr>
        <w:tc>
          <w:tcPr>
            <w:tcW w:w="9020" w:type="dxa"/>
            <w:vAlign w:val="bottom"/>
          </w:tcPr>
          <w:p>
            <w:pPr>
              <w:ind w:left="140"/>
              <w:spacing w:after="0"/>
              <w:rPr>
                <w:sz w:val="20"/>
                <w:szCs w:val="20"/>
                <w:color w:val="auto"/>
              </w:rPr>
            </w:pPr>
            <w:r>
              <w:rPr>
                <w:rFonts w:ascii="Arial" w:cs="Arial" w:eastAsia="Arial" w:hAnsi="Arial"/>
                <w:sz w:val="17"/>
                <w:szCs w:val="17"/>
                <w:color w:val="auto"/>
              </w:rPr>
              <w:t>Equipment revenue deferred due to implementation</w:t>
            </w:r>
          </w:p>
        </w:tc>
        <w:tc>
          <w:tcPr>
            <w:tcW w:w="2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7"/>
                <w:szCs w:val="17"/>
                <w:color w:val="auto"/>
              </w:rPr>
              <w:t>(13,679)</w:t>
            </w:r>
          </w:p>
        </w:tc>
      </w:tr>
      <w:tr>
        <w:trPr>
          <w:trHeight w:val="220"/>
        </w:trPr>
        <w:tc>
          <w:tcPr>
            <w:tcW w:w="90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Software revenue recognized</w:t>
            </w:r>
          </w:p>
        </w:tc>
        <w:tc>
          <w:tcPr>
            <w:tcW w:w="2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4,715</w:t>
            </w:r>
          </w:p>
        </w:tc>
      </w:tr>
      <w:tr>
        <w:trPr>
          <w:trHeight w:val="220"/>
        </w:trPr>
        <w:tc>
          <w:tcPr>
            <w:tcW w:w="902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Software revenue deferred due to implementation</w:t>
            </w:r>
          </w:p>
        </w:tc>
        <w:tc>
          <w:tcPr>
            <w:tcW w:w="2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(5,033)</w:t>
            </w:r>
          </w:p>
        </w:tc>
      </w:tr>
      <w:tr>
        <w:trPr>
          <w:trHeight w:val="238"/>
        </w:trPr>
        <w:tc>
          <w:tcPr>
            <w:tcW w:w="9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Ending balance, September 30, 2020</w:t>
            </w: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(8,932)</w:t>
            </w: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bl>
    <w:p>
      <w:pPr>
        <w:spacing w:after="0" w:line="285" w:lineRule="exact"/>
        <w:rPr>
          <w:sz w:val="20"/>
          <w:szCs w:val="20"/>
          <w:color w:val="auto"/>
        </w:rPr>
      </w:pPr>
    </w:p>
    <w:p>
      <w:pPr>
        <w:ind w:right="20" w:firstLine="163"/>
        <w:spacing w:after="0" w:line="263" w:lineRule="auto"/>
        <w:rPr>
          <w:sz w:val="20"/>
          <w:szCs w:val="20"/>
          <w:color w:val="auto"/>
        </w:rPr>
      </w:pPr>
      <w:r>
        <w:rPr>
          <w:rFonts w:ascii="Arial" w:cs="Arial" w:eastAsia="Arial" w:hAnsi="Arial"/>
          <w:sz w:val="17"/>
          <w:szCs w:val="17"/>
          <w:color w:val="auto"/>
        </w:rPr>
        <w:t>As of September 30, 2021, revenue from remaining performance obligations related to implementation of software and equipment is $3.3 million. We expect to recognize substantially all of this revenue within the next three to six months dependent on implementation restrictions due to the novel coronavirus and its variants ("COVID-19"). Revenue from remaining performance obligations related to annual software licenses is $1.3 million. We expect to recognize substantially all of this revenue over the next twelve months.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5: Leases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7"/>
          <w:szCs w:val="17"/>
          <w:b w:val="1"/>
          <w:bCs w:val="1"/>
          <w:color w:val="auto"/>
        </w:rPr>
        <w:t>ICU MEDICAL, INC. AND SUBSIDIARIES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00" w:lineRule="exact"/>
        <w:rPr>
          <w:sz w:val="20"/>
          <w:szCs w:val="20"/>
          <w:color w:val="auto"/>
        </w:rPr>
      </w:pPr>
    </w:p>
    <w:p>
      <w:pPr>
        <w:spacing w:after="0" w:line="315" w:lineRule="exact"/>
        <w:rPr>
          <w:sz w:val="20"/>
          <w:szCs w:val="20"/>
          <w:color w:val="auto"/>
        </w:rPr>
      </w:pPr>
    </w:p>
    <w:p>
      <w:pPr>
        <w:ind w:right="160" w:firstLine="172"/>
        <w:spacing w:after="0" w:line="263" w:lineRule="auto"/>
        <w:rPr>
          <w:sz w:val="20"/>
          <w:szCs w:val="20"/>
          <w:color w:val="auto"/>
        </w:rPr>
      </w:pPr>
      <w:r>
        <w:rPr>
          <w:rFonts w:ascii="Arial" w:cs="Arial" w:eastAsia="Arial" w:hAnsi="Arial"/>
          <w:sz w:val="17"/>
          <w:szCs w:val="17"/>
          <w:color w:val="auto"/>
        </w:rPr>
        <w:t>We determine if an arrangement is a lease at inception. Our operating lease assets are separately stated in operating lease right-of-use ("ROU") assets and our financing lease assets are included in other assets on our condensed consolidated balance sheets. Our lease liabilities are included in accrued liabilities, and other long-term liabilities on our condensed consolidated balance sheets. We have elected not to recognize an ROU asset and lease liability for leases with terms of twelve months or less.</w:t>
      </w:r>
    </w:p>
    <w:p>
      <w:pPr>
        <w:spacing w:after="0" w:line="203" w:lineRule="exact"/>
        <w:rPr>
          <w:sz w:val="20"/>
          <w:szCs w:val="20"/>
          <w:color w:val="auto"/>
        </w:rPr>
      </w:pPr>
    </w:p>
    <w:p>
      <w:pPr>
        <w:ind w:right="200" w:firstLine="172"/>
        <w:spacing w:after="0" w:line="304" w:lineRule="auto"/>
        <w:rPr>
          <w:sz w:val="20"/>
          <w:szCs w:val="20"/>
          <w:color w:val="auto"/>
        </w:rPr>
      </w:pPr>
      <w:r>
        <w:rPr>
          <w:rFonts w:ascii="Arial" w:cs="Arial" w:eastAsia="Arial" w:hAnsi="Arial"/>
          <w:sz w:val="15"/>
          <w:szCs w:val="15"/>
          <w:color w:val="auto"/>
        </w:rPr>
        <w:t>Lease ROU assets and lease liabilities are recognized based on the present value of the future minimum lease payments over the lease term at commencement date. Most of our leases do not provide an implicit rate, therefore we use our incremental borrowing rate, which is the rate incurred to borrow on a collateralized basis over a similar term based on the information available at commencement date. Our lease ROU assets exclude lease incentives and initial direct costs incurred. Our lease terms include options to extend when it is reasonably certain that we will exercise that option. All of our leases have stated lease payments, which may include fixed rental increases. Lease expense for minimum lease payments is recognized on a straight-line basis over the lease term.</w:t>
      </w:r>
    </w:p>
    <w:p>
      <w:pPr>
        <w:spacing w:after="0" w:line="148" w:lineRule="exact"/>
        <w:rPr>
          <w:sz w:val="20"/>
          <w:szCs w:val="20"/>
          <w:color w:val="auto"/>
        </w:rPr>
      </w:pPr>
    </w:p>
    <w:p>
      <w:pPr>
        <w:ind w:right="200" w:firstLine="172"/>
        <w:spacing w:after="0" w:line="320" w:lineRule="auto"/>
        <w:rPr>
          <w:sz w:val="20"/>
          <w:szCs w:val="20"/>
          <w:color w:val="auto"/>
        </w:rPr>
      </w:pPr>
      <w:r>
        <w:rPr>
          <w:rFonts w:ascii="Arial" w:cs="Arial" w:eastAsia="Arial" w:hAnsi="Arial"/>
          <w:sz w:val="15"/>
          <w:szCs w:val="15"/>
          <w:color w:val="auto"/>
        </w:rPr>
        <w:t>Our leases are for corporate, research and development and sales and support offices, a distribution facility, device service centers and certain equipment. Our leases have original lease terms of one year to fifteen years, some of which include options to extend the leases for up to an additional five years. For all of our leases, we do not include optional periods of extension in our current lease terms for the exercise of options to extend is not reasonably certain.</w:t>
      </w:r>
    </w:p>
    <w:p>
      <w:pPr>
        <w:spacing w:after="0" w:line="16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following table presents the components of our lease cost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920" w:type="dxa"/>
            <w:vAlign w:val="bottom"/>
          </w:tcPr>
          <w:p>
            <w:pPr>
              <w:spacing w:after="0"/>
              <w:rPr>
                <w:sz w:val="16"/>
                <w:szCs w:val="16"/>
                <w:color w:val="auto"/>
              </w:rPr>
            </w:pPr>
          </w:p>
        </w:tc>
        <w:tc>
          <w:tcPr>
            <w:tcW w:w="2600" w:type="dxa"/>
            <w:vAlign w:val="bottom"/>
            <w:gridSpan w:val="4"/>
          </w:tcPr>
          <w:p>
            <w:pPr>
              <w:jc w:val="right"/>
              <w:ind w:right="234"/>
              <w:spacing w:after="0"/>
              <w:rPr>
                <w:sz w:val="20"/>
                <w:szCs w:val="20"/>
                <w:color w:val="auto"/>
              </w:rPr>
            </w:pPr>
            <w:r>
              <w:rPr>
                <w:rFonts w:ascii="Arial" w:cs="Arial" w:eastAsia="Arial" w:hAnsi="Arial"/>
                <w:sz w:val="17"/>
                <w:szCs w:val="17"/>
                <w:b w:val="1"/>
                <w:bCs w:val="1"/>
                <w:color w:val="auto"/>
              </w:rPr>
              <w:t>Three months ended</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80" w:type="dxa"/>
            <w:vAlign w:val="bottom"/>
            <w:gridSpan w:val="4"/>
          </w:tcPr>
          <w:p>
            <w:pPr>
              <w:jc w:val="right"/>
              <w:ind w:right="254"/>
              <w:spacing w:after="0"/>
              <w:rPr>
                <w:sz w:val="20"/>
                <w:szCs w:val="20"/>
                <w:color w:val="auto"/>
              </w:rPr>
            </w:pPr>
            <w:r>
              <w:rPr>
                <w:rFonts w:ascii="Arial" w:cs="Arial" w:eastAsia="Arial" w:hAnsi="Arial"/>
                <w:sz w:val="17"/>
                <w:szCs w:val="17"/>
                <w:b w:val="1"/>
                <w:bCs w:val="1"/>
                <w:color w:val="auto"/>
              </w:rPr>
              <w:t>Nine months ended</w:t>
            </w:r>
          </w:p>
        </w:tc>
        <w:tc>
          <w:tcPr>
            <w:tcW w:w="520" w:type="dxa"/>
            <w:vAlign w:val="bottom"/>
          </w:tcPr>
          <w:p>
            <w:pPr>
              <w:spacing w:after="0"/>
              <w:rPr>
                <w:sz w:val="16"/>
                <w:szCs w:val="16"/>
                <w:color w:val="auto"/>
              </w:rPr>
            </w:pPr>
          </w:p>
        </w:tc>
      </w:tr>
      <w:tr>
        <w:trPr>
          <w:trHeight w:val="220"/>
        </w:trPr>
        <w:tc>
          <w:tcPr>
            <w:tcW w:w="492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right"/>
              <w:ind w:right="434"/>
              <w:spacing w:after="0"/>
              <w:rPr>
                <w:sz w:val="20"/>
                <w:szCs w:val="20"/>
                <w:color w:val="auto"/>
              </w:rPr>
            </w:pPr>
            <w:r>
              <w:rPr>
                <w:rFonts w:ascii="Arial" w:cs="Arial" w:eastAsia="Arial" w:hAnsi="Arial"/>
                <w:sz w:val="17"/>
                <w:szCs w:val="17"/>
                <w:b w:val="1"/>
                <w:bCs w:val="1"/>
                <w:color w:val="auto"/>
                <w:w w:val="92"/>
              </w:rPr>
              <w:t>September 30,</w:t>
            </w:r>
          </w:p>
        </w:tc>
        <w:tc>
          <w:tcPr>
            <w:tcW w:w="5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right"/>
              <w:ind w:right="414"/>
              <w:spacing w:after="0"/>
              <w:rPr>
                <w:sz w:val="20"/>
                <w:szCs w:val="20"/>
                <w:color w:val="auto"/>
              </w:rPr>
            </w:pPr>
            <w:r>
              <w:rPr>
                <w:rFonts w:ascii="Arial" w:cs="Arial" w:eastAsia="Arial" w:hAnsi="Arial"/>
                <w:sz w:val="17"/>
                <w:szCs w:val="17"/>
                <w:b w:val="1"/>
                <w:bCs w:val="1"/>
                <w:color w:val="auto"/>
                <w:w w:val="92"/>
              </w:rPr>
              <w:t>September 30,</w:t>
            </w:r>
          </w:p>
        </w:tc>
        <w:tc>
          <w:tcPr>
            <w:tcW w:w="520" w:type="dxa"/>
            <w:vAlign w:val="bottom"/>
            <w:tcBorders>
              <w:bottom w:val="single" w:sz="8" w:color="auto"/>
            </w:tcBorders>
          </w:tcPr>
          <w:p>
            <w:pPr>
              <w:spacing w:after="0"/>
              <w:rPr>
                <w:sz w:val="19"/>
                <w:szCs w:val="19"/>
                <w:color w:val="auto"/>
              </w:rPr>
            </w:pPr>
          </w:p>
        </w:tc>
      </w:tr>
      <w:tr>
        <w:trPr>
          <w:trHeight w:val="213"/>
        </w:trPr>
        <w:tc>
          <w:tcPr>
            <w:tcW w:w="49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2020</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5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2020</w:t>
            </w:r>
          </w:p>
        </w:tc>
        <w:tc>
          <w:tcPr>
            <w:tcW w:w="520" w:type="dxa"/>
            <w:vAlign w:val="bottom"/>
            <w:tcBorders>
              <w:bottom w:val="single" w:sz="8" w:color="auto"/>
            </w:tcBorders>
          </w:tcPr>
          <w:p>
            <w:pPr>
              <w:spacing w:after="0"/>
              <w:rPr>
                <w:sz w:val="18"/>
                <w:szCs w:val="18"/>
                <w:color w:val="auto"/>
              </w:rPr>
            </w:pPr>
          </w:p>
        </w:tc>
      </w:tr>
      <w:tr>
        <w:trPr>
          <w:trHeight w:val="213"/>
        </w:trPr>
        <w:tc>
          <w:tcPr>
            <w:tcW w:w="4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cost</w:t>
            </w:r>
          </w:p>
        </w:tc>
        <w:tc>
          <w:tcPr>
            <w:tcW w:w="980" w:type="dxa"/>
            <w:vAlign w:val="bottom"/>
            <w:shd w:val="clear" w:color="auto" w:fill="CCEEFF"/>
          </w:tcPr>
          <w:p>
            <w:pPr>
              <w:jc w:val="right"/>
              <w:ind w:right="794"/>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2,798</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794"/>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2,861</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94"/>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8,455</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94"/>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8,428</w:t>
            </w:r>
          </w:p>
        </w:tc>
      </w:tr>
      <w:tr>
        <w:trPr>
          <w:trHeight w:val="142"/>
        </w:trPr>
        <w:tc>
          <w:tcPr>
            <w:tcW w:w="49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220"/>
        </w:trPr>
        <w:tc>
          <w:tcPr>
            <w:tcW w:w="4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Finance lease cost - interest</w:t>
            </w: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w:t>
            </w:r>
          </w:p>
        </w:tc>
      </w:tr>
      <w:tr>
        <w:trPr>
          <w:trHeight w:val="142"/>
        </w:trPr>
        <w:tc>
          <w:tcPr>
            <w:tcW w:w="49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220"/>
        </w:trPr>
        <w:tc>
          <w:tcPr>
            <w:tcW w:w="4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Finance lease cost - reduction of ROU asset</w:t>
            </w: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478</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252</w:t>
            </w:r>
          </w:p>
        </w:tc>
      </w:tr>
      <w:tr>
        <w:trPr>
          <w:trHeight w:val="142"/>
        </w:trPr>
        <w:tc>
          <w:tcPr>
            <w:tcW w:w="49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220"/>
        </w:trPr>
        <w:tc>
          <w:tcPr>
            <w:tcW w:w="4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Short-term lease cost</w:t>
            </w: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w:t>
            </w:r>
          </w:p>
        </w:tc>
      </w:tr>
      <w:tr>
        <w:trPr>
          <w:trHeight w:val="142"/>
        </w:trPr>
        <w:tc>
          <w:tcPr>
            <w:tcW w:w="492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r>
      <w:tr>
        <w:trPr>
          <w:trHeight w:val="238"/>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lease cost</w:t>
            </w:r>
          </w:p>
        </w:tc>
        <w:tc>
          <w:tcPr>
            <w:tcW w:w="980" w:type="dxa"/>
            <w:vAlign w:val="bottom"/>
            <w:tcBorders>
              <w:bottom w:val="single" w:sz="8" w:color="auto"/>
            </w:tcBorders>
            <w:shd w:val="clear" w:color="auto" w:fill="CCEEFF"/>
          </w:tcPr>
          <w:p>
            <w:pPr>
              <w:jc w:val="right"/>
              <w:ind w:right="794"/>
              <w:spacing w:after="0"/>
              <w:rPr>
                <w:sz w:val="20"/>
                <w:szCs w:val="20"/>
                <w:color w:val="auto"/>
              </w:rPr>
            </w:pPr>
            <w:r>
              <w:rPr>
                <w:rFonts w:ascii="Arial" w:cs="Arial" w:eastAsia="Arial" w:hAnsi="Arial"/>
                <w:sz w:val="17"/>
                <w:szCs w:val="17"/>
                <w:color w:val="auto"/>
                <w:w w:val="84"/>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2,997</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794"/>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3,089</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794"/>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9,039</w:t>
            </w:r>
          </w:p>
        </w:tc>
        <w:tc>
          <w:tcPr>
            <w:tcW w:w="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794"/>
              <w:spacing w:after="0"/>
              <w:rPr>
                <w:sz w:val="20"/>
                <w:szCs w:val="20"/>
                <w:color w:val="auto"/>
              </w:rPr>
            </w:pPr>
            <w:r>
              <w:rPr>
                <w:rFonts w:ascii="Arial" w:cs="Arial" w:eastAsia="Arial" w:hAnsi="Arial"/>
                <w:sz w:val="17"/>
                <w:szCs w:val="17"/>
                <w:color w:val="auto"/>
                <w:w w:val="84"/>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8,942</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272" w:lineRule="exact"/>
        <w:rPr>
          <w:sz w:val="20"/>
          <w:szCs w:val="20"/>
          <w:color w:val="auto"/>
        </w:rPr>
      </w:pPr>
    </w:p>
    <w:p>
      <w:pPr>
        <w:ind w:right="60" w:firstLine="620"/>
        <w:spacing w:after="0" w:line="268" w:lineRule="auto"/>
        <w:rPr>
          <w:sz w:val="20"/>
          <w:szCs w:val="20"/>
          <w:color w:val="auto"/>
        </w:rPr>
      </w:pPr>
      <w:r>
        <w:rPr>
          <w:rFonts w:ascii="Arial" w:cs="Arial" w:eastAsia="Arial" w:hAnsi="Arial"/>
          <w:sz w:val="17"/>
          <w:szCs w:val="17"/>
          <w:color w:val="auto"/>
        </w:rPr>
        <w:t>Interest expense on our finance leases is included in other income (expense), net in our condensed consolidated statement of operations. The reduction of the operating and finance ROU assets is included as noncash lease expense in selling, general and administrative expenses in our condensed consolidated statement of operations.</w:t>
      </w:r>
    </w:p>
    <w:p>
      <w:pPr>
        <w:spacing w:after="0" w:line="19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presents the supplemental cash flow information related to our leases (in thousands):</w:t>
      </w:r>
    </w:p>
    <w:p>
      <w:pPr>
        <w:spacing w:after="0" w:line="127" w:lineRule="exact"/>
        <w:rPr>
          <w:sz w:val="20"/>
          <w:szCs w:val="20"/>
          <w:color w:val="auto"/>
        </w:rPr>
      </w:pPr>
    </w:p>
    <w:p>
      <w:pPr>
        <w:ind w:left="8960"/>
        <w:spacing w:after="0"/>
        <w:rPr>
          <w:sz w:val="20"/>
          <w:szCs w:val="20"/>
          <w:color w:val="auto"/>
        </w:rPr>
      </w:pPr>
      <w:r>
        <w:rPr>
          <w:rFonts w:ascii="Arial" w:cs="Arial" w:eastAsia="Arial" w:hAnsi="Arial"/>
          <w:sz w:val="17"/>
          <w:szCs w:val="17"/>
          <w:b w:val="1"/>
          <w:bCs w:val="1"/>
          <w:color w:val="auto"/>
        </w:rPr>
        <w:t>Nine months ended</w:t>
      </w:r>
    </w:p>
    <w:p>
      <w:pPr>
        <w:ind w:left="9160"/>
        <w:spacing w:after="0"/>
        <w:rPr>
          <w:sz w:val="20"/>
          <w:szCs w:val="20"/>
          <w:color w:val="auto"/>
        </w:rPr>
      </w:pPr>
      <w:r>
        <w:rPr>
          <w:rFonts w:ascii="Arial" w:cs="Arial" w:eastAsia="Arial" w:hAnsi="Arial"/>
          <w:sz w:val="17"/>
          <w:szCs w:val="17"/>
          <w:b w:val="1"/>
          <w:bCs w:val="1"/>
          <w:color w:val="auto"/>
        </w:rPr>
        <w:t>September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14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2020</w:t>
            </w:r>
          </w:p>
        </w:tc>
      </w:tr>
      <w:tr>
        <w:trPr>
          <w:trHeight w:val="200"/>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paid for amounts included in the measurement of lease liabilities:</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20"/>
        </w:trPr>
        <w:tc>
          <w:tcPr>
            <w:tcW w:w="8140" w:type="dxa"/>
            <w:vAlign w:val="bottom"/>
          </w:tcPr>
          <w:p>
            <w:pPr>
              <w:ind w:left="140"/>
              <w:spacing w:after="0"/>
              <w:rPr>
                <w:sz w:val="20"/>
                <w:szCs w:val="20"/>
                <w:color w:val="auto"/>
              </w:rPr>
            </w:pPr>
            <w:r>
              <w:rPr>
                <w:rFonts w:ascii="Arial" w:cs="Arial" w:eastAsia="Arial" w:hAnsi="Arial"/>
                <w:sz w:val="17"/>
                <w:szCs w:val="17"/>
                <w:color w:val="auto"/>
              </w:rPr>
              <w:t>Operating cash flows from operating leases</w:t>
            </w: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8,461</w:t>
            </w:r>
          </w:p>
        </w:tc>
        <w:tc>
          <w:tcPr>
            <w:tcW w:w="10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7,303</w:t>
            </w:r>
          </w:p>
        </w:tc>
      </w:tr>
      <w:tr>
        <w:trPr>
          <w:trHeight w:val="220"/>
        </w:trPr>
        <w:tc>
          <w:tcPr>
            <w:tcW w:w="81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Operating cash flows from finance leases</w:t>
            </w: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w:t>
            </w:r>
          </w:p>
        </w:tc>
      </w:tr>
      <w:tr>
        <w:trPr>
          <w:trHeight w:val="258"/>
        </w:trPr>
        <w:tc>
          <w:tcPr>
            <w:tcW w:w="8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20"/>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Right-of-use assets obtained in exchange for lease obligations: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0"/>
        </w:trPr>
        <w:tc>
          <w:tcPr>
            <w:tcW w:w="8140" w:type="dxa"/>
            <w:vAlign w:val="bottom"/>
          </w:tcPr>
          <w:p>
            <w:pPr>
              <w:ind w:left="140"/>
              <w:spacing w:after="0"/>
              <w:rPr>
                <w:sz w:val="20"/>
                <w:szCs w:val="20"/>
                <w:color w:val="auto"/>
              </w:rPr>
            </w:pPr>
            <w:r>
              <w:rPr>
                <w:rFonts w:ascii="Arial" w:cs="Arial" w:eastAsia="Arial" w:hAnsi="Arial"/>
                <w:sz w:val="17"/>
                <w:szCs w:val="17"/>
                <w:color w:val="auto"/>
              </w:rPr>
              <w:t>Operating leases</w:t>
            </w: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1,394</w:t>
            </w:r>
          </w:p>
        </w:tc>
        <w:tc>
          <w:tcPr>
            <w:tcW w:w="10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20,264</w:t>
            </w:r>
          </w:p>
        </w:tc>
      </w:tr>
      <w:tr>
        <w:trPr>
          <w:trHeight w:val="220"/>
        </w:trPr>
        <w:tc>
          <w:tcPr>
            <w:tcW w:w="81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Finance leases</w:t>
            </w: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2,870</w:t>
            </w:r>
          </w:p>
        </w:tc>
      </w:tr>
    </w:tbl>
    <w:p>
      <w:pPr>
        <w:spacing w:after="0" w:line="200" w:lineRule="exact"/>
        <w:rPr>
          <w:sz w:val="20"/>
          <w:szCs w:val="20"/>
          <w:color w:val="auto"/>
        </w:rPr>
      </w:pPr>
    </w:p>
    <w:p>
      <w:pPr>
        <w:spacing w:after="0" w:line="292" w:lineRule="exact"/>
        <w:rPr>
          <w:sz w:val="20"/>
          <w:szCs w:val="20"/>
          <w:color w:val="auto"/>
        </w:rPr>
      </w:pPr>
    </w:p>
    <w:p>
      <w:pPr>
        <w:ind w:left="180"/>
        <w:spacing w:after="0"/>
        <w:rPr>
          <w:sz w:val="20"/>
          <w:szCs w:val="20"/>
          <w:color w:val="auto"/>
        </w:rPr>
      </w:pPr>
      <w:r>
        <w:rPr>
          <w:rFonts w:ascii="Arial" w:cs="Arial" w:eastAsia="Arial" w:hAnsi="Arial"/>
          <w:sz w:val="15"/>
          <w:szCs w:val="15"/>
          <w:color w:val="auto"/>
        </w:rPr>
        <w:t>The following table presents the supplemental balance sheet information related to our operating leases (in thousands, except lease term and discount rate):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7"/>
          <w:szCs w:val="17"/>
          <w:b w:val="1"/>
          <w:bCs w:val="1"/>
          <w:color w:val="auto"/>
        </w:rPr>
        <w:t>ICU MEDICAL, INC. AND SUBSIDIARIES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8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84"/>
              </w:rPr>
              <w:t>As of</w:t>
            </w:r>
          </w:p>
        </w:tc>
        <w:tc>
          <w:tcPr>
            <w:tcW w:w="300" w:type="dxa"/>
            <w:vAlign w:val="bottom"/>
          </w:tcPr>
          <w:p>
            <w:pPr>
              <w:spacing w:after="0"/>
              <w:rPr>
                <w:sz w:val="16"/>
                <w:szCs w:val="16"/>
                <w:color w:val="auto"/>
              </w:rPr>
            </w:pPr>
          </w:p>
        </w:tc>
        <w:tc>
          <w:tcPr>
            <w:tcW w:w="2000" w:type="dxa"/>
            <w:vAlign w:val="bottom"/>
          </w:tcPr>
          <w:p>
            <w:pPr>
              <w:jc w:val="right"/>
              <w:ind w:right="916"/>
              <w:spacing w:after="0"/>
              <w:rPr>
                <w:sz w:val="20"/>
                <w:szCs w:val="20"/>
                <w:color w:val="auto"/>
              </w:rPr>
            </w:pPr>
            <w:r>
              <w:rPr>
                <w:rFonts w:ascii="Arial" w:cs="Arial" w:eastAsia="Arial" w:hAnsi="Arial"/>
                <w:sz w:val="16"/>
                <w:szCs w:val="16"/>
                <w:b w:val="1"/>
                <w:bCs w:val="1"/>
                <w:color w:val="auto"/>
              </w:rPr>
              <w:t>As of</w:t>
            </w:r>
          </w:p>
        </w:tc>
      </w:tr>
      <w:tr>
        <w:trPr>
          <w:trHeight w:val="204"/>
        </w:trPr>
        <w:tc>
          <w:tcPr>
            <w:tcW w:w="6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8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86"/>
              </w:rPr>
              <w:t>September 30, 2021</w:t>
            </w:r>
          </w:p>
        </w:tc>
        <w:tc>
          <w:tcPr>
            <w:tcW w:w="300" w:type="dxa"/>
            <w:vAlign w:val="bottom"/>
          </w:tcPr>
          <w:p>
            <w:pPr>
              <w:spacing w:after="0"/>
              <w:rPr>
                <w:sz w:val="17"/>
                <w:szCs w:val="17"/>
                <w:color w:val="auto"/>
              </w:rPr>
            </w:pPr>
          </w:p>
        </w:tc>
        <w:tc>
          <w:tcPr>
            <w:tcW w:w="2000" w:type="dxa"/>
            <w:vAlign w:val="bottom"/>
          </w:tcPr>
          <w:p>
            <w:pPr>
              <w:jc w:val="right"/>
              <w:ind w:right="456"/>
              <w:spacing w:after="0"/>
              <w:rPr>
                <w:sz w:val="20"/>
                <w:szCs w:val="20"/>
                <w:color w:val="auto"/>
              </w:rPr>
            </w:pPr>
            <w:r>
              <w:rPr>
                <w:rFonts w:ascii="Arial" w:cs="Arial" w:eastAsia="Arial" w:hAnsi="Arial"/>
                <w:sz w:val="16"/>
                <w:szCs w:val="16"/>
                <w:b w:val="1"/>
                <w:bCs w:val="1"/>
                <w:color w:val="auto"/>
                <w:w w:val="99"/>
              </w:rPr>
              <w:t>December 31, 2020</w:t>
            </w:r>
          </w:p>
        </w:tc>
      </w:tr>
      <w:tr>
        <w:trPr>
          <w:trHeight w:val="202"/>
        </w:trPr>
        <w:tc>
          <w:tcPr>
            <w:tcW w:w="6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Operating leases</w:t>
            </w:r>
          </w:p>
        </w:tc>
        <w:tc>
          <w:tcPr>
            <w:tcW w:w="300" w:type="dxa"/>
            <w:vAlign w:val="bottom"/>
            <w:tcBorders>
              <w:top w:val="single" w:sz="8" w:color="auto"/>
            </w:tcBorders>
            <w:shd w:val="clear" w:color="auto" w:fill="CCEEFF"/>
          </w:tcPr>
          <w:p>
            <w:pPr>
              <w:spacing w:after="0"/>
              <w:rPr>
                <w:sz w:val="17"/>
                <w:szCs w:val="17"/>
                <w:color w:val="auto"/>
              </w:rPr>
            </w:pPr>
          </w:p>
        </w:tc>
        <w:tc>
          <w:tcPr>
            <w:tcW w:w="1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2000" w:type="dxa"/>
            <w:vAlign w:val="bottom"/>
            <w:tcBorders>
              <w:top w:val="single" w:sz="8" w:color="auto"/>
            </w:tcBorders>
            <w:shd w:val="clear" w:color="auto" w:fill="CCEEFF"/>
          </w:tcPr>
          <w:p>
            <w:pPr>
              <w:spacing w:after="0"/>
              <w:rPr>
                <w:sz w:val="17"/>
                <w:szCs w:val="17"/>
                <w:color w:val="auto"/>
              </w:rPr>
            </w:pPr>
          </w:p>
        </w:tc>
      </w:tr>
      <w:tr>
        <w:trPr>
          <w:trHeight w:val="220"/>
        </w:trPr>
        <w:tc>
          <w:tcPr>
            <w:tcW w:w="6540" w:type="dxa"/>
            <w:vAlign w:val="bottom"/>
          </w:tcPr>
          <w:p>
            <w:pPr>
              <w:ind w:left="20"/>
              <w:spacing w:after="0"/>
              <w:rPr>
                <w:sz w:val="20"/>
                <w:szCs w:val="20"/>
                <w:color w:val="auto"/>
              </w:rPr>
            </w:pPr>
            <w:r>
              <w:rPr>
                <w:rFonts w:ascii="Arial" w:cs="Arial" w:eastAsia="Arial" w:hAnsi="Arial"/>
                <w:sz w:val="17"/>
                <w:szCs w:val="17"/>
                <w:color w:val="auto"/>
              </w:rPr>
              <w:t>Operating lease right-of-use assets</w:t>
            </w: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980" w:type="dxa"/>
            <w:vAlign w:val="bottom"/>
          </w:tcPr>
          <w:p>
            <w:pPr>
              <w:jc w:val="right"/>
              <w:ind w:right="136"/>
              <w:spacing w:after="0"/>
              <w:rPr>
                <w:sz w:val="20"/>
                <w:szCs w:val="20"/>
                <w:color w:val="auto"/>
              </w:rPr>
            </w:pPr>
            <w:r>
              <w:rPr>
                <w:rFonts w:ascii="Arial" w:cs="Arial" w:eastAsia="Arial" w:hAnsi="Arial"/>
                <w:sz w:val="17"/>
                <w:szCs w:val="17"/>
                <w:color w:val="auto"/>
              </w:rPr>
              <w:t>40,979</w:t>
            </w:r>
          </w:p>
        </w:tc>
        <w:tc>
          <w:tcPr>
            <w:tcW w:w="10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2000" w:type="dxa"/>
            <w:vAlign w:val="bottom"/>
          </w:tcPr>
          <w:p>
            <w:pPr>
              <w:jc w:val="right"/>
              <w:ind w:right="136"/>
              <w:spacing w:after="0"/>
              <w:rPr>
                <w:sz w:val="20"/>
                <w:szCs w:val="20"/>
                <w:color w:val="auto"/>
              </w:rPr>
            </w:pPr>
            <w:r>
              <w:rPr>
                <w:rFonts w:ascii="Arial" w:cs="Arial" w:eastAsia="Arial" w:hAnsi="Arial"/>
                <w:sz w:val="17"/>
                <w:szCs w:val="17"/>
                <w:color w:val="auto"/>
              </w:rPr>
              <w:t>46,571</w:t>
            </w:r>
          </w:p>
        </w:tc>
      </w:tr>
      <w:tr>
        <w:trPr>
          <w:trHeight w:val="258"/>
        </w:trPr>
        <w:tc>
          <w:tcPr>
            <w:tcW w:w="65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0" w:type="dxa"/>
            <w:vAlign w:val="bottom"/>
            <w:shd w:val="clear" w:color="auto" w:fill="CCEEFF"/>
          </w:tcPr>
          <w:p>
            <w:pPr>
              <w:spacing w:after="0"/>
              <w:rPr>
                <w:sz w:val="22"/>
                <w:szCs w:val="22"/>
                <w:color w:val="auto"/>
              </w:rPr>
            </w:pPr>
          </w:p>
        </w:tc>
      </w:tr>
      <w:tr>
        <w:trPr>
          <w:trHeight w:val="220"/>
        </w:trPr>
        <w:tc>
          <w:tcPr>
            <w:tcW w:w="6540" w:type="dxa"/>
            <w:vAlign w:val="bottom"/>
          </w:tcPr>
          <w:p>
            <w:pPr>
              <w:ind w:left="20"/>
              <w:spacing w:after="0"/>
              <w:rPr>
                <w:sz w:val="20"/>
                <w:szCs w:val="20"/>
                <w:color w:val="auto"/>
              </w:rPr>
            </w:pPr>
            <w:r>
              <w:rPr>
                <w:rFonts w:ascii="Arial" w:cs="Arial" w:eastAsia="Arial" w:hAnsi="Arial"/>
                <w:sz w:val="17"/>
                <w:szCs w:val="17"/>
                <w:color w:val="auto"/>
              </w:rPr>
              <w:t>Accrued liabilities</w:t>
            </w: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980" w:type="dxa"/>
            <w:vAlign w:val="bottom"/>
          </w:tcPr>
          <w:p>
            <w:pPr>
              <w:jc w:val="right"/>
              <w:ind w:right="136"/>
              <w:spacing w:after="0"/>
              <w:rPr>
                <w:sz w:val="20"/>
                <w:szCs w:val="20"/>
                <w:color w:val="auto"/>
              </w:rPr>
            </w:pPr>
            <w:r>
              <w:rPr>
                <w:rFonts w:ascii="Arial" w:cs="Arial" w:eastAsia="Arial" w:hAnsi="Arial"/>
                <w:sz w:val="17"/>
                <w:szCs w:val="17"/>
                <w:color w:val="auto"/>
              </w:rPr>
              <w:t>8,669</w:t>
            </w:r>
          </w:p>
        </w:tc>
        <w:tc>
          <w:tcPr>
            <w:tcW w:w="10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2000" w:type="dxa"/>
            <w:vAlign w:val="bottom"/>
          </w:tcPr>
          <w:p>
            <w:pPr>
              <w:jc w:val="right"/>
              <w:ind w:right="136"/>
              <w:spacing w:after="0"/>
              <w:rPr>
                <w:sz w:val="20"/>
                <w:szCs w:val="20"/>
                <w:color w:val="auto"/>
              </w:rPr>
            </w:pPr>
            <w:r>
              <w:rPr>
                <w:rFonts w:ascii="Arial" w:cs="Arial" w:eastAsia="Arial" w:hAnsi="Arial"/>
                <w:sz w:val="17"/>
                <w:szCs w:val="17"/>
                <w:color w:val="auto"/>
              </w:rPr>
              <w:t>8,740</w:t>
            </w:r>
          </w:p>
        </w:tc>
      </w:tr>
      <w:tr>
        <w:trPr>
          <w:trHeight w:val="220"/>
        </w:trPr>
        <w:tc>
          <w:tcPr>
            <w:tcW w:w="6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long-term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7"/>
                <w:szCs w:val="17"/>
                <w:color w:val="auto"/>
              </w:rPr>
              <w:t>35,478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7"/>
                <w:szCs w:val="17"/>
                <w:color w:val="auto"/>
              </w:rPr>
              <w:t>41,019</w:t>
            </w:r>
          </w:p>
        </w:tc>
      </w:tr>
      <w:tr>
        <w:trPr>
          <w:trHeight w:val="213"/>
        </w:trPr>
        <w:tc>
          <w:tcPr>
            <w:tcW w:w="6540" w:type="dxa"/>
            <w:vAlign w:val="bottom"/>
          </w:tcPr>
          <w:p>
            <w:pPr>
              <w:ind w:left="140"/>
              <w:spacing w:after="0"/>
              <w:rPr>
                <w:sz w:val="20"/>
                <w:szCs w:val="20"/>
                <w:color w:val="auto"/>
              </w:rPr>
            </w:pPr>
            <w:r>
              <w:rPr>
                <w:rFonts w:ascii="Arial" w:cs="Arial" w:eastAsia="Arial" w:hAnsi="Arial"/>
                <w:sz w:val="17"/>
                <w:szCs w:val="17"/>
                <w:color w:val="auto"/>
              </w:rPr>
              <w:t>Total operating lease liabilities</w:t>
            </w: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198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44,147</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200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49,759</w:t>
            </w:r>
          </w:p>
        </w:tc>
      </w:tr>
      <w:tr>
        <w:trPr>
          <w:trHeight w:val="20"/>
        </w:trPr>
        <w:tc>
          <w:tcPr>
            <w:tcW w:w="65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r>
        <w:trPr>
          <w:trHeight w:val="224"/>
        </w:trPr>
        <w:tc>
          <w:tcPr>
            <w:tcW w:w="65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r>
      <w:tr>
        <w:trPr>
          <w:trHeight w:val="220"/>
        </w:trPr>
        <w:tc>
          <w:tcPr>
            <w:tcW w:w="6540" w:type="dxa"/>
            <w:vAlign w:val="bottom"/>
          </w:tcPr>
          <w:p>
            <w:pPr>
              <w:ind w:left="20"/>
              <w:spacing w:after="0"/>
              <w:rPr>
                <w:sz w:val="20"/>
                <w:szCs w:val="20"/>
                <w:color w:val="auto"/>
              </w:rPr>
            </w:pPr>
            <w:r>
              <w:rPr>
                <w:rFonts w:ascii="Arial" w:cs="Arial" w:eastAsia="Arial" w:hAnsi="Arial"/>
                <w:sz w:val="17"/>
                <w:szCs w:val="17"/>
                <w:b w:val="1"/>
                <w:bCs w:val="1"/>
                <w:color w:val="auto"/>
              </w:rPr>
              <w:t>Weighted Average Remaining Lease Term</w:t>
            </w:r>
          </w:p>
        </w:tc>
        <w:tc>
          <w:tcPr>
            <w:tcW w:w="3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220"/>
        </w:trPr>
        <w:tc>
          <w:tcPr>
            <w:tcW w:w="65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Operating leases</w:t>
            </w:r>
          </w:p>
        </w:tc>
        <w:tc>
          <w:tcPr>
            <w:tcW w:w="30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ind w:left="1340"/>
              <w:spacing w:after="0"/>
              <w:rPr>
                <w:sz w:val="20"/>
                <w:szCs w:val="20"/>
                <w:color w:val="auto"/>
              </w:rPr>
            </w:pPr>
            <w:r>
              <w:rPr>
                <w:rFonts w:ascii="Arial" w:cs="Arial" w:eastAsia="Arial" w:hAnsi="Arial"/>
                <w:sz w:val="17"/>
                <w:szCs w:val="17"/>
                <w:color w:val="auto"/>
              </w:rPr>
              <w:t>6.2 years</w:t>
            </w:r>
          </w:p>
        </w:tc>
        <w:tc>
          <w:tcPr>
            <w:tcW w:w="3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 years</w:t>
            </w:r>
          </w:p>
        </w:tc>
      </w:tr>
      <w:tr>
        <w:trPr>
          <w:trHeight w:val="258"/>
        </w:trPr>
        <w:tc>
          <w:tcPr>
            <w:tcW w:w="65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00" w:type="dxa"/>
            <w:vAlign w:val="bottom"/>
          </w:tcPr>
          <w:p>
            <w:pPr>
              <w:spacing w:after="0"/>
              <w:rPr>
                <w:sz w:val="22"/>
                <w:szCs w:val="22"/>
                <w:color w:val="auto"/>
              </w:rPr>
            </w:pPr>
          </w:p>
        </w:tc>
      </w:tr>
      <w:tr>
        <w:trPr>
          <w:trHeight w:val="220"/>
        </w:trPr>
        <w:tc>
          <w:tcPr>
            <w:tcW w:w="65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Weighted Average Discount Rate</w:t>
            </w:r>
          </w:p>
        </w:tc>
        <w:tc>
          <w:tcPr>
            <w:tcW w:w="30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r>
      <w:tr>
        <w:trPr>
          <w:trHeight w:val="220"/>
        </w:trPr>
        <w:tc>
          <w:tcPr>
            <w:tcW w:w="6540" w:type="dxa"/>
            <w:vAlign w:val="bottom"/>
          </w:tcPr>
          <w:p>
            <w:pPr>
              <w:ind w:left="220"/>
              <w:spacing w:after="0"/>
              <w:rPr>
                <w:sz w:val="20"/>
                <w:szCs w:val="20"/>
                <w:color w:val="auto"/>
              </w:rPr>
            </w:pPr>
            <w:r>
              <w:rPr>
                <w:rFonts w:ascii="Arial" w:cs="Arial" w:eastAsia="Arial" w:hAnsi="Arial"/>
                <w:sz w:val="17"/>
                <w:szCs w:val="17"/>
                <w:color w:val="auto"/>
              </w:rPr>
              <w:t>Operating leases</w:t>
            </w:r>
          </w:p>
        </w:tc>
        <w:tc>
          <w:tcPr>
            <w:tcW w:w="3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7"/>
                <w:szCs w:val="17"/>
                <w:color w:val="auto"/>
              </w:rPr>
              <w:t>4.98 %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7"/>
                <w:szCs w:val="17"/>
                <w:color w:val="auto"/>
              </w:rPr>
              <w:t>5.02 %</w:t>
            </w:r>
          </w:p>
        </w:tc>
      </w:tr>
    </w:tbl>
    <w:p>
      <w:pPr>
        <w:spacing w:after="0" w:line="272"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following table presents the supplemental balance sheet information related to our finance leases (in thousands, except lease term and discount rate):</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8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84"/>
              </w:rPr>
              <w:t>As of</w:t>
            </w:r>
          </w:p>
        </w:tc>
        <w:tc>
          <w:tcPr>
            <w:tcW w:w="300" w:type="dxa"/>
            <w:vAlign w:val="bottom"/>
          </w:tcPr>
          <w:p>
            <w:pPr>
              <w:spacing w:after="0"/>
              <w:rPr>
                <w:sz w:val="16"/>
                <w:szCs w:val="16"/>
                <w:color w:val="auto"/>
              </w:rPr>
            </w:pPr>
          </w:p>
        </w:tc>
        <w:tc>
          <w:tcPr>
            <w:tcW w:w="1960" w:type="dxa"/>
            <w:vAlign w:val="bottom"/>
          </w:tcPr>
          <w:p>
            <w:pPr>
              <w:jc w:val="right"/>
              <w:ind w:right="896"/>
              <w:spacing w:after="0"/>
              <w:rPr>
                <w:sz w:val="20"/>
                <w:szCs w:val="20"/>
                <w:color w:val="auto"/>
              </w:rPr>
            </w:pPr>
            <w:r>
              <w:rPr>
                <w:rFonts w:ascii="Arial" w:cs="Arial" w:eastAsia="Arial" w:hAnsi="Arial"/>
                <w:sz w:val="16"/>
                <w:szCs w:val="16"/>
                <w:b w:val="1"/>
                <w:bCs w:val="1"/>
                <w:color w:val="auto"/>
              </w:rPr>
              <w:t>As of</w:t>
            </w:r>
          </w:p>
        </w:tc>
      </w:tr>
      <w:tr>
        <w:trPr>
          <w:trHeight w:val="204"/>
        </w:trPr>
        <w:tc>
          <w:tcPr>
            <w:tcW w:w="6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8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86"/>
              </w:rPr>
              <w:t>September 30, 2021</w:t>
            </w:r>
          </w:p>
        </w:tc>
        <w:tc>
          <w:tcPr>
            <w:tcW w:w="300" w:type="dxa"/>
            <w:vAlign w:val="bottom"/>
          </w:tcPr>
          <w:p>
            <w:pPr>
              <w:spacing w:after="0"/>
              <w:rPr>
                <w:sz w:val="17"/>
                <w:szCs w:val="17"/>
                <w:color w:val="auto"/>
              </w:rPr>
            </w:pPr>
          </w:p>
        </w:tc>
        <w:tc>
          <w:tcPr>
            <w:tcW w:w="1960" w:type="dxa"/>
            <w:vAlign w:val="bottom"/>
          </w:tcPr>
          <w:p>
            <w:pPr>
              <w:jc w:val="right"/>
              <w:ind w:right="416"/>
              <w:spacing w:after="0"/>
              <w:rPr>
                <w:sz w:val="20"/>
                <w:szCs w:val="20"/>
                <w:color w:val="auto"/>
              </w:rPr>
            </w:pPr>
            <w:r>
              <w:rPr>
                <w:rFonts w:ascii="Arial" w:cs="Arial" w:eastAsia="Arial" w:hAnsi="Arial"/>
                <w:sz w:val="16"/>
                <w:szCs w:val="16"/>
                <w:b w:val="1"/>
                <w:bCs w:val="1"/>
                <w:color w:val="auto"/>
                <w:w w:val="99"/>
              </w:rPr>
              <w:t>December 31, 2020</w:t>
            </w:r>
          </w:p>
        </w:tc>
      </w:tr>
      <w:tr>
        <w:trPr>
          <w:trHeight w:val="202"/>
        </w:trPr>
        <w:tc>
          <w:tcPr>
            <w:tcW w:w="6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Financing leases</w:t>
            </w:r>
          </w:p>
        </w:tc>
        <w:tc>
          <w:tcPr>
            <w:tcW w:w="300" w:type="dxa"/>
            <w:vAlign w:val="bottom"/>
            <w:tcBorders>
              <w:top w:val="single" w:sz="8" w:color="auto"/>
            </w:tcBorders>
            <w:shd w:val="clear" w:color="auto" w:fill="CCEEFF"/>
          </w:tcPr>
          <w:p>
            <w:pPr>
              <w:spacing w:after="0"/>
              <w:rPr>
                <w:sz w:val="17"/>
                <w:szCs w:val="17"/>
                <w:color w:val="auto"/>
              </w:rPr>
            </w:pPr>
          </w:p>
        </w:tc>
        <w:tc>
          <w:tcPr>
            <w:tcW w:w="1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960" w:type="dxa"/>
            <w:vAlign w:val="bottom"/>
            <w:tcBorders>
              <w:top w:val="single" w:sz="8" w:color="auto"/>
            </w:tcBorders>
            <w:shd w:val="clear" w:color="auto" w:fill="CCEEFF"/>
          </w:tcPr>
          <w:p>
            <w:pPr>
              <w:spacing w:after="0"/>
              <w:rPr>
                <w:sz w:val="17"/>
                <w:szCs w:val="17"/>
                <w:color w:val="auto"/>
              </w:rPr>
            </w:pPr>
          </w:p>
        </w:tc>
      </w:tr>
      <w:tr>
        <w:trPr>
          <w:trHeight w:val="220"/>
        </w:trPr>
        <w:tc>
          <w:tcPr>
            <w:tcW w:w="6600" w:type="dxa"/>
            <w:vAlign w:val="bottom"/>
          </w:tcPr>
          <w:p>
            <w:pPr>
              <w:ind w:left="20"/>
              <w:spacing w:after="0"/>
              <w:rPr>
                <w:sz w:val="20"/>
                <w:szCs w:val="20"/>
                <w:color w:val="auto"/>
              </w:rPr>
            </w:pPr>
            <w:r>
              <w:rPr>
                <w:rFonts w:ascii="Arial" w:cs="Arial" w:eastAsia="Arial" w:hAnsi="Arial"/>
                <w:sz w:val="17"/>
                <w:szCs w:val="17"/>
                <w:color w:val="auto"/>
              </w:rPr>
              <w:t>Financing lease right-of-use assets</w:t>
            </w: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980" w:type="dxa"/>
            <w:vAlign w:val="bottom"/>
          </w:tcPr>
          <w:p>
            <w:pPr>
              <w:jc w:val="right"/>
              <w:ind w:right="136"/>
              <w:spacing w:after="0"/>
              <w:rPr>
                <w:sz w:val="20"/>
                <w:szCs w:val="20"/>
                <w:color w:val="auto"/>
              </w:rPr>
            </w:pPr>
            <w:r>
              <w:rPr>
                <w:rFonts w:ascii="Arial" w:cs="Arial" w:eastAsia="Arial" w:hAnsi="Arial"/>
                <w:sz w:val="17"/>
                <w:szCs w:val="17"/>
                <w:color w:val="auto"/>
              </w:rPr>
              <w:t>2,690</w:t>
            </w:r>
          </w:p>
        </w:tc>
        <w:tc>
          <w:tcPr>
            <w:tcW w:w="10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960" w:type="dxa"/>
            <w:vAlign w:val="bottom"/>
          </w:tcPr>
          <w:p>
            <w:pPr>
              <w:jc w:val="right"/>
              <w:ind w:right="116"/>
              <w:spacing w:after="0"/>
              <w:rPr>
                <w:sz w:val="20"/>
                <w:szCs w:val="20"/>
                <w:color w:val="auto"/>
              </w:rPr>
            </w:pPr>
            <w:r>
              <w:rPr>
                <w:rFonts w:ascii="Arial" w:cs="Arial" w:eastAsia="Arial" w:hAnsi="Arial"/>
                <w:sz w:val="17"/>
                <w:szCs w:val="17"/>
                <w:color w:val="auto"/>
              </w:rPr>
              <w:t>2,915</w:t>
            </w:r>
          </w:p>
        </w:tc>
      </w:tr>
      <w:tr>
        <w:trPr>
          <w:trHeight w:val="258"/>
        </w:trPr>
        <w:tc>
          <w:tcPr>
            <w:tcW w:w="6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960" w:type="dxa"/>
            <w:vAlign w:val="bottom"/>
            <w:shd w:val="clear" w:color="auto" w:fill="CCEEFF"/>
          </w:tcPr>
          <w:p>
            <w:pPr>
              <w:spacing w:after="0"/>
              <w:rPr>
                <w:sz w:val="22"/>
                <w:szCs w:val="22"/>
                <w:color w:val="auto"/>
              </w:rPr>
            </w:pPr>
          </w:p>
        </w:tc>
      </w:tr>
      <w:tr>
        <w:trPr>
          <w:trHeight w:val="220"/>
        </w:trPr>
        <w:tc>
          <w:tcPr>
            <w:tcW w:w="6600" w:type="dxa"/>
            <w:vAlign w:val="bottom"/>
          </w:tcPr>
          <w:p>
            <w:pPr>
              <w:ind w:left="20"/>
              <w:spacing w:after="0"/>
              <w:rPr>
                <w:sz w:val="20"/>
                <w:szCs w:val="20"/>
                <w:color w:val="auto"/>
              </w:rPr>
            </w:pPr>
            <w:r>
              <w:rPr>
                <w:rFonts w:ascii="Arial" w:cs="Arial" w:eastAsia="Arial" w:hAnsi="Arial"/>
                <w:sz w:val="17"/>
                <w:szCs w:val="17"/>
                <w:color w:val="auto"/>
              </w:rPr>
              <w:t>Accrued liabilities</w:t>
            </w: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980" w:type="dxa"/>
            <w:vAlign w:val="bottom"/>
          </w:tcPr>
          <w:p>
            <w:pPr>
              <w:jc w:val="right"/>
              <w:ind w:right="136"/>
              <w:spacing w:after="0"/>
              <w:rPr>
                <w:sz w:val="20"/>
                <w:szCs w:val="20"/>
                <w:color w:val="auto"/>
              </w:rPr>
            </w:pPr>
            <w:r>
              <w:rPr>
                <w:rFonts w:ascii="Arial" w:cs="Arial" w:eastAsia="Arial" w:hAnsi="Arial"/>
                <w:sz w:val="17"/>
                <w:szCs w:val="17"/>
                <w:color w:val="auto"/>
              </w:rPr>
              <w:t>624</w:t>
            </w:r>
          </w:p>
        </w:tc>
        <w:tc>
          <w:tcPr>
            <w:tcW w:w="10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960" w:type="dxa"/>
            <w:vAlign w:val="bottom"/>
          </w:tcPr>
          <w:p>
            <w:pPr>
              <w:jc w:val="right"/>
              <w:ind w:right="116"/>
              <w:spacing w:after="0"/>
              <w:rPr>
                <w:sz w:val="20"/>
                <w:szCs w:val="20"/>
                <w:color w:val="auto"/>
              </w:rPr>
            </w:pPr>
            <w:r>
              <w:rPr>
                <w:rFonts w:ascii="Arial" w:cs="Arial" w:eastAsia="Arial" w:hAnsi="Arial"/>
                <w:sz w:val="17"/>
                <w:szCs w:val="17"/>
                <w:color w:val="auto"/>
              </w:rPr>
              <w:t>554</w:t>
            </w:r>
          </w:p>
        </w:tc>
      </w:tr>
      <w:tr>
        <w:trPr>
          <w:trHeight w:val="220"/>
        </w:trPr>
        <w:tc>
          <w:tcPr>
            <w:tcW w:w="6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long-term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7"/>
                <w:szCs w:val="17"/>
                <w:color w:val="auto"/>
              </w:rPr>
              <w:t>2,122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rPr>
              <w:t>2,388</w:t>
            </w:r>
          </w:p>
        </w:tc>
      </w:tr>
      <w:tr>
        <w:trPr>
          <w:trHeight w:val="213"/>
        </w:trPr>
        <w:tc>
          <w:tcPr>
            <w:tcW w:w="6600" w:type="dxa"/>
            <w:vAlign w:val="bottom"/>
          </w:tcPr>
          <w:p>
            <w:pPr>
              <w:ind w:left="140"/>
              <w:spacing w:after="0"/>
              <w:rPr>
                <w:sz w:val="20"/>
                <w:szCs w:val="20"/>
                <w:color w:val="auto"/>
              </w:rPr>
            </w:pPr>
            <w:r>
              <w:rPr>
                <w:rFonts w:ascii="Arial" w:cs="Arial" w:eastAsia="Arial" w:hAnsi="Arial"/>
                <w:sz w:val="17"/>
                <w:szCs w:val="17"/>
                <w:color w:val="auto"/>
              </w:rPr>
              <w:t>Total financing lease liabilities</w:t>
            </w: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198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2,746</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196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rPr>
              <w:t>2,942</w:t>
            </w: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r>
        <w:trPr>
          <w:trHeight w:val="224"/>
        </w:trPr>
        <w:tc>
          <w:tcPr>
            <w:tcW w:w="66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r>
      <w:tr>
        <w:trPr>
          <w:trHeight w:val="220"/>
        </w:trPr>
        <w:tc>
          <w:tcPr>
            <w:tcW w:w="6600" w:type="dxa"/>
            <w:vAlign w:val="bottom"/>
          </w:tcPr>
          <w:p>
            <w:pPr>
              <w:ind w:left="20"/>
              <w:spacing w:after="0"/>
              <w:rPr>
                <w:sz w:val="20"/>
                <w:szCs w:val="20"/>
                <w:color w:val="auto"/>
              </w:rPr>
            </w:pPr>
            <w:r>
              <w:rPr>
                <w:rFonts w:ascii="Arial" w:cs="Arial" w:eastAsia="Arial" w:hAnsi="Arial"/>
                <w:sz w:val="17"/>
                <w:szCs w:val="17"/>
                <w:b w:val="1"/>
                <w:bCs w:val="1"/>
                <w:color w:val="auto"/>
              </w:rPr>
              <w:t>Weighted Average Remaining Lease Term</w:t>
            </w:r>
          </w:p>
        </w:tc>
        <w:tc>
          <w:tcPr>
            <w:tcW w:w="3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220"/>
        </w:trPr>
        <w:tc>
          <w:tcPr>
            <w:tcW w:w="66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Financing leases</w:t>
            </w:r>
          </w:p>
        </w:tc>
        <w:tc>
          <w:tcPr>
            <w:tcW w:w="30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ind w:left="1340"/>
              <w:spacing w:after="0"/>
              <w:rPr>
                <w:sz w:val="20"/>
                <w:szCs w:val="20"/>
                <w:color w:val="auto"/>
              </w:rPr>
            </w:pPr>
            <w:r>
              <w:rPr>
                <w:rFonts w:ascii="Arial" w:cs="Arial" w:eastAsia="Arial" w:hAnsi="Arial"/>
                <w:sz w:val="17"/>
                <w:szCs w:val="17"/>
                <w:color w:val="auto"/>
              </w:rPr>
              <w:t>5.8 years</w:t>
            </w:r>
          </w:p>
        </w:tc>
        <w:tc>
          <w:tcPr>
            <w:tcW w:w="3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 years</w:t>
            </w:r>
          </w:p>
        </w:tc>
      </w:tr>
      <w:tr>
        <w:trPr>
          <w:trHeight w:val="258"/>
        </w:trPr>
        <w:tc>
          <w:tcPr>
            <w:tcW w:w="6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960" w:type="dxa"/>
            <w:vAlign w:val="bottom"/>
          </w:tcPr>
          <w:p>
            <w:pPr>
              <w:spacing w:after="0"/>
              <w:rPr>
                <w:sz w:val="22"/>
                <w:szCs w:val="22"/>
                <w:color w:val="auto"/>
              </w:rPr>
            </w:pPr>
          </w:p>
        </w:tc>
      </w:tr>
      <w:tr>
        <w:trPr>
          <w:trHeight w:val="220"/>
        </w:trPr>
        <w:tc>
          <w:tcPr>
            <w:tcW w:w="66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Weighted Average Discount Rate</w:t>
            </w:r>
          </w:p>
        </w:tc>
        <w:tc>
          <w:tcPr>
            <w:tcW w:w="30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r>
      <w:tr>
        <w:trPr>
          <w:trHeight w:val="220"/>
        </w:trPr>
        <w:tc>
          <w:tcPr>
            <w:tcW w:w="6600" w:type="dxa"/>
            <w:vAlign w:val="bottom"/>
          </w:tcPr>
          <w:p>
            <w:pPr>
              <w:ind w:left="220"/>
              <w:spacing w:after="0"/>
              <w:rPr>
                <w:sz w:val="20"/>
                <w:szCs w:val="20"/>
                <w:color w:val="auto"/>
              </w:rPr>
            </w:pPr>
            <w:r>
              <w:rPr>
                <w:rFonts w:ascii="Arial" w:cs="Arial" w:eastAsia="Arial" w:hAnsi="Arial"/>
                <w:sz w:val="17"/>
                <w:szCs w:val="17"/>
                <w:color w:val="auto"/>
              </w:rPr>
              <w:t>Financing leases</w:t>
            </w:r>
          </w:p>
        </w:tc>
        <w:tc>
          <w:tcPr>
            <w:tcW w:w="3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7"/>
                <w:szCs w:val="17"/>
                <w:color w:val="auto"/>
              </w:rPr>
              <w:t>4.27 %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7"/>
                <w:szCs w:val="17"/>
                <w:color w:val="auto"/>
              </w:rPr>
              <w:t>4.27 %</w:t>
            </w:r>
          </w:p>
        </w:tc>
      </w:tr>
    </w:tbl>
    <w:p>
      <w:pPr>
        <w:spacing w:after="0" w:line="284"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As of September 30, 2021, the maturities of our operating and financing lease liabilities for each of the next five years is approximately (in thousands):</w:t>
      </w:r>
    </w:p>
    <w:p>
      <w:pPr>
        <w:spacing w:after="0" w:line="133" w:lineRule="exact"/>
        <w:rPr>
          <w:sz w:val="20"/>
          <w:szCs w:val="20"/>
          <w:color w:val="auto"/>
        </w:rPr>
      </w:pPr>
    </w:p>
    <w:tbl>
      <w:tblPr>
        <w:tblLayout w:type="fixed"/>
        <w:tblInd w:w="20" w:type="dxa"/>
        <w:tblCellMar>
          <w:top w:w="0" w:type="dxa"/>
          <w:left w:w="0" w:type="dxa"/>
          <w:bottom w:w="0" w:type="dxa"/>
          <w:right w:w="0" w:type="dxa"/>
        </w:tblCellMar>
      </w:tblPr>
      <w:tr>
        <w:trPr>
          <w:trHeight w:val="225"/>
        </w:trPr>
        <w:tc>
          <w:tcPr>
            <w:tcW w:w="6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0" w:type="dxa"/>
            <w:vAlign w:val="bottom"/>
            <w:gridSpan w:val="2"/>
          </w:tcPr>
          <w:p>
            <w:pPr>
              <w:ind w:left="160"/>
              <w:spacing w:after="0"/>
              <w:rPr>
                <w:sz w:val="20"/>
                <w:szCs w:val="20"/>
                <w:color w:val="auto"/>
              </w:rPr>
            </w:pPr>
            <w:r>
              <w:rPr>
                <w:rFonts w:ascii="Arial" w:cs="Arial" w:eastAsia="Arial" w:hAnsi="Arial"/>
                <w:sz w:val="17"/>
                <w:szCs w:val="17"/>
                <w:b w:val="1"/>
                <w:bCs w:val="1"/>
                <w:color w:val="auto"/>
              </w:rPr>
              <w:t>Operating Leases</w:t>
            </w:r>
          </w:p>
        </w:tc>
        <w:tc>
          <w:tcPr>
            <w:tcW w:w="320" w:type="dxa"/>
            <w:vAlign w:val="bottom"/>
          </w:tcPr>
          <w:p>
            <w:pPr>
              <w:spacing w:after="0"/>
              <w:rPr>
                <w:sz w:val="19"/>
                <w:szCs w:val="19"/>
                <w:color w:val="auto"/>
              </w:rPr>
            </w:pPr>
          </w:p>
        </w:tc>
        <w:tc>
          <w:tcPr>
            <w:tcW w:w="1880" w:type="dxa"/>
            <w:vAlign w:val="bottom"/>
          </w:tcPr>
          <w:p>
            <w:pPr>
              <w:jc w:val="right"/>
              <w:ind w:right="454"/>
              <w:spacing w:after="0"/>
              <w:rPr>
                <w:sz w:val="20"/>
                <w:szCs w:val="20"/>
                <w:color w:val="auto"/>
              </w:rPr>
            </w:pPr>
            <w:r>
              <w:rPr>
                <w:rFonts w:ascii="Arial" w:cs="Arial" w:eastAsia="Arial" w:hAnsi="Arial"/>
                <w:sz w:val="17"/>
                <w:szCs w:val="17"/>
                <w:b w:val="1"/>
                <w:bCs w:val="1"/>
                <w:color w:val="auto"/>
              </w:rPr>
              <w:t>Finance Leases</w:t>
            </w:r>
          </w:p>
        </w:tc>
      </w:tr>
      <w:tr>
        <w:trPr>
          <w:trHeight w:val="213"/>
        </w:trPr>
        <w:tc>
          <w:tcPr>
            <w:tcW w:w="6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Remainder of 2021</w:t>
            </w:r>
          </w:p>
        </w:tc>
        <w:tc>
          <w:tcPr>
            <w:tcW w:w="280" w:type="dxa"/>
            <w:vAlign w:val="bottom"/>
            <w:tcBorders>
              <w:top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2,783</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182</w:t>
            </w:r>
          </w:p>
        </w:tc>
      </w:tr>
      <w:tr>
        <w:trPr>
          <w:trHeight w:val="220"/>
        </w:trPr>
        <w:tc>
          <w:tcPr>
            <w:tcW w:w="6740" w:type="dxa"/>
            <w:vAlign w:val="bottom"/>
          </w:tcPr>
          <w:p>
            <w:pPr>
              <w:ind w:left="20"/>
              <w:spacing w:after="0"/>
              <w:rPr>
                <w:sz w:val="20"/>
                <w:szCs w:val="20"/>
                <w:color w:val="auto"/>
              </w:rPr>
            </w:pPr>
            <w:r>
              <w:rPr>
                <w:rFonts w:ascii="Arial" w:cs="Arial" w:eastAsia="Arial" w:hAnsi="Arial"/>
                <w:sz w:val="17"/>
                <w:szCs w:val="17"/>
                <w:color w:val="auto"/>
              </w:rPr>
              <w:t>2022</w:t>
            </w:r>
          </w:p>
        </w:tc>
        <w:tc>
          <w:tcPr>
            <w:tcW w:w="2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7"/>
                <w:szCs w:val="17"/>
                <w:color w:val="auto"/>
              </w:rPr>
              <w:t>10,370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726</w:t>
            </w:r>
          </w:p>
        </w:tc>
      </w:tr>
      <w:tr>
        <w:trPr>
          <w:trHeight w:val="220"/>
        </w:trPr>
        <w:tc>
          <w:tcPr>
            <w:tcW w:w="6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2023</w:t>
            </w:r>
          </w:p>
        </w:tc>
        <w:tc>
          <w:tcPr>
            <w:tcW w:w="2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9,194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726</w:t>
            </w:r>
          </w:p>
        </w:tc>
      </w:tr>
      <w:tr>
        <w:trPr>
          <w:trHeight w:val="220"/>
        </w:trPr>
        <w:tc>
          <w:tcPr>
            <w:tcW w:w="6740" w:type="dxa"/>
            <w:vAlign w:val="bottom"/>
          </w:tcPr>
          <w:p>
            <w:pPr>
              <w:ind w:left="20"/>
              <w:spacing w:after="0"/>
              <w:rPr>
                <w:sz w:val="20"/>
                <w:szCs w:val="20"/>
                <w:color w:val="auto"/>
              </w:rPr>
            </w:pPr>
            <w:r>
              <w:rPr>
                <w:rFonts w:ascii="Arial" w:cs="Arial" w:eastAsia="Arial" w:hAnsi="Arial"/>
                <w:sz w:val="17"/>
                <w:szCs w:val="17"/>
                <w:color w:val="auto"/>
              </w:rPr>
              <w:t>2024</w:t>
            </w:r>
          </w:p>
        </w:tc>
        <w:tc>
          <w:tcPr>
            <w:tcW w:w="2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7"/>
                <w:szCs w:val="17"/>
                <w:color w:val="auto"/>
              </w:rPr>
              <w:t>8,347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421</w:t>
            </w:r>
          </w:p>
        </w:tc>
      </w:tr>
      <w:tr>
        <w:trPr>
          <w:trHeight w:val="220"/>
        </w:trPr>
        <w:tc>
          <w:tcPr>
            <w:tcW w:w="6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2025</w:t>
            </w:r>
          </w:p>
        </w:tc>
        <w:tc>
          <w:tcPr>
            <w:tcW w:w="2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4,999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w:t>
            </w:r>
          </w:p>
        </w:tc>
      </w:tr>
      <w:tr>
        <w:trPr>
          <w:trHeight w:val="220"/>
        </w:trPr>
        <w:tc>
          <w:tcPr>
            <w:tcW w:w="6740" w:type="dxa"/>
            <w:vAlign w:val="bottom"/>
          </w:tcPr>
          <w:p>
            <w:pPr>
              <w:ind w:left="20"/>
              <w:spacing w:after="0"/>
              <w:rPr>
                <w:sz w:val="20"/>
                <w:szCs w:val="20"/>
                <w:color w:val="auto"/>
              </w:rPr>
            </w:pPr>
            <w:r>
              <w:rPr>
                <w:rFonts w:ascii="Arial" w:cs="Arial" w:eastAsia="Arial" w:hAnsi="Arial"/>
                <w:sz w:val="17"/>
                <w:szCs w:val="17"/>
                <w:color w:val="auto"/>
              </w:rPr>
              <w:t>2026</w:t>
            </w:r>
          </w:p>
        </w:tc>
        <w:tc>
          <w:tcPr>
            <w:tcW w:w="2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7"/>
                <w:szCs w:val="17"/>
                <w:color w:val="auto"/>
              </w:rPr>
              <w:t>4,725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189</w:t>
            </w:r>
          </w:p>
        </w:tc>
      </w:tr>
      <w:tr>
        <w:trPr>
          <w:trHeight w:val="220"/>
        </w:trPr>
        <w:tc>
          <w:tcPr>
            <w:tcW w:w="6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Thereafter</w:t>
            </w:r>
          </w:p>
        </w:tc>
        <w:tc>
          <w:tcPr>
            <w:tcW w:w="28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10,574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615</w:t>
            </w:r>
          </w:p>
        </w:tc>
      </w:tr>
      <w:tr>
        <w:trPr>
          <w:trHeight w:val="213"/>
        </w:trPr>
        <w:tc>
          <w:tcPr>
            <w:tcW w:w="6740" w:type="dxa"/>
            <w:vAlign w:val="bottom"/>
          </w:tcPr>
          <w:p>
            <w:pPr>
              <w:ind w:left="140"/>
              <w:spacing w:after="0"/>
              <w:rPr>
                <w:sz w:val="20"/>
                <w:szCs w:val="20"/>
                <w:color w:val="auto"/>
              </w:rPr>
            </w:pPr>
            <w:r>
              <w:rPr>
                <w:rFonts w:ascii="Arial" w:cs="Arial" w:eastAsia="Arial" w:hAnsi="Arial"/>
                <w:sz w:val="17"/>
                <w:szCs w:val="17"/>
                <w:color w:val="auto"/>
              </w:rPr>
              <w:t>Total Lease Payments</w:t>
            </w:r>
          </w:p>
        </w:tc>
        <w:tc>
          <w:tcPr>
            <w:tcW w:w="28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7"/>
                <w:szCs w:val="17"/>
                <w:color w:val="auto"/>
              </w:rPr>
              <w:t>50,992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3,084</w:t>
            </w:r>
          </w:p>
        </w:tc>
      </w:tr>
      <w:tr>
        <w:trPr>
          <w:trHeight w:val="220"/>
        </w:trPr>
        <w:tc>
          <w:tcPr>
            <w:tcW w:w="6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imputed interest</w:t>
            </w:r>
          </w:p>
        </w:tc>
        <w:tc>
          <w:tcPr>
            <w:tcW w:w="28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(6,845)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(338)</w:t>
            </w:r>
          </w:p>
        </w:tc>
      </w:tr>
      <w:tr>
        <w:trPr>
          <w:trHeight w:val="213"/>
        </w:trPr>
        <w:tc>
          <w:tcPr>
            <w:tcW w:w="6740" w:type="dxa"/>
            <w:vAlign w:val="bottom"/>
          </w:tcPr>
          <w:p>
            <w:pPr>
              <w:ind w:left="140"/>
              <w:spacing w:after="0"/>
              <w:rPr>
                <w:sz w:val="20"/>
                <w:szCs w:val="20"/>
                <w:color w:val="auto"/>
              </w:rPr>
            </w:pPr>
            <w:r>
              <w:rPr>
                <w:rFonts w:ascii="Arial" w:cs="Arial" w:eastAsia="Arial" w:hAnsi="Arial"/>
                <w:sz w:val="17"/>
                <w:szCs w:val="17"/>
                <w:color w:val="auto"/>
              </w:rPr>
              <w:t>Total</w:t>
            </w: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44,147</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2,746</w:t>
            </w:r>
          </w:p>
        </w:tc>
      </w:tr>
      <w:tr>
        <w:trPr>
          <w:trHeight w:val="20"/>
        </w:trPr>
        <w:tc>
          <w:tcPr>
            <w:tcW w:w="6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b w:val="1"/>
          <w:bCs w:val="1"/>
          <w:color w:val="auto"/>
        </w:rPr>
        <w:t>Note 6:</w:t>
      </w:r>
      <w:r>
        <w:rPr>
          <w:sz w:val="20"/>
          <w:szCs w:val="20"/>
          <w:color w:val="auto"/>
        </w:rPr>
        <w:tab/>
      </w:r>
      <w:r>
        <w:rPr>
          <w:rFonts w:ascii="Arial" w:cs="Arial" w:eastAsia="Arial" w:hAnsi="Arial"/>
          <w:sz w:val="15"/>
          <w:szCs w:val="15"/>
          <w:b w:val="1"/>
          <w:bCs w:val="1"/>
          <w:color w:val="auto"/>
        </w:rPr>
        <w:t>Net Income Per Share</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7"/>
          <w:szCs w:val="17"/>
          <w:b w:val="1"/>
          <w:bCs w:val="1"/>
          <w:color w:val="auto"/>
        </w:rPr>
        <w:t>ICU MEDICAL, INC. AND SUBSIDIARIES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140" w:firstLine="620"/>
        <w:spacing w:after="0" w:line="300" w:lineRule="auto"/>
        <w:rPr>
          <w:sz w:val="20"/>
          <w:szCs w:val="20"/>
          <w:color w:val="auto"/>
        </w:rPr>
      </w:pPr>
      <w:r>
        <w:rPr>
          <w:rFonts w:ascii="Arial" w:cs="Arial" w:eastAsia="Arial" w:hAnsi="Arial"/>
          <w:sz w:val="15"/>
          <w:szCs w:val="15"/>
          <w:color w:val="auto"/>
        </w:rPr>
        <w:t>Basic earnings per share is computed by dividing net income by the weighted-average number of common shares outstanding during the period. Diluted earnings per share is computed by dividing net income by the weighted-average number of common shares outstanding during the period plus dilutive securities. Dilutive securities include outstanding common stock options and unvested restricted stock units, less the number of shares that could have been purchased with the proceeds from the exercise of the options, using the treasury stock method. Options and restricted stock units that are anti-dilutive are not included in the treasury stock method calculation. There were 12,235 and 14,017 anti-dilutive securities for the three months ended September 30, 2021 and 2020, respectively. There were 12,132 and 12,182 anti-dilutive securities for the nine months ended September 30, 2021 and 2020, respectively.</w:t>
      </w:r>
    </w:p>
    <w:p>
      <w:pPr>
        <w:spacing w:after="0" w:line="179"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following table presents the calculation of net earnings per common share (“EPS”) — basic and diluted (in thousands, except per share data):</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20" w:type="dxa"/>
            <w:vAlign w:val="bottom"/>
            <w:gridSpan w:val="5"/>
          </w:tcPr>
          <w:p>
            <w:pPr>
              <w:ind w:left="40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6"/>
                <w:szCs w:val="16"/>
                <w:color w:val="auto"/>
              </w:rPr>
            </w:pPr>
          </w:p>
        </w:tc>
        <w:tc>
          <w:tcPr>
            <w:tcW w:w="2520" w:type="dxa"/>
            <w:vAlign w:val="bottom"/>
            <w:gridSpan w:val="4"/>
          </w:tcPr>
          <w:p>
            <w:pPr>
              <w:jc w:val="right"/>
              <w:ind w:right="715"/>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04"/>
        </w:trPr>
        <w:tc>
          <w:tcPr>
            <w:tcW w:w="55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5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7"/>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55"/>
              <w:spacing w:after="0"/>
              <w:rPr>
                <w:sz w:val="20"/>
                <w:szCs w:val="20"/>
                <w:color w:val="auto"/>
              </w:rPr>
            </w:pPr>
            <w:r>
              <w:rPr>
                <w:rFonts w:ascii="Arial" w:cs="Arial" w:eastAsia="Arial" w:hAnsi="Arial"/>
                <w:sz w:val="16"/>
                <w:szCs w:val="16"/>
                <w:b w:val="1"/>
                <w:bCs w:val="1"/>
                <w:color w:val="auto"/>
                <w:w w:val="95"/>
              </w:rPr>
              <w:t>2020</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7"/>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35"/>
              <w:spacing w:after="0"/>
              <w:rPr>
                <w:sz w:val="20"/>
                <w:szCs w:val="20"/>
                <w:color w:val="auto"/>
              </w:rPr>
            </w:pPr>
            <w:r>
              <w:rPr>
                <w:rFonts w:ascii="Arial" w:cs="Arial" w:eastAsia="Arial" w:hAnsi="Arial"/>
                <w:sz w:val="16"/>
                <w:szCs w:val="16"/>
                <w:b w:val="1"/>
                <w:bCs w:val="1"/>
                <w:color w:val="auto"/>
                <w:w w:val="95"/>
              </w:rPr>
              <w:t>2020</w:t>
            </w:r>
          </w:p>
        </w:tc>
        <w:tc>
          <w:tcPr>
            <w:tcW w:w="0" w:type="dxa"/>
            <w:vAlign w:val="bottom"/>
          </w:tcPr>
          <w:p>
            <w:pPr>
              <w:spacing w:after="0"/>
              <w:rPr>
                <w:sz w:val="1"/>
                <w:szCs w:val="1"/>
                <w:color w:val="auto"/>
              </w:rPr>
            </w:pPr>
          </w:p>
        </w:tc>
      </w:tr>
      <w:tr>
        <w:trPr>
          <w:trHeight w:val="215"/>
        </w:trPr>
        <w:tc>
          <w:tcPr>
            <w:tcW w:w="5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31,081</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24,986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83,210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60,728</w:t>
            </w:r>
          </w:p>
        </w:tc>
        <w:tc>
          <w:tcPr>
            <w:tcW w:w="0" w:type="dxa"/>
            <w:vAlign w:val="bottom"/>
          </w:tcPr>
          <w:p>
            <w:pPr>
              <w:spacing w:after="0"/>
              <w:rPr>
                <w:sz w:val="1"/>
                <w:szCs w:val="1"/>
                <w:color w:val="auto"/>
              </w:rPr>
            </w:pPr>
          </w:p>
        </w:tc>
      </w:tr>
      <w:tr>
        <w:trPr>
          <w:trHeight w:val="168"/>
        </w:trPr>
        <w:tc>
          <w:tcPr>
            <w:tcW w:w="5500" w:type="dxa"/>
            <w:vAlign w:val="bottom"/>
          </w:tcPr>
          <w:p>
            <w:pPr>
              <w:ind w:left="20"/>
              <w:spacing w:after="0" w:line="168" w:lineRule="exact"/>
              <w:rPr>
                <w:sz w:val="20"/>
                <w:szCs w:val="20"/>
                <w:color w:val="auto"/>
              </w:rPr>
            </w:pPr>
            <w:r>
              <w:rPr>
                <w:rFonts w:ascii="Arial" w:cs="Arial" w:eastAsia="Arial" w:hAnsi="Arial"/>
                <w:sz w:val="17"/>
                <w:szCs w:val="17"/>
                <w:color w:val="auto"/>
              </w:rPr>
              <w:t>Weighted-average number of common shares outstanding (for basic</w:t>
            </w:r>
          </w:p>
        </w:tc>
        <w:tc>
          <w:tcPr>
            <w:tcW w:w="3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7"/>
                <w:szCs w:val="17"/>
                <w:color w:val="auto"/>
              </w:rPr>
              <w:t>21,214</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7"/>
                <w:szCs w:val="17"/>
                <w:color w:val="auto"/>
              </w:rPr>
              <w:t>20,948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7"/>
                <w:szCs w:val="17"/>
                <w:color w:val="auto"/>
              </w:rPr>
              <w:t>21,189</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7"/>
                <w:szCs w:val="17"/>
                <w:color w:val="auto"/>
              </w:rPr>
              <w:t>20,870</w:t>
            </w:r>
          </w:p>
        </w:tc>
        <w:tc>
          <w:tcPr>
            <w:tcW w:w="0" w:type="dxa"/>
            <w:vAlign w:val="bottom"/>
          </w:tcPr>
          <w:p>
            <w:pPr>
              <w:spacing w:after="0"/>
              <w:rPr>
                <w:sz w:val="1"/>
                <w:szCs w:val="1"/>
                <w:color w:val="auto"/>
              </w:rPr>
            </w:pPr>
          </w:p>
        </w:tc>
      </w:tr>
      <w:tr>
        <w:trPr>
          <w:trHeight w:val="219"/>
        </w:trPr>
        <w:tc>
          <w:tcPr>
            <w:tcW w:w="5500" w:type="dxa"/>
            <w:vAlign w:val="bottom"/>
          </w:tcPr>
          <w:p>
            <w:pPr>
              <w:ind w:left="20"/>
              <w:spacing w:after="0"/>
              <w:rPr>
                <w:sz w:val="20"/>
                <w:szCs w:val="20"/>
                <w:color w:val="auto"/>
              </w:rPr>
            </w:pPr>
            <w:r>
              <w:rPr>
                <w:rFonts w:ascii="Arial" w:cs="Arial" w:eastAsia="Arial" w:hAnsi="Arial"/>
                <w:sz w:val="17"/>
                <w:szCs w:val="17"/>
                <w:color w:val="auto"/>
              </w:rPr>
              <w:t>calculation)</w:t>
            </w:r>
          </w:p>
        </w:tc>
        <w:tc>
          <w:tcPr>
            <w:tcW w:w="30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Dilutive securities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546</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691</w:t>
            </w:r>
          </w:p>
        </w:tc>
        <w:tc>
          <w:tcPr>
            <w:tcW w:w="0" w:type="dxa"/>
            <w:vAlign w:val="bottom"/>
          </w:tcPr>
          <w:p>
            <w:pPr>
              <w:spacing w:after="0"/>
              <w:rPr>
                <w:sz w:val="1"/>
                <w:szCs w:val="1"/>
                <w:color w:val="auto"/>
              </w:rPr>
            </w:pPr>
          </w:p>
        </w:tc>
      </w:tr>
      <w:tr>
        <w:trPr>
          <w:trHeight w:val="148"/>
        </w:trPr>
        <w:tc>
          <w:tcPr>
            <w:tcW w:w="5500" w:type="dxa"/>
            <w:vAlign w:val="bottom"/>
          </w:tcPr>
          <w:p>
            <w:pPr>
              <w:ind w:left="20"/>
              <w:spacing w:after="0" w:line="149" w:lineRule="exact"/>
              <w:rPr>
                <w:sz w:val="20"/>
                <w:szCs w:val="20"/>
                <w:color w:val="auto"/>
              </w:rPr>
            </w:pPr>
            <w:r>
              <w:rPr>
                <w:rFonts w:ascii="Arial" w:cs="Arial" w:eastAsia="Arial" w:hAnsi="Arial"/>
                <w:sz w:val="17"/>
                <w:szCs w:val="17"/>
                <w:color w:val="auto"/>
                <w:w w:val="95"/>
              </w:rPr>
              <w:t>Weighted-average common and common equivalent shares outstanding (for</w:t>
            </w:r>
          </w:p>
        </w:tc>
        <w:tc>
          <w:tcPr>
            <w:tcW w:w="30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7"/>
                <w:szCs w:val="17"/>
                <w:color w:val="auto"/>
              </w:rPr>
              <w:t>21,730</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7"/>
                <w:szCs w:val="17"/>
                <w:color w:val="auto"/>
              </w:rPr>
              <w:t>21,556</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7"/>
                <w:szCs w:val="17"/>
                <w:color w:val="auto"/>
              </w:rPr>
              <w:t>21,735</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7"/>
                <w:szCs w:val="17"/>
                <w:color w:val="auto"/>
              </w:rPr>
              <w:t>21,561</w:t>
            </w:r>
          </w:p>
        </w:tc>
        <w:tc>
          <w:tcPr>
            <w:tcW w:w="0" w:type="dxa"/>
            <w:vAlign w:val="bottom"/>
          </w:tcPr>
          <w:p>
            <w:pPr>
              <w:spacing w:after="0"/>
              <w:rPr>
                <w:sz w:val="1"/>
                <w:szCs w:val="1"/>
                <w:color w:val="auto"/>
              </w:rPr>
            </w:pPr>
          </w:p>
        </w:tc>
      </w:tr>
      <w:tr>
        <w:trPr>
          <w:trHeight w:val="193"/>
        </w:trPr>
        <w:tc>
          <w:tcPr>
            <w:tcW w:w="5500" w:type="dxa"/>
            <w:vAlign w:val="bottom"/>
          </w:tcPr>
          <w:p>
            <w:pPr>
              <w:ind w:left="20"/>
              <w:spacing w:after="0" w:line="194" w:lineRule="exact"/>
              <w:rPr>
                <w:sz w:val="20"/>
                <w:szCs w:val="20"/>
                <w:color w:val="auto"/>
              </w:rPr>
            </w:pPr>
            <w:r>
              <w:rPr>
                <w:rFonts w:ascii="Arial" w:cs="Arial" w:eastAsia="Arial" w:hAnsi="Arial"/>
                <w:sz w:val="17"/>
                <w:szCs w:val="17"/>
                <w:color w:val="auto"/>
              </w:rPr>
              <w:t>diluted calculation)</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5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EPS — basic</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2.91</w:t>
            </w:r>
          </w:p>
        </w:tc>
        <w:tc>
          <w:tcPr>
            <w:tcW w:w="0" w:type="dxa"/>
            <w:vAlign w:val="bottom"/>
          </w:tcPr>
          <w:p>
            <w:pPr>
              <w:spacing w:after="0"/>
              <w:rPr>
                <w:sz w:val="1"/>
                <w:szCs w:val="1"/>
                <w:color w:val="auto"/>
              </w:rPr>
            </w:pPr>
          </w:p>
        </w:tc>
      </w:tr>
      <w:tr>
        <w:trPr>
          <w:trHeight w:val="220"/>
        </w:trPr>
        <w:tc>
          <w:tcPr>
            <w:tcW w:w="5500" w:type="dxa"/>
            <w:vAlign w:val="bottom"/>
          </w:tcPr>
          <w:p>
            <w:pPr>
              <w:ind w:left="20"/>
              <w:spacing w:after="0"/>
              <w:rPr>
                <w:sz w:val="20"/>
                <w:szCs w:val="20"/>
                <w:color w:val="auto"/>
              </w:rPr>
            </w:pPr>
            <w:r>
              <w:rPr>
                <w:rFonts w:ascii="Arial" w:cs="Arial" w:eastAsia="Arial" w:hAnsi="Arial"/>
                <w:sz w:val="17"/>
                <w:szCs w:val="17"/>
                <w:color w:val="auto"/>
              </w:rPr>
              <w:t>EPS — diluted</w:t>
            </w: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1.43</w:t>
            </w:r>
          </w:p>
        </w:tc>
        <w:tc>
          <w:tcPr>
            <w:tcW w:w="100" w:type="dxa"/>
            <w:vAlign w:val="bottom"/>
          </w:tcPr>
          <w:p>
            <w:pPr>
              <w:spacing w:after="0"/>
              <w:rPr>
                <w:sz w:val="19"/>
                <w:szCs w:val="19"/>
                <w:color w:val="auto"/>
              </w:rPr>
            </w:pPr>
          </w:p>
        </w:tc>
        <w:tc>
          <w:tcPr>
            <w:tcW w:w="460" w:type="dxa"/>
            <w:vAlign w:val="bottom"/>
          </w:tcPr>
          <w:p>
            <w:pPr>
              <w:jc w:val="right"/>
              <w:ind w:right="274"/>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1.16</w:t>
            </w:r>
          </w:p>
        </w:tc>
        <w:tc>
          <w:tcPr>
            <w:tcW w:w="10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3.83</w:t>
            </w:r>
          </w:p>
        </w:tc>
        <w:tc>
          <w:tcPr>
            <w:tcW w:w="100" w:type="dxa"/>
            <w:vAlign w:val="bottom"/>
          </w:tcPr>
          <w:p>
            <w:pPr>
              <w:spacing w:after="0"/>
              <w:rPr>
                <w:sz w:val="19"/>
                <w:szCs w:val="19"/>
                <w:color w:val="auto"/>
              </w:rPr>
            </w:pPr>
          </w:p>
        </w:tc>
        <w:tc>
          <w:tcPr>
            <w:tcW w:w="480" w:type="dxa"/>
            <w:vAlign w:val="bottom"/>
          </w:tcPr>
          <w:p>
            <w:pPr>
              <w:jc w:val="right"/>
              <w:ind w:right="294"/>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2.82</w:t>
            </w:r>
          </w:p>
        </w:tc>
        <w:tc>
          <w:tcPr>
            <w:tcW w:w="0" w:type="dxa"/>
            <w:vAlign w:val="bottom"/>
          </w:tcPr>
          <w:p>
            <w:pPr>
              <w:spacing w:after="0"/>
              <w:rPr>
                <w:sz w:val="1"/>
                <w:szCs w:val="1"/>
                <w:color w:val="auto"/>
              </w:rPr>
            </w:pPr>
          </w:p>
        </w:tc>
      </w:tr>
    </w:tbl>
    <w:p>
      <w:pPr>
        <w:spacing w:after="0" w:line="291"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Note 7:</w:t>
      </w:r>
      <w:r>
        <w:rPr>
          <w:sz w:val="20"/>
          <w:szCs w:val="20"/>
          <w:color w:val="auto"/>
        </w:rPr>
        <w:tab/>
      </w:r>
      <w:r>
        <w:rPr>
          <w:rFonts w:ascii="Arial" w:cs="Arial" w:eastAsia="Arial" w:hAnsi="Arial"/>
          <w:sz w:val="15"/>
          <w:szCs w:val="15"/>
          <w:b w:val="1"/>
          <w:bCs w:val="1"/>
          <w:color w:val="auto"/>
        </w:rPr>
        <w:t>Derivatives and Hedging Activities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Hedge Accounting and Hedging Program</w:t>
      </w:r>
    </w:p>
    <w:p>
      <w:pPr>
        <w:spacing w:after="0" w:line="244" w:lineRule="exact"/>
        <w:rPr>
          <w:sz w:val="20"/>
          <w:szCs w:val="20"/>
          <w:color w:val="auto"/>
        </w:rPr>
      </w:pPr>
    </w:p>
    <w:p>
      <w:pPr>
        <w:ind w:right="360" w:firstLine="215"/>
        <w:spacing w:after="0" w:line="283" w:lineRule="auto"/>
        <w:rPr>
          <w:sz w:val="20"/>
          <w:szCs w:val="20"/>
          <w:color w:val="auto"/>
        </w:rPr>
      </w:pPr>
      <w:r>
        <w:rPr>
          <w:rFonts w:ascii="Arial" w:cs="Arial" w:eastAsia="Arial" w:hAnsi="Arial"/>
          <w:sz w:val="17"/>
          <w:szCs w:val="17"/>
          <w:color w:val="auto"/>
        </w:rPr>
        <w:t>The purpose of our hedging program is to manage the foreign currency exchange rate risk on forecasted expenses denominated in currencies other than the functional currency of the operating unit. We do not issue derivatives for trading or speculative purposes.</w:t>
      </w:r>
    </w:p>
    <w:p>
      <w:pPr>
        <w:spacing w:after="0" w:line="185" w:lineRule="exact"/>
        <w:rPr>
          <w:sz w:val="20"/>
          <w:szCs w:val="20"/>
          <w:color w:val="auto"/>
        </w:rPr>
      </w:pPr>
    </w:p>
    <w:p>
      <w:pPr>
        <w:ind w:right="40" w:firstLine="169"/>
        <w:spacing w:after="0" w:line="259" w:lineRule="auto"/>
        <w:rPr>
          <w:sz w:val="20"/>
          <w:szCs w:val="20"/>
          <w:color w:val="auto"/>
        </w:rPr>
      </w:pPr>
      <w:r>
        <w:rPr>
          <w:rFonts w:ascii="Arial" w:cs="Arial" w:eastAsia="Arial" w:hAnsi="Arial"/>
          <w:sz w:val="17"/>
          <w:szCs w:val="17"/>
          <w:color w:val="auto"/>
        </w:rPr>
        <w:t>To receive hedge accounting treatment, all hedging relationships are formally documented at the inception of the hedge, and the hedges must be highly effective in offsetting changes to future cash flows on hedged transactions. The par forward contract is designated and qualifies as a cash flow hedge. Our derivative instruments are recorded at fair value on the condensed consolidated balance sheets and are classified based on the instrument's maturity date. We record changes in the intrinsic value of the effective portion of the gain or loss on the derivative instrument as a component of Other Comprehensive Income and we reclassify that gain or loss into earnings in the same line item associated with the forecasted transaction and in the same period during which the hedged transaction affects earnings.</w:t>
      </w:r>
    </w:p>
    <w:p>
      <w:pPr>
        <w:spacing w:after="0" w:line="207" w:lineRule="exact"/>
        <w:rPr>
          <w:sz w:val="20"/>
          <w:szCs w:val="20"/>
          <w:color w:val="auto"/>
        </w:rPr>
      </w:pPr>
    </w:p>
    <w:p>
      <w:pPr>
        <w:jc w:val="both"/>
        <w:ind w:right="200" w:firstLine="172"/>
        <w:spacing w:after="0" w:line="263" w:lineRule="auto"/>
        <w:rPr>
          <w:sz w:val="20"/>
          <w:szCs w:val="20"/>
          <w:color w:val="auto"/>
        </w:rPr>
      </w:pPr>
      <w:r>
        <w:rPr>
          <w:rFonts w:ascii="Arial" w:cs="Arial" w:eastAsia="Arial" w:hAnsi="Arial"/>
          <w:sz w:val="17"/>
          <w:szCs w:val="17"/>
          <w:color w:val="auto"/>
        </w:rPr>
        <w:t>In March 2020, we entered into a one-year cross-currency par forward contract that extends our current hedge of a portion of our Mexico forecasted expenses denominated in Pesos ("MXN"). The total notional amount of this outstanding derivative as of September 30, 2021 was approximately 109.2 million MXN. The term of the one-year contract is November 3, 2020 to December 1, 2021. The derivative instrument matures in equal monthly amounts at a fixed forward rate of 24.26 MXN/USD.</w:t>
      </w:r>
    </w:p>
    <w:p>
      <w:pPr>
        <w:spacing w:after="0" w:line="203" w:lineRule="exact"/>
        <w:rPr>
          <w:sz w:val="20"/>
          <w:szCs w:val="20"/>
          <w:color w:val="auto"/>
        </w:rPr>
      </w:pPr>
    </w:p>
    <w:p>
      <w:pPr>
        <w:ind w:right="120" w:firstLine="172"/>
        <w:spacing w:after="0" w:line="268" w:lineRule="auto"/>
        <w:rPr>
          <w:sz w:val="20"/>
          <w:szCs w:val="20"/>
          <w:color w:val="auto"/>
        </w:rPr>
      </w:pPr>
      <w:r>
        <w:rPr>
          <w:rFonts w:ascii="Arial" w:cs="Arial" w:eastAsia="Arial" w:hAnsi="Arial"/>
          <w:sz w:val="17"/>
          <w:szCs w:val="17"/>
          <w:color w:val="auto"/>
        </w:rPr>
        <w:t>In November 2018, we entered into a one-year cross-currency par forward contract that hedges of a portion of our Mexico forecasted expenses denominated in MXN. The term of the one-year hedge was November 1, 2019 to November 3, 2020. The derivative instrument matured in equal monthly amounts at a fixed forward rate of 22.109 MXN/USD.</w:t>
      </w:r>
    </w:p>
    <w:p>
      <w:pPr>
        <w:spacing w:after="0" w:line="198" w:lineRule="exact"/>
        <w:rPr>
          <w:sz w:val="20"/>
          <w:szCs w:val="20"/>
          <w:color w:val="auto"/>
        </w:rPr>
      </w:pPr>
    </w:p>
    <w:p>
      <w:pPr>
        <w:ind w:right="20" w:firstLine="169"/>
        <w:spacing w:after="0" w:line="283" w:lineRule="auto"/>
        <w:rPr>
          <w:sz w:val="20"/>
          <w:szCs w:val="20"/>
          <w:color w:val="auto"/>
        </w:rPr>
      </w:pPr>
      <w:r>
        <w:rPr>
          <w:rFonts w:ascii="Arial" w:cs="Arial" w:eastAsia="Arial" w:hAnsi="Arial"/>
          <w:sz w:val="17"/>
          <w:szCs w:val="17"/>
          <w:color w:val="auto"/>
        </w:rPr>
        <w:t>The following table presents the fair values of our derivative instruments included within the Condensed Consolidated Balance Sheets as of September 30, 2021 and December 31, 2020 (in thousands):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7"/>
          <w:szCs w:val="17"/>
          <w:b w:val="1"/>
          <w:bCs w:val="1"/>
          <w:color w:val="auto"/>
        </w:rPr>
        <w:t>ICU MEDICAL, INC. AND SUBSIDIARIES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040" w:type="dxa"/>
            <w:vAlign w:val="bottom"/>
          </w:tcPr>
          <w:p>
            <w:pPr>
              <w:spacing w:after="0"/>
              <w:rPr>
                <w:sz w:val="17"/>
                <w:szCs w:val="17"/>
                <w:color w:val="auto"/>
              </w:rPr>
            </w:pPr>
          </w:p>
        </w:tc>
        <w:tc>
          <w:tcPr>
            <w:tcW w:w="5500" w:type="dxa"/>
            <w:vAlign w:val="bottom"/>
            <w:tcBorders>
              <w:bottom w:val="single" w:sz="8" w:color="auto"/>
            </w:tcBorders>
            <w:gridSpan w:val="5"/>
          </w:tcPr>
          <w:p>
            <w:pPr>
              <w:ind w:left="3220"/>
              <w:spacing w:after="0"/>
              <w:rPr>
                <w:sz w:val="20"/>
                <w:szCs w:val="20"/>
                <w:color w:val="auto"/>
              </w:rPr>
            </w:pPr>
            <w:r>
              <w:rPr>
                <w:rFonts w:ascii="Arial" w:cs="Arial" w:eastAsia="Arial" w:hAnsi="Arial"/>
                <w:sz w:val="16"/>
                <w:szCs w:val="16"/>
                <w:b w:val="1"/>
                <w:bCs w:val="1"/>
                <w:color w:val="auto"/>
              </w:rPr>
              <w:t>Derivatives</w:t>
            </w:r>
          </w:p>
        </w:tc>
        <w:tc>
          <w:tcPr>
            <w:tcW w:w="1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4040" w:type="dxa"/>
            <w:vAlign w:val="bottom"/>
          </w:tcPr>
          <w:p>
            <w:pPr>
              <w:spacing w:after="0"/>
              <w:rPr>
                <w:sz w:val="13"/>
                <w:szCs w:val="13"/>
                <w:color w:val="auto"/>
              </w:rPr>
            </w:pPr>
          </w:p>
        </w:tc>
        <w:tc>
          <w:tcPr>
            <w:tcW w:w="3700" w:type="dxa"/>
            <w:vAlign w:val="bottom"/>
            <w:gridSpan w:val="2"/>
          </w:tcPr>
          <w:p>
            <w:pPr>
              <w:jc w:val="center"/>
              <w:ind w:right="160"/>
              <w:spacing w:after="0" w:line="151" w:lineRule="exact"/>
              <w:rPr>
                <w:sz w:val="20"/>
                <w:szCs w:val="20"/>
                <w:color w:val="auto"/>
              </w:rPr>
            </w:pPr>
            <w:r>
              <w:rPr>
                <w:rFonts w:ascii="Arial" w:cs="Arial" w:eastAsia="Arial" w:hAnsi="Arial"/>
                <w:sz w:val="16"/>
                <w:szCs w:val="16"/>
                <w:b w:val="1"/>
                <w:bCs w:val="1"/>
                <w:color w:val="auto"/>
                <w:w w:val="85"/>
              </w:rPr>
              <w:t>Condensed Consolidated Balance Sheet</w:t>
            </w:r>
          </w:p>
        </w:tc>
        <w:tc>
          <w:tcPr>
            <w:tcW w:w="140" w:type="dxa"/>
            <w:vAlign w:val="bottom"/>
          </w:tcPr>
          <w:p>
            <w:pPr>
              <w:spacing w:after="0"/>
              <w:rPr>
                <w:sz w:val="13"/>
                <w:szCs w:val="13"/>
                <w:color w:val="auto"/>
              </w:rPr>
            </w:pPr>
          </w:p>
        </w:tc>
        <w:tc>
          <w:tcPr>
            <w:tcW w:w="166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September 30, 2021</w:t>
            </w:r>
          </w:p>
        </w:tc>
        <w:tc>
          <w:tcPr>
            <w:tcW w:w="160" w:type="dxa"/>
            <w:vAlign w:val="bottom"/>
          </w:tcPr>
          <w:p>
            <w:pPr>
              <w:spacing w:after="0"/>
              <w:rPr>
                <w:sz w:val="13"/>
                <w:szCs w:val="13"/>
                <w:color w:val="auto"/>
              </w:rPr>
            </w:pPr>
          </w:p>
        </w:tc>
        <w:tc>
          <w:tcPr>
            <w:tcW w:w="1540" w:type="dxa"/>
            <w:vAlign w:val="bottom"/>
            <w:vMerge w:val="restart"/>
          </w:tcPr>
          <w:p>
            <w:pPr>
              <w:jc w:val="right"/>
              <w:ind w:right="142"/>
              <w:spacing w:after="0"/>
              <w:rPr>
                <w:sz w:val="20"/>
                <w:szCs w:val="20"/>
                <w:color w:val="auto"/>
              </w:rPr>
            </w:pPr>
            <w:r>
              <w:rPr>
                <w:rFonts w:ascii="Arial" w:cs="Arial" w:eastAsia="Arial" w:hAnsi="Arial"/>
                <w:sz w:val="16"/>
                <w:szCs w:val="16"/>
                <w:b w:val="1"/>
                <w:bCs w:val="1"/>
                <w:color w:val="auto"/>
                <w:w w:val="90"/>
              </w:rPr>
              <w:t>December 31, 2020</w:t>
            </w:r>
          </w:p>
        </w:tc>
        <w:tc>
          <w:tcPr>
            <w:tcW w:w="0" w:type="dxa"/>
            <w:vAlign w:val="bottom"/>
          </w:tcPr>
          <w:p>
            <w:pPr>
              <w:spacing w:after="0"/>
              <w:rPr>
                <w:sz w:val="1"/>
                <w:szCs w:val="1"/>
                <w:color w:val="auto"/>
              </w:rPr>
            </w:pPr>
          </w:p>
        </w:tc>
      </w:tr>
      <w:tr>
        <w:trPr>
          <w:trHeight w:val="204"/>
        </w:trPr>
        <w:tc>
          <w:tcPr>
            <w:tcW w:w="4040" w:type="dxa"/>
            <w:vAlign w:val="bottom"/>
          </w:tcPr>
          <w:p>
            <w:pPr>
              <w:spacing w:after="0"/>
              <w:rPr>
                <w:sz w:val="17"/>
                <w:szCs w:val="17"/>
                <w:color w:val="auto"/>
              </w:rPr>
            </w:pPr>
          </w:p>
        </w:tc>
        <w:tc>
          <w:tcPr>
            <w:tcW w:w="37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6"/>
              </w:rPr>
              <w:t>Location</w:t>
            </w:r>
          </w:p>
        </w:tc>
        <w:tc>
          <w:tcPr>
            <w:tcW w:w="140" w:type="dxa"/>
            <w:vAlign w:val="bottom"/>
          </w:tcPr>
          <w:p>
            <w:pPr>
              <w:spacing w:after="0"/>
              <w:rPr>
                <w:sz w:val="17"/>
                <w:szCs w:val="17"/>
                <w:color w:val="auto"/>
              </w:rPr>
            </w:pPr>
          </w:p>
        </w:tc>
        <w:tc>
          <w:tcPr>
            <w:tcW w:w="16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i w:val="1"/>
                <w:iCs w:val="1"/>
                <w:color w:val="auto"/>
                <w:w w:val="99"/>
              </w:rPr>
              <w:t>Derivatives designated as cash flow hedging instruments</w:t>
            </w:r>
          </w:p>
        </w:tc>
        <w:tc>
          <w:tcPr>
            <w:tcW w:w="35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5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5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7740" w:type="dxa"/>
            <w:vAlign w:val="bottom"/>
            <w:gridSpan w:val="3"/>
          </w:tcPr>
          <w:p>
            <w:pPr>
              <w:ind w:left="140"/>
              <w:spacing w:after="0"/>
              <w:rPr>
                <w:sz w:val="20"/>
                <w:szCs w:val="20"/>
                <w:color w:val="auto"/>
              </w:rPr>
            </w:pPr>
            <w:r>
              <w:rPr>
                <w:rFonts w:ascii="Arial" w:cs="Arial" w:eastAsia="Arial" w:hAnsi="Arial"/>
                <w:sz w:val="16"/>
                <w:szCs w:val="16"/>
                <w:color w:val="auto"/>
              </w:rPr>
              <w:t>Foreign exchange forward contract:</w:t>
            </w: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040" w:type="dxa"/>
            <w:vAlign w:val="bottom"/>
            <w:shd w:val="clear" w:color="auto" w:fill="CCEEFF"/>
          </w:tcPr>
          <w:p>
            <w:pPr>
              <w:spacing w:after="0"/>
              <w:rPr>
                <w:sz w:val="17"/>
                <w:szCs w:val="17"/>
                <w:color w:val="auto"/>
              </w:rPr>
            </w:pPr>
          </w:p>
        </w:tc>
        <w:tc>
          <w:tcPr>
            <w:tcW w:w="370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w w:val="87"/>
              </w:rPr>
              <w:t>Prepaid expenses and other current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772</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3,555</w:t>
            </w:r>
          </w:p>
        </w:tc>
        <w:tc>
          <w:tcPr>
            <w:tcW w:w="0" w:type="dxa"/>
            <w:vAlign w:val="bottom"/>
          </w:tcPr>
          <w:p>
            <w:pPr>
              <w:spacing w:after="0"/>
              <w:rPr>
                <w:sz w:val="1"/>
                <w:szCs w:val="1"/>
                <w:color w:val="auto"/>
              </w:rPr>
            </w:pPr>
          </w:p>
        </w:tc>
      </w:tr>
      <w:tr>
        <w:trPr>
          <w:trHeight w:val="202"/>
        </w:trPr>
        <w:tc>
          <w:tcPr>
            <w:tcW w:w="7740" w:type="dxa"/>
            <w:vAlign w:val="bottom"/>
            <w:gridSpan w:val="3"/>
          </w:tcPr>
          <w:p>
            <w:pPr>
              <w:ind w:left="20"/>
              <w:spacing w:after="0"/>
              <w:rPr>
                <w:sz w:val="20"/>
                <w:szCs w:val="20"/>
                <w:color w:val="auto"/>
              </w:rPr>
            </w:pPr>
            <w:r>
              <w:rPr>
                <w:rFonts w:ascii="Arial" w:cs="Arial" w:eastAsia="Arial" w:hAnsi="Arial"/>
                <w:sz w:val="16"/>
                <w:szCs w:val="16"/>
                <w:color w:val="auto"/>
              </w:rPr>
              <w:t>Total derivatives designated as cash flow hedging instruments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772</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3,555</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5" w:lineRule="exact"/>
        <w:rPr>
          <w:sz w:val="20"/>
          <w:szCs w:val="20"/>
          <w:color w:val="auto"/>
        </w:rPr>
      </w:pPr>
    </w:p>
    <w:p>
      <w:pPr>
        <w:ind w:right="80" w:firstLine="169"/>
        <w:spacing w:after="0" w:line="283" w:lineRule="auto"/>
        <w:rPr>
          <w:sz w:val="20"/>
          <w:szCs w:val="20"/>
          <w:color w:val="auto"/>
        </w:rPr>
      </w:pPr>
      <w:r>
        <w:rPr>
          <w:rFonts w:ascii="Arial" w:cs="Arial" w:eastAsia="Arial" w:hAnsi="Arial"/>
          <w:sz w:val="17"/>
          <w:szCs w:val="17"/>
          <w:color w:val="auto"/>
        </w:rPr>
        <w:t>The following table presents the gain (loss) affecting the Condensed Consolidated Statements of Operations for the three and nine months ended September 30, 2021 and 2020 (in thousands):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60" w:type="dxa"/>
            <w:vAlign w:val="bottom"/>
          </w:tcPr>
          <w:p>
            <w:pPr>
              <w:spacing w:after="0"/>
              <w:rPr>
                <w:sz w:val="16"/>
                <w:szCs w:val="16"/>
                <w:color w:val="auto"/>
              </w:rPr>
            </w:pPr>
          </w:p>
        </w:tc>
        <w:tc>
          <w:tcPr>
            <w:tcW w:w="2800" w:type="dxa"/>
            <w:vAlign w:val="bottom"/>
            <w:gridSpan w:val="3"/>
            <w:vMerge w:val="restart"/>
          </w:tcPr>
          <w:p>
            <w:pPr>
              <w:jc w:val="center"/>
              <w:ind w:right="460"/>
              <w:spacing w:after="0"/>
              <w:rPr>
                <w:sz w:val="20"/>
                <w:szCs w:val="20"/>
                <w:color w:val="auto"/>
              </w:rPr>
            </w:pPr>
            <w:r>
              <w:rPr>
                <w:rFonts w:ascii="Arial" w:cs="Arial" w:eastAsia="Arial" w:hAnsi="Arial"/>
                <w:sz w:val="16"/>
                <w:szCs w:val="16"/>
                <w:b w:val="1"/>
                <w:bCs w:val="1"/>
                <w:color w:val="auto"/>
                <w:w w:val="90"/>
              </w:rPr>
              <w:t>Line Item in the</w:t>
            </w:r>
          </w:p>
        </w:tc>
        <w:tc>
          <w:tcPr>
            <w:tcW w:w="2560" w:type="dxa"/>
            <w:vAlign w:val="bottom"/>
            <w:gridSpan w:val="5"/>
          </w:tcPr>
          <w:p>
            <w:pPr>
              <w:jc w:val="center"/>
              <w:ind w:right="480"/>
              <w:spacing w:after="0"/>
              <w:rPr>
                <w:sz w:val="20"/>
                <w:szCs w:val="20"/>
                <w:color w:val="auto"/>
              </w:rPr>
            </w:pPr>
            <w:r>
              <w:rPr>
                <w:rFonts w:ascii="Arial" w:cs="Arial" w:eastAsia="Arial" w:hAnsi="Arial"/>
                <w:sz w:val="16"/>
                <w:szCs w:val="16"/>
                <w:b w:val="1"/>
                <w:bCs w:val="1"/>
                <w:color w:val="auto"/>
                <w:w w:val="86"/>
              </w:rPr>
              <w:t>Three months ended</w:t>
            </w:r>
          </w:p>
        </w:tc>
        <w:tc>
          <w:tcPr>
            <w:tcW w:w="280" w:type="dxa"/>
            <w:vAlign w:val="bottom"/>
          </w:tcPr>
          <w:p>
            <w:pPr>
              <w:spacing w:after="0"/>
              <w:rPr>
                <w:sz w:val="16"/>
                <w:szCs w:val="16"/>
                <w:color w:val="auto"/>
              </w:rPr>
            </w:pPr>
          </w:p>
        </w:tc>
        <w:tc>
          <w:tcPr>
            <w:tcW w:w="2340" w:type="dxa"/>
            <w:vAlign w:val="bottom"/>
            <w:gridSpan w:val="4"/>
          </w:tcPr>
          <w:p>
            <w:pPr>
              <w:ind w:left="380"/>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155"/>
        </w:trPr>
        <w:tc>
          <w:tcPr>
            <w:tcW w:w="3260" w:type="dxa"/>
            <w:vAlign w:val="bottom"/>
          </w:tcPr>
          <w:p>
            <w:pPr>
              <w:spacing w:after="0"/>
              <w:rPr>
                <w:sz w:val="13"/>
                <w:szCs w:val="13"/>
                <w:color w:val="auto"/>
              </w:rPr>
            </w:pPr>
          </w:p>
        </w:tc>
        <w:tc>
          <w:tcPr>
            <w:tcW w:w="2800" w:type="dxa"/>
            <w:vAlign w:val="bottom"/>
            <w:gridSpan w:val="3"/>
            <w:vMerge w:val="continue"/>
          </w:tcPr>
          <w:p>
            <w:pPr>
              <w:spacing w:after="0"/>
              <w:rPr>
                <w:sz w:val="13"/>
                <w:szCs w:val="13"/>
                <w:color w:val="auto"/>
              </w:rPr>
            </w:pPr>
          </w:p>
        </w:tc>
        <w:tc>
          <w:tcPr>
            <w:tcW w:w="1580" w:type="dxa"/>
            <w:vAlign w:val="bottom"/>
            <w:gridSpan w:val="3"/>
          </w:tcPr>
          <w:p>
            <w:pPr>
              <w:jc w:val="center"/>
              <w:ind w:left="462"/>
              <w:spacing w:after="0" w:line="155" w:lineRule="exact"/>
              <w:rPr>
                <w:sz w:val="20"/>
                <w:szCs w:val="20"/>
                <w:color w:val="auto"/>
              </w:rPr>
            </w:pPr>
            <w:r>
              <w:rPr>
                <w:rFonts w:ascii="Arial" w:cs="Arial" w:eastAsia="Arial" w:hAnsi="Arial"/>
                <w:sz w:val="16"/>
                <w:szCs w:val="16"/>
                <w:b w:val="1"/>
                <w:bCs w:val="1"/>
                <w:color w:val="auto"/>
                <w:w w:val="87"/>
              </w:rPr>
              <w:t>September 30,</w:t>
            </w: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40" w:type="dxa"/>
            <w:vAlign w:val="bottom"/>
            <w:gridSpan w:val="3"/>
          </w:tcPr>
          <w:p>
            <w:pPr>
              <w:ind w:left="560"/>
              <w:spacing w:after="0" w:line="155" w:lineRule="exact"/>
              <w:rPr>
                <w:sz w:val="20"/>
                <w:szCs w:val="20"/>
                <w:color w:val="auto"/>
              </w:rPr>
            </w:pPr>
            <w:r>
              <w:rPr>
                <w:rFonts w:ascii="Arial" w:cs="Arial" w:eastAsia="Arial" w:hAnsi="Arial"/>
                <w:sz w:val="16"/>
                <w:szCs w:val="16"/>
                <w:b w:val="1"/>
                <w:bCs w:val="1"/>
                <w:color w:val="auto"/>
                <w:w w:val="87"/>
              </w:rPr>
              <w:t>September 30,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3260" w:type="dxa"/>
            <w:vAlign w:val="bottom"/>
          </w:tcPr>
          <w:p>
            <w:pPr>
              <w:spacing w:after="0"/>
              <w:rPr>
                <w:sz w:val="4"/>
                <w:szCs w:val="4"/>
                <w:color w:val="auto"/>
              </w:rPr>
            </w:pPr>
          </w:p>
        </w:tc>
        <w:tc>
          <w:tcPr>
            <w:tcW w:w="2500" w:type="dxa"/>
            <w:vAlign w:val="bottom"/>
            <w:gridSpan w:val="2"/>
            <w:vMerge w:val="restart"/>
          </w:tcPr>
          <w:p>
            <w:pPr>
              <w:jc w:val="center"/>
              <w:ind w:right="100"/>
              <w:spacing w:after="0" w:line="155" w:lineRule="exact"/>
              <w:rPr>
                <w:sz w:val="20"/>
                <w:szCs w:val="20"/>
                <w:color w:val="auto"/>
              </w:rPr>
            </w:pPr>
            <w:r>
              <w:rPr>
                <w:rFonts w:ascii="Arial" w:cs="Arial" w:eastAsia="Arial" w:hAnsi="Arial"/>
                <w:sz w:val="16"/>
                <w:szCs w:val="16"/>
                <w:b w:val="1"/>
                <w:bCs w:val="1"/>
                <w:color w:val="auto"/>
                <w:w w:val="84"/>
              </w:rPr>
              <w:t>Condensed Consolidated</w:t>
            </w:r>
          </w:p>
        </w:tc>
        <w:tc>
          <w:tcPr>
            <w:tcW w:w="3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3"/>
        </w:trPr>
        <w:tc>
          <w:tcPr>
            <w:tcW w:w="3260" w:type="dxa"/>
            <w:vAlign w:val="bottom"/>
          </w:tcPr>
          <w:p>
            <w:pPr>
              <w:spacing w:after="0"/>
              <w:rPr>
                <w:sz w:val="7"/>
                <w:szCs w:val="7"/>
                <w:color w:val="auto"/>
              </w:rPr>
            </w:pPr>
          </w:p>
        </w:tc>
        <w:tc>
          <w:tcPr>
            <w:tcW w:w="250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1020" w:type="dxa"/>
            <w:vAlign w:val="bottom"/>
            <w:vMerge w:val="restart"/>
          </w:tcPr>
          <w:p>
            <w:pPr>
              <w:jc w:val="right"/>
              <w:ind w:right="442"/>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840" w:type="dxa"/>
            <w:vAlign w:val="bottom"/>
            <w:vMerge w:val="restart"/>
          </w:tcPr>
          <w:p>
            <w:pPr>
              <w:jc w:val="right"/>
              <w:ind w:right="422"/>
              <w:spacing w:after="0"/>
              <w:rPr>
                <w:sz w:val="20"/>
                <w:szCs w:val="20"/>
                <w:color w:val="auto"/>
              </w:rPr>
            </w:pPr>
            <w:r>
              <w:rPr>
                <w:rFonts w:ascii="Arial" w:cs="Arial" w:eastAsia="Arial" w:hAnsi="Arial"/>
                <w:sz w:val="16"/>
                <w:szCs w:val="16"/>
                <w:b w:val="1"/>
                <w:bCs w:val="1"/>
                <w:color w:val="auto"/>
                <w:w w:val="89"/>
              </w:rPr>
              <w:t>2020</w:t>
            </w:r>
          </w:p>
        </w:tc>
        <w:tc>
          <w:tcPr>
            <w:tcW w:w="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980" w:type="dxa"/>
            <w:vAlign w:val="bottom"/>
            <w:vMerge w:val="restart"/>
          </w:tcPr>
          <w:p>
            <w:pPr>
              <w:jc w:val="right"/>
              <w:ind w:right="402"/>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0" w:type="dxa"/>
            <w:vAlign w:val="bottom"/>
            <w:vMerge w:val="restart"/>
          </w:tcPr>
          <w:p>
            <w:pPr>
              <w:jc w:val="right"/>
              <w:ind w:right="382"/>
              <w:spacing w:after="0"/>
              <w:rPr>
                <w:sz w:val="20"/>
                <w:szCs w:val="20"/>
                <w:color w:val="auto"/>
              </w:rPr>
            </w:pPr>
            <w:r>
              <w:rPr>
                <w:rFonts w:ascii="Arial" w:cs="Arial" w:eastAsia="Arial" w:hAnsi="Arial"/>
                <w:sz w:val="16"/>
                <w:szCs w:val="16"/>
                <w:b w:val="1"/>
                <w:bCs w:val="1"/>
                <w:color w:val="auto"/>
                <w:w w:val="89"/>
              </w:rPr>
              <w:t>2020</w:t>
            </w:r>
          </w:p>
        </w:tc>
        <w:tc>
          <w:tcPr>
            <w:tcW w:w="0" w:type="dxa"/>
            <w:vAlign w:val="bottom"/>
          </w:tcPr>
          <w:p>
            <w:pPr>
              <w:spacing w:after="0"/>
              <w:rPr>
                <w:sz w:val="1"/>
                <w:szCs w:val="1"/>
                <w:color w:val="auto"/>
              </w:rPr>
            </w:pPr>
          </w:p>
        </w:tc>
      </w:tr>
      <w:tr>
        <w:trPr>
          <w:trHeight w:val="204"/>
        </w:trPr>
        <w:tc>
          <w:tcPr>
            <w:tcW w:w="3260" w:type="dxa"/>
            <w:vAlign w:val="bottom"/>
          </w:tcPr>
          <w:p>
            <w:pPr>
              <w:spacing w:after="0"/>
              <w:rPr>
                <w:sz w:val="17"/>
                <w:szCs w:val="17"/>
                <w:color w:val="auto"/>
              </w:rPr>
            </w:pPr>
          </w:p>
        </w:tc>
        <w:tc>
          <w:tcPr>
            <w:tcW w:w="2800" w:type="dxa"/>
            <w:vAlign w:val="bottom"/>
            <w:gridSpan w:val="3"/>
          </w:tcPr>
          <w:p>
            <w:pPr>
              <w:jc w:val="center"/>
              <w:ind w:right="400"/>
              <w:spacing w:after="0"/>
              <w:rPr>
                <w:sz w:val="20"/>
                <w:szCs w:val="20"/>
                <w:color w:val="auto"/>
              </w:rPr>
            </w:pPr>
            <w:r>
              <w:rPr>
                <w:rFonts w:ascii="Arial" w:cs="Arial" w:eastAsia="Arial" w:hAnsi="Arial"/>
                <w:sz w:val="16"/>
                <w:szCs w:val="16"/>
                <w:b w:val="1"/>
                <w:bCs w:val="1"/>
                <w:color w:val="auto"/>
                <w:w w:val="86"/>
              </w:rPr>
              <w:t>Statements of Operations</w:t>
            </w:r>
          </w:p>
        </w:tc>
        <w:tc>
          <w:tcPr>
            <w:tcW w:w="1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326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6"/>
                <w:szCs w:val="16"/>
                <w:i w:val="1"/>
                <w:iCs w:val="1"/>
                <w:color w:val="auto"/>
              </w:rPr>
              <w:t>Derivatives designated as cash flow hedging</w:t>
            </w:r>
          </w:p>
        </w:tc>
        <w:tc>
          <w:tcPr>
            <w:tcW w:w="23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326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instruments</w:t>
            </w:r>
          </w:p>
        </w:tc>
        <w:tc>
          <w:tcPr>
            <w:tcW w:w="2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260" w:type="dxa"/>
            <w:vAlign w:val="bottom"/>
          </w:tcPr>
          <w:p>
            <w:pPr>
              <w:ind w:left="140"/>
              <w:spacing w:after="0"/>
              <w:rPr>
                <w:sz w:val="20"/>
                <w:szCs w:val="20"/>
                <w:color w:val="auto"/>
              </w:rPr>
            </w:pPr>
            <w:r>
              <w:rPr>
                <w:rFonts w:ascii="Arial" w:cs="Arial" w:eastAsia="Arial" w:hAnsi="Arial"/>
                <w:sz w:val="16"/>
                <w:szCs w:val="16"/>
                <w:color w:val="auto"/>
              </w:rPr>
              <w:t>Foreign exchange forward contracts</w:t>
            </w:r>
          </w:p>
        </w:tc>
        <w:tc>
          <w:tcPr>
            <w:tcW w:w="2800" w:type="dxa"/>
            <w:vAlign w:val="bottom"/>
            <w:gridSpan w:val="3"/>
          </w:tcPr>
          <w:p>
            <w:pPr>
              <w:ind w:left="1220"/>
              <w:spacing w:after="0"/>
              <w:rPr>
                <w:sz w:val="20"/>
                <w:szCs w:val="20"/>
                <w:color w:val="auto"/>
              </w:rPr>
            </w:pPr>
            <w:r>
              <w:rPr>
                <w:rFonts w:ascii="Arial" w:cs="Arial" w:eastAsia="Arial" w:hAnsi="Arial"/>
                <w:sz w:val="16"/>
                <w:szCs w:val="16"/>
                <w:color w:val="auto"/>
              </w:rPr>
              <w:t>Cost of goods sold  $</w:t>
            </w: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968</w:t>
            </w:r>
          </w:p>
        </w:tc>
        <w:tc>
          <w:tcPr>
            <w:tcW w:w="100" w:type="dxa"/>
            <w:vAlign w:val="bottom"/>
          </w:tcPr>
          <w:p>
            <w:pPr>
              <w:spacing w:after="0"/>
              <w:rPr>
                <w:sz w:val="17"/>
                <w:szCs w:val="17"/>
                <w:color w:val="auto"/>
              </w:rPr>
            </w:pPr>
          </w:p>
        </w:tc>
        <w:tc>
          <w:tcPr>
            <w:tcW w:w="460" w:type="dxa"/>
            <w:vAlign w:val="bottom"/>
          </w:tcPr>
          <w:p>
            <w:pPr>
              <w:jc w:val="right"/>
              <w:ind w:right="30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(49)</w:t>
            </w:r>
          </w:p>
        </w:tc>
        <w:tc>
          <w:tcPr>
            <w:tcW w:w="140" w:type="dxa"/>
            <w:vAlign w:val="bottom"/>
          </w:tcPr>
          <w:p>
            <w:pPr>
              <w:spacing w:after="0"/>
              <w:rPr>
                <w:sz w:val="17"/>
                <w:szCs w:val="17"/>
                <w:color w:val="auto"/>
              </w:rPr>
            </w:pPr>
          </w:p>
        </w:tc>
        <w:tc>
          <w:tcPr>
            <w:tcW w:w="280" w:type="dxa"/>
            <w:vAlign w:val="bottom"/>
          </w:tcPr>
          <w:p>
            <w:pPr>
              <w:jc w:val="right"/>
              <w:ind w:right="102"/>
              <w:spacing w:after="0"/>
              <w:rPr>
                <w:sz w:val="20"/>
                <w:szCs w:val="20"/>
                <w:color w:val="auto"/>
              </w:rPr>
            </w:pPr>
            <w:r>
              <w:rPr>
                <w:rFonts w:ascii="Arial" w:cs="Arial" w:eastAsia="Arial" w:hAnsi="Arial"/>
                <w:sz w:val="16"/>
                <w:szCs w:val="16"/>
                <w:color w:val="auto"/>
                <w:w w:val="89"/>
              </w:rPr>
              <w:t>$</w:t>
            </w:r>
          </w:p>
        </w:tc>
        <w:tc>
          <w:tcPr>
            <w:tcW w:w="980" w:type="dxa"/>
            <w:vAlign w:val="bottom"/>
          </w:tcPr>
          <w:p>
            <w:pPr>
              <w:ind w:left="580"/>
              <w:spacing w:after="0"/>
              <w:rPr>
                <w:sz w:val="20"/>
                <w:szCs w:val="20"/>
                <w:color w:val="auto"/>
              </w:rPr>
            </w:pPr>
            <w:r>
              <w:rPr>
                <w:rFonts w:ascii="Arial" w:cs="Arial" w:eastAsia="Arial" w:hAnsi="Arial"/>
                <w:sz w:val="16"/>
                <w:szCs w:val="16"/>
                <w:color w:val="auto"/>
                <w:w w:val="94"/>
              </w:rPr>
              <w:t>2,713</w:t>
            </w:r>
          </w:p>
        </w:tc>
        <w:tc>
          <w:tcPr>
            <w:tcW w:w="120" w:type="dxa"/>
            <w:vAlign w:val="bottom"/>
          </w:tcPr>
          <w:p>
            <w:pPr>
              <w:spacing w:after="0"/>
              <w:rPr>
                <w:sz w:val="17"/>
                <w:szCs w:val="17"/>
                <w:color w:val="auto"/>
              </w:rPr>
            </w:pPr>
          </w:p>
        </w:tc>
        <w:tc>
          <w:tcPr>
            <w:tcW w:w="440" w:type="dxa"/>
            <w:vAlign w:val="bottom"/>
          </w:tcPr>
          <w:p>
            <w:pPr>
              <w:jc w:val="right"/>
              <w:ind w:right="288"/>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423</w:t>
            </w:r>
          </w:p>
        </w:tc>
        <w:tc>
          <w:tcPr>
            <w:tcW w:w="0" w:type="dxa"/>
            <w:vAlign w:val="bottom"/>
          </w:tcPr>
          <w:p>
            <w:pPr>
              <w:spacing w:after="0"/>
              <w:rPr>
                <w:sz w:val="1"/>
                <w:szCs w:val="1"/>
                <w:color w:val="auto"/>
              </w:rPr>
            </w:pPr>
          </w:p>
        </w:tc>
      </w:tr>
    </w:tbl>
    <w:p>
      <w:pPr>
        <w:spacing w:after="0" w:line="290" w:lineRule="exact"/>
        <w:rPr>
          <w:sz w:val="20"/>
          <w:szCs w:val="20"/>
          <w:color w:val="auto"/>
        </w:rPr>
      </w:pPr>
    </w:p>
    <w:p>
      <w:pPr>
        <w:ind w:left="180"/>
        <w:spacing w:after="0"/>
        <w:rPr>
          <w:sz w:val="20"/>
          <w:szCs w:val="20"/>
          <w:color w:val="auto"/>
        </w:rPr>
      </w:pPr>
      <w:r>
        <w:rPr>
          <w:rFonts w:ascii="Arial" w:cs="Arial" w:eastAsia="Arial" w:hAnsi="Arial"/>
          <w:sz w:val="17"/>
          <w:szCs w:val="17"/>
          <w:color w:val="auto"/>
        </w:rPr>
        <w:t>We recognized the following gains (losses) on our foreign exchange contracts designated as a cash flow hedge (in thousands):</w:t>
      </w:r>
    </w:p>
    <w:p>
      <w:pPr>
        <w:spacing w:after="0" w:line="111"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600" w:type="dxa"/>
            <w:vAlign w:val="bottom"/>
          </w:tcPr>
          <w:p>
            <w:pPr>
              <w:spacing w:after="0"/>
              <w:rPr>
                <w:sz w:val="16"/>
                <w:szCs w:val="16"/>
                <w:color w:val="auto"/>
              </w:rPr>
            </w:pPr>
          </w:p>
        </w:tc>
        <w:tc>
          <w:tcPr>
            <w:tcW w:w="2440" w:type="dxa"/>
            <w:vAlign w:val="bottom"/>
            <w:gridSpan w:val="5"/>
          </w:tcPr>
          <w:p>
            <w:pPr>
              <w:jc w:val="center"/>
              <w:spacing w:after="0"/>
              <w:rPr>
                <w:sz w:val="20"/>
                <w:szCs w:val="20"/>
                <w:color w:val="auto"/>
              </w:rPr>
            </w:pPr>
            <w:r>
              <w:rPr>
                <w:rFonts w:ascii="Arial" w:cs="Arial" w:eastAsia="Arial" w:hAnsi="Arial"/>
                <w:sz w:val="16"/>
                <w:szCs w:val="16"/>
                <w:b w:val="1"/>
                <w:bCs w:val="1"/>
                <w:color w:val="auto"/>
                <w:w w:val="86"/>
              </w:rPr>
              <w:t>Amount of (Loss) Gain Recognized</w:t>
            </w:r>
          </w:p>
        </w:tc>
        <w:tc>
          <w:tcPr>
            <w:tcW w:w="100" w:type="dxa"/>
            <w:vAlign w:val="bottom"/>
          </w:tcPr>
          <w:p>
            <w:pPr>
              <w:spacing w:after="0"/>
              <w:rPr>
                <w:sz w:val="16"/>
                <w:szCs w:val="16"/>
                <w:color w:val="auto"/>
              </w:rPr>
            </w:pPr>
          </w:p>
        </w:tc>
        <w:tc>
          <w:tcPr>
            <w:tcW w:w="5020" w:type="dxa"/>
            <w:vAlign w:val="bottom"/>
            <w:gridSpan w:val="7"/>
            <w:vMerge w:val="restart"/>
          </w:tcPr>
          <w:p>
            <w:pPr>
              <w:jc w:val="center"/>
              <w:spacing w:after="0"/>
              <w:rPr>
                <w:sz w:val="20"/>
                <w:szCs w:val="20"/>
                <w:color w:val="auto"/>
              </w:rPr>
            </w:pPr>
            <w:r>
              <w:rPr>
                <w:rFonts w:ascii="Arial" w:cs="Arial" w:eastAsia="Arial" w:hAnsi="Arial"/>
                <w:sz w:val="16"/>
                <w:szCs w:val="16"/>
                <w:b w:val="1"/>
                <w:bCs w:val="1"/>
                <w:color w:val="auto"/>
                <w:w w:val="87"/>
              </w:rPr>
              <w:t>Amount of Gain (Loss) Reclassified From Accumulated Other</w:t>
            </w:r>
          </w:p>
        </w:tc>
        <w:tc>
          <w:tcPr>
            <w:tcW w:w="0" w:type="dxa"/>
            <w:vAlign w:val="bottom"/>
          </w:tcPr>
          <w:p>
            <w:pPr>
              <w:spacing w:after="0"/>
              <w:rPr>
                <w:sz w:val="1"/>
                <w:szCs w:val="1"/>
                <w:color w:val="auto"/>
              </w:rPr>
            </w:pPr>
          </w:p>
        </w:tc>
      </w:tr>
      <w:tr>
        <w:trPr>
          <w:trHeight w:val="155"/>
        </w:trPr>
        <w:tc>
          <w:tcPr>
            <w:tcW w:w="3600" w:type="dxa"/>
            <w:vAlign w:val="bottom"/>
          </w:tcPr>
          <w:p>
            <w:pPr>
              <w:spacing w:after="0"/>
              <w:rPr>
                <w:sz w:val="13"/>
                <w:szCs w:val="13"/>
                <w:color w:val="auto"/>
              </w:rPr>
            </w:pPr>
          </w:p>
        </w:tc>
        <w:tc>
          <w:tcPr>
            <w:tcW w:w="2440" w:type="dxa"/>
            <w:vAlign w:val="bottom"/>
            <w:gridSpan w:val="5"/>
          </w:tcPr>
          <w:p>
            <w:pPr>
              <w:jc w:val="center"/>
              <w:spacing w:after="0" w:line="155" w:lineRule="exact"/>
              <w:rPr>
                <w:sz w:val="20"/>
                <w:szCs w:val="20"/>
                <w:color w:val="auto"/>
              </w:rPr>
            </w:pPr>
            <w:r>
              <w:rPr>
                <w:rFonts w:ascii="Arial" w:cs="Arial" w:eastAsia="Arial" w:hAnsi="Arial"/>
                <w:sz w:val="16"/>
                <w:szCs w:val="16"/>
                <w:b w:val="1"/>
                <w:bCs w:val="1"/>
                <w:color w:val="auto"/>
                <w:w w:val="87"/>
              </w:rPr>
              <w:t>in Other Comprehensive Income on</w:t>
            </w:r>
          </w:p>
        </w:tc>
        <w:tc>
          <w:tcPr>
            <w:tcW w:w="100" w:type="dxa"/>
            <w:vAlign w:val="bottom"/>
          </w:tcPr>
          <w:p>
            <w:pPr>
              <w:spacing w:after="0"/>
              <w:rPr>
                <w:sz w:val="13"/>
                <w:szCs w:val="13"/>
                <w:color w:val="auto"/>
              </w:rPr>
            </w:pPr>
          </w:p>
        </w:tc>
        <w:tc>
          <w:tcPr>
            <w:tcW w:w="5020" w:type="dxa"/>
            <w:vAlign w:val="bottom"/>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360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jc w:val="center"/>
              <w:ind w:right="226"/>
              <w:spacing w:after="0"/>
              <w:rPr>
                <w:sz w:val="20"/>
                <w:szCs w:val="20"/>
                <w:color w:val="auto"/>
              </w:rPr>
            </w:pPr>
            <w:r>
              <w:rPr>
                <w:rFonts w:ascii="Arial" w:cs="Arial" w:eastAsia="Arial" w:hAnsi="Arial"/>
                <w:sz w:val="16"/>
                <w:szCs w:val="16"/>
                <w:b w:val="1"/>
                <w:bCs w:val="1"/>
                <w:color w:val="auto"/>
                <w:w w:val="88"/>
              </w:rPr>
              <w:t>Derivatives</w:t>
            </w:r>
          </w:p>
        </w:tc>
        <w:tc>
          <w:tcPr>
            <w:tcW w:w="4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960" w:type="dxa"/>
            <w:vAlign w:val="bottom"/>
            <w:tcBorders>
              <w:bottom w:val="single" w:sz="8" w:color="auto"/>
            </w:tcBorders>
            <w:gridSpan w:val="5"/>
          </w:tcPr>
          <w:p>
            <w:pPr>
              <w:jc w:val="center"/>
              <w:ind w:left="982"/>
              <w:spacing w:after="0"/>
              <w:rPr>
                <w:sz w:val="20"/>
                <w:szCs w:val="20"/>
                <w:color w:val="auto"/>
              </w:rPr>
            </w:pPr>
            <w:r>
              <w:rPr>
                <w:rFonts w:ascii="Arial" w:cs="Arial" w:eastAsia="Arial" w:hAnsi="Arial"/>
                <w:sz w:val="16"/>
                <w:szCs w:val="16"/>
                <w:b w:val="1"/>
                <w:bCs w:val="1"/>
                <w:color w:val="auto"/>
                <w:w w:val="86"/>
              </w:rPr>
              <w:t>Comprehensive Income into Income</w:t>
            </w: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92"/>
        </w:trPr>
        <w:tc>
          <w:tcPr>
            <w:tcW w:w="3600" w:type="dxa"/>
            <w:vAlign w:val="bottom"/>
          </w:tcPr>
          <w:p>
            <w:pPr>
              <w:spacing w:after="0"/>
              <w:rPr>
                <w:sz w:val="24"/>
                <w:szCs w:val="24"/>
                <w:color w:val="auto"/>
              </w:rPr>
            </w:pPr>
          </w:p>
        </w:tc>
        <w:tc>
          <w:tcPr>
            <w:tcW w:w="2000" w:type="dxa"/>
            <w:vAlign w:val="bottom"/>
            <w:gridSpan w:val="4"/>
          </w:tcPr>
          <w:p>
            <w:pPr>
              <w:jc w:val="center"/>
              <w:ind w:left="322"/>
              <w:spacing w:after="0"/>
              <w:rPr>
                <w:sz w:val="20"/>
                <w:szCs w:val="20"/>
                <w:color w:val="auto"/>
              </w:rPr>
            </w:pPr>
            <w:r>
              <w:rPr>
                <w:rFonts w:ascii="Arial" w:cs="Arial" w:eastAsia="Arial" w:hAnsi="Arial"/>
                <w:sz w:val="16"/>
                <w:szCs w:val="16"/>
                <w:b w:val="1"/>
                <w:bCs w:val="1"/>
                <w:color w:val="auto"/>
                <w:w w:val="86"/>
              </w:rPr>
              <w:t>Three months ended</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20" w:type="dxa"/>
            <w:vAlign w:val="bottom"/>
            <w:gridSpan w:val="4"/>
          </w:tcPr>
          <w:p>
            <w:pPr>
              <w:jc w:val="right"/>
              <w:ind w:right="402"/>
              <w:spacing w:after="0"/>
              <w:rPr>
                <w:sz w:val="20"/>
                <w:szCs w:val="20"/>
                <w:color w:val="auto"/>
              </w:rPr>
            </w:pPr>
            <w:r>
              <w:rPr>
                <w:rFonts w:ascii="Arial" w:cs="Arial" w:eastAsia="Arial" w:hAnsi="Arial"/>
                <w:sz w:val="16"/>
                <w:szCs w:val="16"/>
                <w:b w:val="1"/>
                <w:bCs w:val="1"/>
                <w:color w:val="auto"/>
                <w:w w:val="96"/>
              </w:rPr>
              <w:t>Three months ended</w:t>
            </w:r>
          </w:p>
        </w:tc>
        <w:tc>
          <w:tcPr>
            <w:tcW w:w="0" w:type="dxa"/>
            <w:vAlign w:val="bottom"/>
          </w:tcPr>
          <w:p>
            <w:pPr>
              <w:spacing w:after="0"/>
              <w:rPr>
                <w:sz w:val="1"/>
                <w:szCs w:val="1"/>
                <w:color w:val="auto"/>
              </w:rPr>
            </w:pPr>
          </w:p>
        </w:tc>
      </w:tr>
      <w:tr>
        <w:trPr>
          <w:trHeight w:val="202"/>
        </w:trPr>
        <w:tc>
          <w:tcPr>
            <w:tcW w:w="360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jc w:val="center"/>
              <w:ind w:right="226"/>
              <w:spacing w:after="0"/>
              <w:rPr>
                <w:sz w:val="20"/>
                <w:szCs w:val="20"/>
                <w:color w:val="auto"/>
              </w:rPr>
            </w:pPr>
            <w:r>
              <w:rPr>
                <w:rFonts w:ascii="Arial" w:cs="Arial" w:eastAsia="Arial" w:hAnsi="Arial"/>
                <w:sz w:val="16"/>
                <w:szCs w:val="16"/>
                <w:b w:val="1"/>
                <w:bCs w:val="1"/>
                <w:color w:val="auto"/>
                <w:w w:val="87"/>
              </w:rPr>
              <w:t>September 30,</w:t>
            </w:r>
          </w:p>
        </w:tc>
        <w:tc>
          <w:tcPr>
            <w:tcW w:w="4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gridSpan w:val="4"/>
          </w:tcPr>
          <w:p>
            <w:pPr>
              <w:jc w:val="right"/>
              <w:ind w:right="582"/>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140"/>
        </w:trPr>
        <w:tc>
          <w:tcPr>
            <w:tcW w:w="36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60" w:type="dxa"/>
            <w:vAlign w:val="bottom"/>
            <w:gridSpan w:val="2"/>
          </w:tcPr>
          <w:p>
            <w:pPr>
              <w:jc w:val="center"/>
              <w:ind w:right="100"/>
              <w:spacing w:after="0" w:line="140" w:lineRule="exact"/>
              <w:rPr>
                <w:sz w:val="20"/>
                <w:szCs w:val="20"/>
                <w:color w:val="auto"/>
              </w:rPr>
            </w:pPr>
            <w:r>
              <w:rPr>
                <w:rFonts w:ascii="Arial" w:cs="Arial" w:eastAsia="Arial" w:hAnsi="Arial"/>
                <w:sz w:val="16"/>
                <w:szCs w:val="16"/>
                <w:b w:val="1"/>
                <w:bCs w:val="1"/>
                <w:color w:val="auto"/>
                <w:w w:val="86"/>
              </w:rPr>
              <w:t>Location of Gain (Loss) Reclassified</w:t>
            </w: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60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2021</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2020</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0" w:type="dxa"/>
            <w:vAlign w:val="bottom"/>
            <w:gridSpan w:val="3"/>
          </w:tcPr>
          <w:p>
            <w:pPr>
              <w:jc w:val="center"/>
              <w:ind w:right="288"/>
              <w:spacing w:after="0" w:line="155" w:lineRule="exact"/>
              <w:rPr>
                <w:sz w:val="20"/>
                <w:szCs w:val="20"/>
                <w:color w:val="auto"/>
              </w:rPr>
            </w:pPr>
            <w:r>
              <w:rPr>
                <w:rFonts w:ascii="Arial" w:cs="Arial" w:eastAsia="Arial" w:hAnsi="Arial"/>
                <w:sz w:val="16"/>
                <w:szCs w:val="16"/>
                <w:b w:val="1"/>
                <w:bCs w:val="1"/>
                <w:color w:val="auto"/>
                <w:w w:val="89"/>
              </w:rPr>
              <w:t>From Accumulated Other</w:t>
            </w:r>
          </w:p>
        </w:tc>
        <w:tc>
          <w:tcPr>
            <w:tcW w:w="860" w:type="dxa"/>
            <w:vAlign w:val="bottom"/>
            <w:vMerge w:val="restart"/>
          </w:tcPr>
          <w:p>
            <w:pPr>
              <w:jc w:val="right"/>
              <w:ind w:right="322"/>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vMerge w:val="restart"/>
          </w:tcPr>
          <w:p>
            <w:pPr>
              <w:jc w:val="right"/>
              <w:ind w:right="302"/>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04"/>
        </w:trPr>
        <w:tc>
          <w:tcPr>
            <w:tcW w:w="360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0" w:type="dxa"/>
            <w:vAlign w:val="bottom"/>
            <w:gridSpan w:val="3"/>
          </w:tcPr>
          <w:p>
            <w:pPr>
              <w:jc w:val="center"/>
              <w:ind w:right="268"/>
              <w:spacing w:after="0"/>
              <w:rPr>
                <w:sz w:val="20"/>
                <w:szCs w:val="20"/>
                <w:color w:val="auto"/>
              </w:rPr>
            </w:pPr>
            <w:r>
              <w:rPr>
                <w:rFonts w:ascii="Arial" w:cs="Arial" w:eastAsia="Arial" w:hAnsi="Arial"/>
                <w:sz w:val="16"/>
                <w:szCs w:val="16"/>
                <w:b w:val="1"/>
                <w:bCs w:val="1"/>
                <w:color w:val="auto"/>
                <w:w w:val="86"/>
              </w:rPr>
              <w:t>Comprehensive Income into Income</w:t>
            </w:r>
          </w:p>
        </w:tc>
        <w:tc>
          <w:tcPr>
            <w:tcW w:w="8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Derivatives designated as cash flow hedges:</w:t>
            </w:r>
          </w:p>
        </w:tc>
        <w:tc>
          <w:tcPr>
            <w:tcW w:w="74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6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600" w:type="dxa"/>
            <w:vAlign w:val="bottom"/>
          </w:tcPr>
          <w:p>
            <w:pPr>
              <w:ind w:left="140"/>
              <w:spacing w:after="0"/>
              <w:rPr>
                <w:sz w:val="20"/>
                <w:szCs w:val="20"/>
                <w:color w:val="auto"/>
              </w:rPr>
            </w:pPr>
            <w:r>
              <w:rPr>
                <w:rFonts w:ascii="Arial" w:cs="Arial" w:eastAsia="Arial" w:hAnsi="Arial"/>
                <w:sz w:val="16"/>
                <w:szCs w:val="16"/>
                <w:color w:val="auto"/>
              </w:rPr>
              <w:t>Foreign exchange forward contract</w:t>
            </w:r>
          </w:p>
        </w:tc>
        <w:tc>
          <w:tcPr>
            <w:tcW w:w="740" w:type="dxa"/>
            <w:vAlign w:val="bottom"/>
          </w:tcPr>
          <w:p>
            <w:pPr>
              <w:jc w:val="right"/>
              <w:ind w:right="562"/>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spacing w:after="0"/>
              <w:rPr>
                <w:sz w:val="20"/>
                <w:szCs w:val="20"/>
                <w:color w:val="auto"/>
              </w:rPr>
            </w:pPr>
            <w:r>
              <w:rPr>
                <w:rFonts w:ascii="Arial" w:cs="Arial" w:eastAsia="Arial" w:hAnsi="Arial"/>
                <w:sz w:val="16"/>
                <w:szCs w:val="16"/>
                <w:color w:val="auto"/>
                <w:w w:val="90"/>
              </w:rPr>
              <w:t>(109)</w:t>
            </w:r>
          </w:p>
        </w:tc>
        <w:tc>
          <w:tcPr>
            <w:tcW w:w="100" w:type="dxa"/>
            <w:vAlign w:val="bottom"/>
          </w:tcPr>
          <w:p>
            <w:pPr>
              <w:spacing w:after="0"/>
              <w:rPr>
                <w:sz w:val="17"/>
                <w:szCs w:val="17"/>
                <w:color w:val="auto"/>
              </w:rPr>
            </w:pPr>
          </w:p>
        </w:tc>
        <w:tc>
          <w:tcPr>
            <w:tcW w:w="760" w:type="dxa"/>
            <w:vAlign w:val="bottom"/>
          </w:tcPr>
          <w:p>
            <w:pPr>
              <w:jc w:val="right"/>
              <w:ind w:right="606"/>
              <w:spacing w:after="0"/>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rPr>
                <w:sz w:val="20"/>
                <w:szCs w:val="20"/>
                <w:color w:val="auto"/>
              </w:rPr>
            </w:pPr>
            <w:r>
              <w:rPr>
                <w:rFonts w:ascii="Arial" w:cs="Arial" w:eastAsia="Arial" w:hAnsi="Arial"/>
                <w:sz w:val="16"/>
                <w:szCs w:val="16"/>
                <w:color w:val="auto"/>
                <w:w w:val="89"/>
              </w:rPr>
              <w:t>1,287</w:t>
            </w:r>
          </w:p>
        </w:tc>
        <w:tc>
          <w:tcPr>
            <w:tcW w:w="100" w:type="dxa"/>
            <w:vAlign w:val="bottom"/>
          </w:tcPr>
          <w:p>
            <w:pPr>
              <w:spacing w:after="0"/>
              <w:rPr>
                <w:sz w:val="17"/>
                <w:szCs w:val="17"/>
                <w:color w:val="auto"/>
              </w:rPr>
            </w:pPr>
          </w:p>
        </w:tc>
        <w:tc>
          <w:tcPr>
            <w:tcW w:w="3000" w:type="dxa"/>
            <w:vAlign w:val="bottom"/>
            <w:gridSpan w:val="3"/>
          </w:tcPr>
          <w:p>
            <w:pPr>
              <w:jc w:val="right"/>
              <w:ind w:right="88"/>
              <w:spacing w:after="0"/>
              <w:rPr>
                <w:sz w:val="20"/>
                <w:szCs w:val="20"/>
                <w:color w:val="auto"/>
              </w:rPr>
            </w:pPr>
            <w:r>
              <w:rPr>
                <w:rFonts w:ascii="Arial" w:cs="Arial" w:eastAsia="Arial" w:hAnsi="Arial"/>
                <w:sz w:val="16"/>
                <w:szCs w:val="16"/>
                <w:color w:val="auto"/>
              </w:rPr>
              <w:t>Cost of goods sold  $</w:t>
            </w: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968</w:t>
            </w:r>
          </w:p>
        </w:tc>
        <w:tc>
          <w:tcPr>
            <w:tcW w:w="100" w:type="dxa"/>
            <w:vAlign w:val="bottom"/>
          </w:tcPr>
          <w:p>
            <w:pPr>
              <w:spacing w:after="0"/>
              <w:rPr>
                <w:sz w:val="17"/>
                <w:szCs w:val="17"/>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143"/>
        </w:trPr>
        <w:tc>
          <w:tcPr>
            <w:tcW w:w="3600" w:type="dxa"/>
            <w:vAlign w:val="bottom"/>
            <w:tcBorders>
              <w:top w:val="single" w:sz="8" w:color="CCEEFF"/>
            </w:tcBorders>
            <w:shd w:val="clear" w:color="auto" w:fill="CCEEFF"/>
          </w:tcPr>
          <w:p>
            <w:pPr>
              <w:ind w:left="20"/>
              <w:spacing w:after="0" w:line="143" w:lineRule="exact"/>
              <w:rPr>
                <w:sz w:val="20"/>
                <w:szCs w:val="20"/>
                <w:color w:val="auto"/>
              </w:rPr>
            </w:pPr>
            <w:r>
              <w:rPr>
                <w:rFonts w:ascii="Arial" w:cs="Arial" w:eastAsia="Arial" w:hAnsi="Arial"/>
                <w:sz w:val="16"/>
                <w:szCs w:val="16"/>
                <w:color w:val="auto"/>
              </w:rPr>
              <w:t>Total derivatives designated as cash flow hedging</w:t>
            </w:r>
          </w:p>
        </w:tc>
        <w:tc>
          <w:tcPr>
            <w:tcW w:w="740" w:type="dxa"/>
            <w:vAlign w:val="bottom"/>
            <w:tcBorders>
              <w:top w:val="single" w:sz="8" w:color="auto"/>
            </w:tcBorders>
            <w:vMerge w:val="restart"/>
            <w:shd w:val="clear" w:color="auto" w:fill="CCEEFF"/>
          </w:tcPr>
          <w:p>
            <w:pPr>
              <w:jc w:val="right"/>
              <w:ind w:right="562"/>
              <w:spacing w:after="0"/>
              <w:rPr>
                <w:sz w:val="20"/>
                <w:szCs w:val="20"/>
                <w:color w:val="auto"/>
              </w:rPr>
            </w:pPr>
            <w:r>
              <w:rPr>
                <w:rFonts w:ascii="Arial" w:cs="Arial" w:eastAsia="Arial" w:hAnsi="Arial"/>
                <w:sz w:val="16"/>
                <w:szCs w:val="16"/>
                <w:color w:val="auto"/>
                <w:w w:val="89"/>
              </w:rPr>
              <w:t>$</w:t>
            </w:r>
          </w:p>
        </w:tc>
        <w:tc>
          <w:tcPr>
            <w:tcW w:w="4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90"/>
              </w:rPr>
              <w:t>(109)</w:t>
            </w:r>
          </w:p>
        </w:tc>
        <w:tc>
          <w:tcPr>
            <w:tcW w:w="10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vMerge w:val="restart"/>
            <w:shd w:val="clear" w:color="auto" w:fill="CCEEFF"/>
          </w:tcPr>
          <w:p>
            <w:pPr>
              <w:jc w:val="right"/>
              <w:ind w:right="606"/>
              <w:spacing w:after="0"/>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1,287</w:t>
            </w:r>
          </w:p>
        </w:tc>
        <w:tc>
          <w:tcPr>
            <w:tcW w:w="2860" w:type="dxa"/>
            <w:vAlign w:val="bottom"/>
            <w:tcBorders>
              <w:top w:val="single" w:sz="8" w:color="CCEEFF"/>
            </w:tcBorders>
            <w:gridSpan w:val="3"/>
            <w:vMerge w:val="restart"/>
            <w:shd w:val="clear" w:color="auto" w:fill="CCEEFF"/>
          </w:tcPr>
          <w:p>
            <w:pPr>
              <w:spacing w:after="0"/>
              <w:rPr>
                <w:sz w:val="12"/>
                <w:szCs w:val="12"/>
                <w:color w:val="auto"/>
              </w:rPr>
            </w:pPr>
          </w:p>
        </w:tc>
        <w:tc>
          <w:tcPr>
            <w:tcW w:w="240" w:type="dxa"/>
            <w:vAlign w:val="bottom"/>
            <w:tcBorders>
              <w:top w:val="single" w:sz="8" w:color="auto"/>
            </w:tcBorders>
            <w:vMerge w:val="restart"/>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968</w:t>
            </w: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vMerge w:val="restart"/>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196"/>
        </w:trPr>
        <w:tc>
          <w:tcPr>
            <w:tcW w:w="3600" w:type="dxa"/>
            <w:vAlign w:val="bottom"/>
            <w:tcBorders>
              <w:bottom w:val="single" w:sz="8" w:color="CCEEFF"/>
            </w:tcBorders>
            <w:shd w:val="clear" w:color="auto" w:fill="CCEEFF"/>
          </w:tcPr>
          <w:p>
            <w:pPr>
              <w:ind w:left="20"/>
              <w:spacing w:after="0" w:line="176" w:lineRule="exact"/>
              <w:rPr>
                <w:sz w:val="20"/>
                <w:szCs w:val="20"/>
                <w:color w:val="auto"/>
              </w:rPr>
            </w:pPr>
            <w:r>
              <w:rPr>
                <w:rFonts w:ascii="Arial" w:cs="Arial" w:eastAsia="Arial" w:hAnsi="Arial"/>
                <w:sz w:val="16"/>
                <w:szCs w:val="16"/>
                <w:color w:val="auto"/>
              </w:rPr>
              <w:t>instruments</w:t>
            </w: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4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auto"/>
            </w:tcBorders>
            <w:vMerge w:val="continue"/>
            <w:shd w:val="clear" w:color="auto" w:fill="CCEEFF"/>
          </w:tcPr>
          <w:p>
            <w:pPr>
              <w:spacing w:after="0"/>
              <w:rPr>
                <w:sz w:val="17"/>
                <w:szCs w:val="17"/>
                <w:color w:val="auto"/>
              </w:rPr>
            </w:pPr>
          </w:p>
        </w:tc>
        <w:tc>
          <w:tcPr>
            <w:tcW w:w="440" w:type="dxa"/>
            <w:vAlign w:val="bottom"/>
            <w:tcBorders>
              <w:bottom w:val="single" w:sz="8" w:color="auto"/>
            </w:tcBorders>
            <w:vMerge w:val="continue"/>
            <w:shd w:val="clear" w:color="auto" w:fill="CCEEFF"/>
          </w:tcPr>
          <w:p>
            <w:pPr>
              <w:spacing w:after="0"/>
              <w:rPr>
                <w:sz w:val="17"/>
                <w:szCs w:val="17"/>
                <w:color w:val="auto"/>
              </w:rPr>
            </w:pPr>
          </w:p>
        </w:tc>
        <w:tc>
          <w:tcPr>
            <w:tcW w:w="2860" w:type="dxa"/>
            <w:vAlign w:val="bottom"/>
            <w:tcBorders>
              <w:bottom w:val="single" w:sz="8" w:color="CCEEFF"/>
            </w:tcBorders>
            <w:gridSpan w:val="3"/>
            <w:vMerge w:val="continue"/>
            <w:shd w:val="clear" w:color="auto" w:fill="CCEEFF"/>
          </w:tcPr>
          <w:p>
            <w:pPr>
              <w:spacing w:after="0"/>
              <w:rPr>
                <w:sz w:val="17"/>
                <w:szCs w:val="17"/>
                <w:color w:val="auto"/>
              </w:rPr>
            </w:pPr>
          </w:p>
        </w:tc>
        <w:tc>
          <w:tcPr>
            <w:tcW w:w="240" w:type="dxa"/>
            <w:vAlign w:val="bottom"/>
            <w:tcBorders>
              <w:bottom w:val="single" w:sz="8" w:color="auto"/>
            </w:tcBorders>
            <w:vMerge w:val="continue"/>
            <w:shd w:val="clear" w:color="auto" w:fill="CCEEFF"/>
          </w:tcPr>
          <w:p>
            <w:pPr>
              <w:spacing w:after="0"/>
              <w:rPr>
                <w:sz w:val="17"/>
                <w:szCs w:val="17"/>
                <w:color w:val="auto"/>
              </w:rPr>
            </w:pPr>
          </w:p>
        </w:tc>
        <w:tc>
          <w:tcPr>
            <w:tcW w:w="8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vMerge w:val="continue"/>
            <w:shd w:val="clear" w:color="auto" w:fill="CCEEFF"/>
          </w:tcPr>
          <w:p>
            <w:pPr>
              <w:spacing w:after="0"/>
              <w:rPr>
                <w:sz w:val="17"/>
                <w:szCs w:val="17"/>
                <w:color w:val="auto"/>
              </w:rPr>
            </w:pPr>
          </w:p>
        </w:tc>
        <w:tc>
          <w:tcPr>
            <w:tcW w:w="82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7"/>
          <w:szCs w:val="17"/>
          <w:b w:val="1"/>
          <w:bCs w:val="1"/>
          <w:color w:val="auto"/>
        </w:rPr>
        <w:t>ICU MEDICAL, INC. AND SUBSIDIARIES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600" w:type="dxa"/>
            <w:vAlign w:val="bottom"/>
          </w:tcPr>
          <w:p>
            <w:pPr>
              <w:spacing w:after="0"/>
              <w:rPr>
                <w:sz w:val="16"/>
                <w:szCs w:val="16"/>
                <w:color w:val="auto"/>
              </w:rPr>
            </w:pPr>
          </w:p>
        </w:tc>
        <w:tc>
          <w:tcPr>
            <w:tcW w:w="2420" w:type="dxa"/>
            <w:vAlign w:val="bottom"/>
            <w:gridSpan w:val="5"/>
          </w:tcPr>
          <w:p>
            <w:pPr>
              <w:jc w:val="center"/>
              <w:spacing w:after="0"/>
              <w:rPr>
                <w:sz w:val="20"/>
                <w:szCs w:val="20"/>
                <w:color w:val="auto"/>
              </w:rPr>
            </w:pPr>
            <w:r>
              <w:rPr>
                <w:rFonts w:ascii="Arial" w:cs="Arial" w:eastAsia="Arial" w:hAnsi="Arial"/>
                <w:sz w:val="16"/>
                <w:szCs w:val="16"/>
                <w:b w:val="1"/>
                <w:bCs w:val="1"/>
                <w:color w:val="auto"/>
                <w:w w:val="86"/>
              </w:rPr>
              <w:t>Amount of Loss Recognized in</w:t>
            </w:r>
          </w:p>
        </w:tc>
        <w:tc>
          <w:tcPr>
            <w:tcW w:w="100" w:type="dxa"/>
            <w:vAlign w:val="bottom"/>
          </w:tcPr>
          <w:p>
            <w:pPr>
              <w:spacing w:after="0"/>
              <w:rPr>
                <w:sz w:val="16"/>
                <w:szCs w:val="16"/>
                <w:color w:val="auto"/>
              </w:rPr>
            </w:pPr>
          </w:p>
        </w:tc>
        <w:tc>
          <w:tcPr>
            <w:tcW w:w="5040" w:type="dxa"/>
            <w:vAlign w:val="bottom"/>
            <w:gridSpan w:val="7"/>
            <w:vMerge w:val="restart"/>
          </w:tcPr>
          <w:p>
            <w:pPr>
              <w:jc w:val="center"/>
              <w:spacing w:after="0"/>
              <w:rPr>
                <w:sz w:val="20"/>
                <w:szCs w:val="20"/>
                <w:color w:val="auto"/>
              </w:rPr>
            </w:pPr>
            <w:r>
              <w:rPr>
                <w:rFonts w:ascii="Arial" w:cs="Arial" w:eastAsia="Arial" w:hAnsi="Arial"/>
                <w:sz w:val="16"/>
                <w:szCs w:val="16"/>
                <w:b w:val="1"/>
                <w:bCs w:val="1"/>
                <w:color w:val="auto"/>
                <w:w w:val="87"/>
              </w:rPr>
              <w:t>Amount of Gain Reclassified From Accumulated Other Comprehensive</w:t>
            </w:r>
          </w:p>
        </w:tc>
        <w:tc>
          <w:tcPr>
            <w:tcW w:w="0" w:type="dxa"/>
            <w:vAlign w:val="bottom"/>
          </w:tcPr>
          <w:p>
            <w:pPr>
              <w:spacing w:after="0"/>
              <w:rPr>
                <w:sz w:val="1"/>
                <w:szCs w:val="1"/>
                <w:color w:val="auto"/>
              </w:rPr>
            </w:pPr>
          </w:p>
        </w:tc>
      </w:tr>
      <w:tr>
        <w:trPr>
          <w:trHeight w:val="155"/>
        </w:trPr>
        <w:tc>
          <w:tcPr>
            <w:tcW w:w="3600" w:type="dxa"/>
            <w:vAlign w:val="bottom"/>
          </w:tcPr>
          <w:p>
            <w:pPr>
              <w:spacing w:after="0"/>
              <w:rPr>
                <w:sz w:val="13"/>
                <w:szCs w:val="13"/>
                <w:color w:val="auto"/>
              </w:rPr>
            </w:pPr>
          </w:p>
        </w:tc>
        <w:tc>
          <w:tcPr>
            <w:tcW w:w="2420" w:type="dxa"/>
            <w:vAlign w:val="bottom"/>
            <w:gridSpan w:val="5"/>
          </w:tcPr>
          <w:p>
            <w:pPr>
              <w:jc w:val="center"/>
              <w:spacing w:after="0" w:line="155" w:lineRule="exact"/>
              <w:rPr>
                <w:sz w:val="20"/>
                <w:szCs w:val="20"/>
                <w:color w:val="auto"/>
              </w:rPr>
            </w:pPr>
            <w:r>
              <w:rPr>
                <w:rFonts w:ascii="Arial" w:cs="Arial" w:eastAsia="Arial" w:hAnsi="Arial"/>
                <w:sz w:val="16"/>
                <w:szCs w:val="16"/>
                <w:b w:val="1"/>
                <w:bCs w:val="1"/>
                <w:color w:val="auto"/>
                <w:w w:val="87"/>
              </w:rPr>
              <w:t>Other Comprehensive Income on</w:t>
            </w:r>
          </w:p>
        </w:tc>
        <w:tc>
          <w:tcPr>
            <w:tcW w:w="100" w:type="dxa"/>
            <w:vAlign w:val="bottom"/>
          </w:tcPr>
          <w:p>
            <w:pPr>
              <w:spacing w:after="0"/>
              <w:rPr>
                <w:sz w:val="13"/>
                <w:szCs w:val="13"/>
                <w:color w:val="auto"/>
              </w:rPr>
            </w:pPr>
          </w:p>
        </w:tc>
        <w:tc>
          <w:tcPr>
            <w:tcW w:w="5040" w:type="dxa"/>
            <w:vAlign w:val="bottom"/>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360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jc w:val="center"/>
              <w:ind w:right="246"/>
              <w:spacing w:after="0"/>
              <w:rPr>
                <w:sz w:val="20"/>
                <w:szCs w:val="20"/>
                <w:color w:val="auto"/>
              </w:rPr>
            </w:pPr>
            <w:r>
              <w:rPr>
                <w:rFonts w:ascii="Arial" w:cs="Arial" w:eastAsia="Arial" w:hAnsi="Arial"/>
                <w:sz w:val="16"/>
                <w:szCs w:val="16"/>
                <w:b w:val="1"/>
                <w:bCs w:val="1"/>
                <w:color w:val="auto"/>
                <w:w w:val="88"/>
              </w:rPr>
              <w:t>Derivatives</w:t>
            </w:r>
          </w:p>
        </w:tc>
        <w:tc>
          <w:tcPr>
            <w:tcW w:w="4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980" w:type="dxa"/>
            <w:vAlign w:val="bottom"/>
            <w:tcBorders>
              <w:bottom w:val="single" w:sz="8" w:color="auto"/>
            </w:tcBorders>
            <w:gridSpan w:val="5"/>
          </w:tcPr>
          <w:p>
            <w:pPr>
              <w:jc w:val="center"/>
              <w:ind w:left="982"/>
              <w:spacing w:after="0"/>
              <w:rPr>
                <w:sz w:val="20"/>
                <w:szCs w:val="20"/>
                <w:color w:val="auto"/>
              </w:rPr>
            </w:pPr>
            <w:r>
              <w:rPr>
                <w:rFonts w:ascii="Arial" w:cs="Arial" w:eastAsia="Arial" w:hAnsi="Arial"/>
                <w:sz w:val="16"/>
                <w:szCs w:val="16"/>
                <w:b w:val="1"/>
                <w:bCs w:val="1"/>
                <w:color w:val="auto"/>
                <w:w w:val="87"/>
              </w:rPr>
              <w:t>Income into Income</w:t>
            </w: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92"/>
        </w:trPr>
        <w:tc>
          <w:tcPr>
            <w:tcW w:w="3600" w:type="dxa"/>
            <w:vAlign w:val="bottom"/>
          </w:tcPr>
          <w:p>
            <w:pPr>
              <w:spacing w:after="0"/>
              <w:rPr>
                <w:sz w:val="24"/>
                <w:szCs w:val="24"/>
                <w:color w:val="auto"/>
              </w:rPr>
            </w:pPr>
          </w:p>
        </w:tc>
        <w:tc>
          <w:tcPr>
            <w:tcW w:w="2020" w:type="dxa"/>
            <w:vAlign w:val="bottom"/>
            <w:gridSpan w:val="4"/>
          </w:tcPr>
          <w:p>
            <w:pPr>
              <w:jc w:val="center"/>
              <w:ind w:left="302"/>
              <w:spacing w:after="0"/>
              <w:rPr>
                <w:sz w:val="20"/>
                <w:szCs w:val="20"/>
                <w:color w:val="auto"/>
              </w:rPr>
            </w:pPr>
            <w:r>
              <w:rPr>
                <w:rFonts w:ascii="Arial" w:cs="Arial" w:eastAsia="Arial" w:hAnsi="Arial"/>
                <w:sz w:val="16"/>
                <w:szCs w:val="16"/>
                <w:b w:val="1"/>
                <w:bCs w:val="1"/>
                <w:color w:val="auto"/>
                <w:w w:val="86"/>
              </w:rPr>
              <w:t>Nine months ended</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40" w:type="dxa"/>
            <w:vAlign w:val="bottom"/>
            <w:gridSpan w:val="4"/>
          </w:tcPr>
          <w:p>
            <w:pPr>
              <w:jc w:val="right"/>
              <w:ind w:right="442"/>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02"/>
        </w:trPr>
        <w:tc>
          <w:tcPr>
            <w:tcW w:w="360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jc w:val="center"/>
              <w:ind w:right="266"/>
              <w:spacing w:after="0"/>
              <w:rPr>
                <w:sz w:val="20"/>
                <w:szCs w:val="20"/>
                <w:color w:val="auto"/>
              </w:rPr>
            </w:pPr>
            <w:r>
              <w:rPr>
                <w:rFonts w:ascii="Arial" w:cs="Arial" w:eastAsia="Arial" w:hAnsi="Arial"/>
                <w:sz w:val="16"/>
                <w:szCs w:val="16"/>
                <w:b w:val="1"/>
                <w:bCs w:val="1"/>
                <w:color w:val="auto"/>
                <w:w w:val="85"/>
              </w:rPr>
              <w:t>September 30,</w:t>
            </w:r>
          </w:p>
        </w:tc>
        <w:tc>
          <w:tcPr>
            <w:tcW w:w="4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4"/>
          </w:tcPr>
          <w:p>
            <w:pPr>
              <w:jc w:val="right"/>
              <w:ind w:right="582"/>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140"/>
        </w:trPr>
        <w:tc>
          <w:tcPr>
            <w:tcW w:w="36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60" w:type="dxa"/>
            <w:vAlign w:val="bottom"/>
            <w:gridSpan w:val="2"/>
          </w:tcPr>
          <w:p>
            <w:pPr>
              <w:jc w:val="center"/>
              <w:ind w:right="100"/>
              <w:spacing w:after="0" w:line="140" w:lineRule="exact"/>
              <w:rPr>
                <w:sz w:val="20"/>
                <w:szCs w:val="20"/>
                <w:color w:val="auto"/>
              </w:rPr>
            </w:pPr>
            <w:r>
              <w:rPr>
                <w:rFonts w:ascii="Arial" w:cs="Arial" w:eastAsia="Arial" w:hAnsi="Arial"/>
                <w:sz w:val="16"/>
                <w:szCs w:val="16"/>
                <w:b w:val="1"/>
                <w:bCs w:val="1"/>
                <w:color w:val="auto"/>
                <w:w w:val="87"/>
              </w:rPr>
              <w:t>Location of Gain Reclassified From</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60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2021</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2020</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0" w:type="dxa"/>
            <w:vAlign w:val="bottom"/>
            <w:gridSpan w:val="3"/>
          </w:tcPr>
          <w:p>
            <w:pPr>
              <w:jc w:val="center"/>
              <w:ind w:right="262"/>
              <w:spacing w:after="0" w:line="155" w:lineRule="exact"/>
              <w:rPr>
                <w:sz w:val="20"/>
                <w:szCs w:val="20"/>
                <w:color w:val="auto"/>
              </w:rPr>
            </w:pPr>
            <w:r>
              <w:rPr>
                <w:rFonts w:ascii="Arial" w:cs="Arial" w:eastAsia="Arial" w:hAnsi="Arial"/>
                <w:sz w:val="16"/>
                <w:szCs w:val="16"/>
                <w:b w:val="1"/>
                <w:bCs w:val="1"/>
                <w:color w:val="auto"/>
                <w:w w:val="87"/>
              </w:rPr>
              <w:t>Accumulated Other Comprehensive</w:t>
            </w:r>
          </w:p>
        </w:tc>
        <w:tc>
          <w:tcPr>
            <w:tcW w:w="880" w:type="dxa"/>
            <w:vAlign w:val="bottom"/>
            <w:vMerge w:val="restart"/>
          </w:tcPr>
          <w:p>
            <w:pPr>
              <w:jc w:val="right"/>
              <w:ind w:right="342"/>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vMerge w:val="restart"/>
          </w:tcPr>
          <w:p>
            <w:pPr>
              <w:jc w:val="right"/>
              <w:ind w:right="302"/>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04"/>
        </w:trPr>
        <w:tc>
          <w:tcPr>
            <w:tcW w:w="360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0" w:type="dxa"/>
            <w:vAlign w:val="bottom"/>
            <w:gridSpan w:val="3"/>
          </w:tcPr>
          <w:p>
            <w:pPr>
              <w:jc w:val="center"/>
              <w:ind w:right="262"/>
              <w:spacing w:after="0"/>
              <w:rPr>
                <w:sz w:val="20"/>
                <w:szCs w:val="20"/>
                <w:color w:val="auto"/>
              </w:rPr>
            </w:pPr>
            <w:r>
              <w:rPr>
                <w:rFonts w:ascii="Arial" w:cs="Arial" w:eastAsia="Arial" w:hAnsi="Arial"/>
                <w:sz w:val="16"/>
                <w:szCs w:val="16"/>
                <w:b w:val="1"/>
                <w:bCs w:val="1"/>
                <w:color w:val="auto"/>
                <w:w w:val="86"/>
              </w:rPr>
              <w:t>Income into Income</w:t>
            </w:r>
          </w:p>
        </w:tc>
        <w:tc>
          <w:tcPr>
            <w:tcW w:w="8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Derivatives designated as cash flow hedges:</w:t>
            </w:r>
          </w:p>
        </w:tc>
        <w:tc>
          <w:tcPr>
            <w:tcW w:w="74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6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600" w:type="dxa"/>
            <w:vAlign w:val="bottom"/>
          </w:tcPr>
          <w:p>
            <w:pPr>
              <w:ind w:left="140"/>
              <w:spacing w:after="0"/>
              <w:rPr>
                <w:sz w:val="20"/>
                <w:szCs w:val="20"/>
                <w:color w:val="auto"/>
              </w:rPr>
            </w:pPr>
            <w:r>
              <w:rPr>
                <w:rFonts w:ascii="Arial" w:cs="Arial" w:eastAsia="Arial" w:hAnsi="Arial"/>
                <w:sz w:val="16"/>
                <w:szCs w:val="16"/>
                <w:color w:val="auto"/>
              </w:rPr>
              <w:t>Foreign exchange forward contract</w:t>
            </w:r>
          </w:p>
        </w:tc>
        <w:tc>
          <w:tcPr>
            <w:tcW w:w="740" w:type="dxa"/>
            <w:vAlign w:val="bottom"/>
          </w:tcPr>
          <w:p>
            <w:pPr>
              <w:jc w:val="right"/>
              <w:ind w:right="562"/>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17"/>
                <w:szCs w:val="17"/>
                <w:color w:val="auto"/>
              </w:rPr>
            </w:pPr>
          </w:p>
        </w:tc>
        <w:tc>
          <w:tcPr>
            <w:tcW w:w="780" w:type="dxa"/>
            <w:vAlign w:val="bottom"/>
          </w:tcPr>
          <w:p>
            <w:pPr>
              <w:jc w:val="right"/>
              <w:ind w:right="626"/>
              <w:spacing w:after="0"/>
              <w:rPr>
                <w:sz w:val="20"/>
                <w:szCs w:val="20"/>
                <w:color w:val="auto"/>
              </w:rPr>
            </w:pPr>
            <w:r>
              <w:rPr>
                <w:rFonts w:ascii="Arial" w:cs="Arial" w:eastAsia="Arial" w:hAnsi="Arial"/>
                <w:sz w:val="14"/>
                <w:szCs w:val="14"/>
                <w:color w:val="auto"/>
                <w:w w:val="76"/>
              </w:rPr>
              <w:t>$</w:t>
            </w:r>
          </w:p>
        </w:tc>
        <w:tc>
          <w:tcPr>
            <w:tcW w:w="400" w:type="dxa"/>
            <w:vAlign w:val="bottom"/>
          </w:tcPr>
          <w:p>
            <w:pPr>
              <w:jc w:val="right"/>
              <w:spacing w:after="0"/>
              <w:rPr>
                <w:sz w:val="20"/>
                <w:szCs w:val="20"/>
                <w:color w:val="auto"/>
              </w:rPr>
            </w:pPr>
            <w:r>
              <w:rPr>
                <w:rFonts w:ascii="Arial" w:cs="Arial" w:eastAsia="Arial" w:hAnsi="Arial"/>
                <w:sz w:val="16"/>
                <w:szCs w:val="16"/>
                <w:color w:val="auto"/>
                <w:w w:val="96"/>
              </w:rPr>
              <w:t>(642)</w:t>
            </w:r>
          </w:p>
        </w:tc>
        <w:tc>
          <w:tcPr>
            <w:tcW w:w="100" w:type="dxa"/>
            <w:vAlign w:val="bottom"/>
          </w:tcPr>
          <w:p>
            <w:pPr>
              <w:spacing w:after="0"/>
              <w:rPr>
                <w:sz w:val="17"/>
                <w:szCs w:val="17"/>
                <w:color w:val="auto"/>
              </w:rPr>
            </w:pPr>
          </w:p>
        </w:tc>
        <w:tc>
          <w:tcPr>
            <w:tcW w:w="3000" w:type="dxa"/>
            <w:vAlign w:val="bottom"/>
            <w:gridSpan w:val="3"/>
          </w:tcPr>
          <w:p>
            <w:pPr>
              <w:jc w:val="right"/>
              <w:ind w:right="62"/>
              <w:spacing w:after="0"/>
              <w:rPr>
                <w:sz w:val="20"/>
                <w:szCs w:val="20"/>
                <w:color w:val="auto"/>
              </w:rPr>
            </w:pPr>
            <w:r>
              <w:rPr>
                <w:rFonts w:ascii="Arial" w:cs="Arial" w:eastAsia="Arial" w:hAnsi="Arial"/>
                <w:sz w:val="16"/>
                <w:szCs w:val="16"/>
                <w:color w:val="auto"/>
              </w:rPr>
              <w:t>Cost of goods sold  $</w:t>
            </w: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2,713</w:t>
            </w:r>
          </w:p>
        </w:tc>
        <w:tc>
          <w:tcPr>
            <w:tcW w:w="100" w:type="dxa"/>
            <w:vAlign w:val="bottom"/>
          </w:tcPr>
          <w:p>
            <w:pPr>
              <w:spacing w:after="0"/>
              <w:rPr>
                <w:sz w:val="17"/>
                <w:szCs w:val="17"/>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423</w:t>
            </w:r>
          </w:p>
        </w:tc>
        <w:tc>
          <w:tcPr>
            <w:tcW w:w="0" w:type="dxa"/>
            <w:vAlign w:val="bottom"/>
          </w:tcPr>
          <w:p>
            <w:pPr>
              <w:spacing w:after="0"/>
              <w:rPr>
                <w:sz w:val="1"/>
                <w:szCs w:val="1"/>
                <w:color w:val="auto"/>
              </w:rPr>
            </w:pPr>
          </w:p>
        </w:tc>
      </w:tr>
      <w:tr>
        <w:trPr>
          <w:trHeight w:val="143"/>
        </w:trPr>
        <w:tc>
          <w:tcPr>
            <w:tcW w:w="3600" w:type="dxa"/>
            <w:vAlign w:val="bottom"/>
            <w:tcBorders>
              <w:top w:val="single" w:sz="8" w:color="CCEEFF"/>
            </w:tcBorders>
            <w:shd w:val="clear" w:color="auto" w:fill="CCEEFF"/>
          </w:tcPr>
          <w:p>
            <w:pPr>
              <w:ind w:left="20"/>
              <w:spacing w:after="0" w:line="143" w:lineRule="exact"/>
              <w:rPr>
                <w:sz w:val="20"/>
                <w:szCs w:val="20"/>
                <w:color w:val="auto"/>
              </w:rPr>
            </w:pPr>
            <w:r>
              <w:rPr>
                <w:rFonts w:ascii="Arial" w:cs="Arial" w:eastAsia="Arial" w:hAnsi="Arial"/>
                <w:sz w:val="16"/>
                <w:szCs w:val="16"/>
                <w:color w:val="auto"/>
              </w:rPr>
              <w:t>Total derivatives designated as cash flow hedging</w:t>
            </w:r>
          </w:p>
        </w:tc>
        <w:tc>
          <w:tcPr>
            <w:tcW w:w="740" w:type="dxa"/>
            <w:vAlign w:val="bottom"/>
            <w:tcBorders>
              <w:top w:val="single" w:sz="8" w:color="auto"/>
            </w:tcBorders>
            <w:vMerge w:val="restart"/>
            <w:shd w:val="clear" w:color="auto" w:fill="CCEEFF"/>
          </w:tcPr>
          <w:p>
            <w:pPr>
              <w:jc w:val="right"/>
              <w:ind w:right="562"/>
              <w:spacing w:after="0"/>
              <w:rPr>
                <w:sz w:val="20"/>
                <w:szCs w:val="20"/>
                <w:color w:val="auto"/>
              </w:rPr>
            </w:pPr>
            <w:r>
              <w:rPr>
                <w:rFonts w:ascii="Arial" w:cs="Arial" w:eastAsia="Arial" w:hAnsi="Arial"/>
                <w:sz w:val="16"/>
                <w:szCs w:val="16"/>
                <w:color w:val="auto"/>
                <w:w w:val="89"/>
              </w:rPr>
              <w:t>$</w:t>
            </w:r>
          </w:p>
        </w:tc>
        <w:tc>
          <w:tcPr>
            <w:tcW w:w="4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0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vMerge w:val="restart"/>
            <w:shd w:val="clear" w:color="auto" w:fill="CCEEFF"/>
          </w:tcPr>
          <w:p>
            <w:pPr>
              <w:jc w:val="right"/>
              <w:ind w:right="626"/>
              <w:spacing w:after="0"/>
              <w:rPr>
                <w:sz w:val="20"/>
                <w:szCs w:val="20"/>
                <w:color w:val="auto"/>
              </w:rPr>
            </w:pPr>
            <w:r>
              <w:rPr>
                <w:rFonts w:ascii="Arial" w:cs="Arial" w:eastAsia="Arial" w:hAnsi="Arial"/>
                <w:sz w:val="14"/>
                <w:szCs w:val="14"/>
                <w:color w:val="auto"/>
                <w:w w:val="76"/>
              </w:rPr>
              <w:t>$</w:t>
            </w:r>
          </w:p>
        </w:tc>
        <w:tc>
          <w:tcPr>
            <w:tcW w:w="4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96"/>
              </w:rPr>
              <w:t>(642)</w:t>
            </w:r>
          </w:p>
        </w:tc>
        <w:tc>
          <w:tcPr>
            <w:tcW w:w="2860" w:type="dxa"/>
            <w:vAlign w:val="bottom"/>
            <w:tcBorders>
              <w:top w:val="single" w:sz="8" w:color="CCEEFF"/>
            </w:tcBorders>
            <w:gridSpan w:val="3"/>
            <w:vMerge w:val="restart"/>
            <w:shd w:val="clear" w:color="auto" w:fill="CCEEFF"/>
          </w:tcPr>
          <w:p>
            <w:pPr>
              <w:spacing w:after="0"/>
              <w:rPr>
                <w:sz w:val="12"/>
                <w:szCs w:val="12"/>
                <w:color w:val="auto"/>
              </w:rPr>
            </w:pPr>
          </w:p>
        </w:tc>
        <w:tc>
          <w:tcPr>
            <w:tcW w:w="240" w:type="dxa"/>
            <w:vAlign w:val="bottom"/>
            <w:tcBorders>
              <w:top w:val="single" w:sz="8" w:color="auto"/>
            </w:tcBorders>
            <w:vMerge w:val="restart"/>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2,713</w:t>
            </w: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vMerge w:val="restart"/>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423</w:t>
            </w:r>
          </w:p>
        </w:tc>
        <w:tc>
          <w:tcPr>
            <w:tcW w:w="0" w:type="dxa"/>
            <w:vAlign w:val="bottom"/>
          </w:tcPr>
          <w:p>
            <w:pPr>
              <w:spacing w:after="0"/>
              <w:rPr>
                <w:sz w:val="1"/>
                <w:szCs w:val="1"/>
                <w:color w:val="auto"/>
              </w:rPr>
            </w:pPr>
          </w:p>
        </w:tc>
      </w:tr>
      <w:tr>
        <w:trPr>
          <w:trHeight w:val="196"/>
        </w:trPr>
        <w:tc>
          <w:tcPr>
            <w:tcW w:w="3600" w:type="dxa"/>
            <w:vAlign w:val="bottom"/>
            <w:tcBorders>
              <w:bottom w:val="single" w:sz="8" w:color="CCEEFF"/>
            </w:tcBorders>
            <w:shd w:val="clear" w:color="auto" w:fill="CCEEFF"/>
          </w:tcPr>
          <w:p>
            <w:pPr>
              <w:ind w:left="20"/>
              <w:spacing w:after="0" w:line="176" w:lineRule="exact"/>
              <w:rPr>
                <w:sz w:val="20"/>
                <w:szCs w:val="20"/>
                <w:color w:val="auto"/>
              </w:rPr>
            </w:pPr>
            <w:r>
              <w:rPr>
                <w:rFonts w:ascii="Arial" w:cs="Arial" w:eastAsia="Arial" w:hAnsi="Arial"/>
                <w:sz w:val="16"/>
                <w:szCs w:val="16"/>
                <w:color w:val="auto"/>
              </w:rPr>
              <w:t>instruments</w:t>
            </w: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4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auto"/>
            </w:tcBorders>
            <w:vMerge w:val="continue"/>
            <w:shd w:val="clear" w:color="auto" w:fill="CCEEFF"/>
          </w:tcPr>
          <w:p>
            <w:pPr>
              <w:spacing w:after="0"/>
              <w:rPr>
                <w:sz w:val="17"/>
                <w:szCs w:val="17"/>
                <w:color w:val="auto"/>
              </w:rPr>
            </w:pPr>
          </w:p>
        </w:tc>
        <w:tc>
          <w:tcPr>
            <w:tcW w:w="400" w:type="dxa"/>
            <w:vAlign w:val="bottom"/>
            <w:tcBorders>
              <w:bottom w:val="single" w:sz="8" w:color="auto"/>
            </w:tcBorders>
            <w:vMerge w:val="continue"/>
            <w:shd w:val="clear" w:color="auto" w:fill="CCEEFF"/>
          </w:tcPr>
          <w:p>
            <w:pPr>
              <w:spacing w:after="0"/>
              <w:rPr>
                <w:sz w:val="17"/>
                <w:szCs w:val="17"/>
                <w:color w:val="auto"/>
              </w:rPr>
            </w:pPr>
          </w:p>
        </w:tc>
        <w:tc>
          <w:tcPr>
            <w:tcW w:w="2860" w:type="dxa"/>
            <w:vAlign w:val="bottom"/>
            <w:tcBorders>
              <w:bottom w:val="single" w:sz="8" w:color="CCEEFF"/>
            </w:tcBorders>
            <w:gridSpan w:val="3"/>
            <w:vMerge w:val="continue"/>
            <w:shd w:val="clear" w:color="auto" w:fill="CCEEFF"/>
          </w:tcPr>
          <w:p>
            <w:pPr>
              <w:spacing w:after="0"/>
              <w:rPr>
                <w:sz w:val="17"/>
                <w:szCs w:val="17"/>
                <w:color w:val="auto"/>
              </w:rPr>
            </w:pPr>
          </w:p>
        </w:tc>
        <w:tc>
          <w:tcPr>
            <w:tcW w:w="240" w:type="dxa"/>
            <w:vAlign w:val="bottom"/>
            <w:tcBorders>
              <w:bottom w:val="single" w:sz="8" w:color="auto"/>
            </w:tcBorders>
            <w:vMerge w:val="continue"/>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vMerge w:val="continue"/>
            <w:shd w:val="clear" w:color="auto" w:fill="CCEEFF"/>
          </w:tcPr>
          <w:p>
            <w:pPr>
              <w:spacing w:after="0"/>
              <w:rPr>
                <w:sz w:val="17"/>
                <w:szCs w:val="17"/>
                <w:color w:val="auto"/>
              </w:rPr>
            </w:pPr>
          </w:p>
        </w:tc>
        <w:tc>
          <w:tcPr>
            <w:tcW w:w="82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6" w:lineRule="exact"/>
        <w:rPr>
          <w:sz w:val="20"/>
          <w:szCs w:val="20"/>
          <w:color w:val="auto"/>
        </w:rPr>
      </w:pPr>
    </w:p>
    <w:p>
      <w:pPr>
        <w:ind w:right="60" w:firstLine="620"/>
        <w:spacing w:after="0" w:line="268" w:lineRule="auto"/>
        <w:rPr>
          <w:sz w:val="20"/>
          <w:szCs w:val="20"/>
          <w:color w:val="auto"/>
        </w:rPr>
      </w:pPr>
      <w:r>
        <w:rPr>
          <w:rFonts w:ascii="Arial" w:cs="Arial" w:eastAsia="Arial" w:hAnsi="Arial"/>
          <w:sz w:val="17"/>
          <w:szCs w:val="17"/>
          <w:color w:val="auto"/>
        </w:rPr>
        <w:t>As of September 30, 2021, we expect approximately $0.7 million of the deferred gains on the outstanding derivatives in accumulated other comprehensive income to be reclassified to net income during the next three months concurrent with the underlying hedged transactions also being reported in net income.</w:t>
      </w:r>
    </w:p>
    <w:p>
      <w:pPr>
        <w:spacing w:after="0" w:line="192"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Note 8:</w:t>
      </w:r>
      <w:r>
        <w:rPr>
          <w:sz w:val="20"/>
          <w:szCs w:val="20"/>
          <w:color w:val="auto"/>
        </w:rPr>
        <w:tab/>
      </w:r>
      <w:r>
        <w:rPr>
          <w:rFonts w:ascii="Arial" w:cs="Arial" w:eastAsia="Arial" w:hAnsi="Arial"/>
          <w:sz w:val="15"/>
          <w:szCs w:val="15"/>
          <w:b w:val="1"/>
          <w:bCs w:val="1"/>
          <w:color w:val="auto"/>
        </w:rPr>
        <w:t>Fair Value Measurement</w:t>
      </w:r>
    </w:p>
    <w:p>
      <w:pPr>
        <w:spacing w:after="0" w:line="224" w:lineRule="exact"/>
        <w:rPr>
          <w:sz w:val="20"/>
          <w:szCs w:val="20"/>
          <w:color w:val="auto"/>
        </w:rPr>
      </w:pPr>
    </w:p>
    <w:p>
      <w:pPr>
        <w:ind w:right="400" w:firstLine="172"/>
        <w:spacing w:after="0" w:line="283" w:lineRule="auto"/>
        <w:rPr>
          <w:sz w:val="20"/>
          <w:szCs w:val="20"/>
          <w:color w:val="auto"/>
        </w:rPr>
      </w:pPr>
      <w:r>
        <w:rPr>
          <w:rFonts w:ascii="Arial" w:cs="Arial" w:eastAsia="Arial" w:hAnsi="Arial"/>
          <w:sz w:val="17"/>
          <w:szCs w:val="17"/>
          <w:color w:val="auto"/>
        </w:rPr>
        <w:t>Fair value is the price that would be received from selling an asset or paid to transfer a liability in an orderly transaction between market participants at the measurement date. There are three levels of inputs that may be used to measure fair value:</w:t>
      </w:r>
    </w:p>
    <w:p>
      <w:pPr>
        <w:spacing w:after="0" w:line="185" w:lineRule="exact"/>
        <w:rPr>
          <w:sz w:val="20"/>
          <w:szCs w:val="20"/>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Level 1: quoted prices in active markets for identical assets or liabilities;</w:t>
      </w:r>
    </w:p>
    <w:p>
      <w:pPr>
        <w:spacing w:after="0" w:line="23" w:lineRule="exact"/>
        <w:rPr>
          <w:rFonts w:ascii="Arial" w:cs="Arial" w:eastAsia="Arial" w:hAnsi="Arial"/>
          <w:sz w:val="17"/>
          <w:szCs w:val="17"/>
          <w:color w:val="auto"/>
        </w:rPr>
      </w:pPr>
    </w:p>
    <w:p>
      <w:pPr>
        <w:ind w:left="620" w:right="120" w:hanging="307"/>
        <w:spacing w:after="0" w:line="253" w:lineRule="auto"/>
        <w:tabs>
          <w:tab w:leader="none" w:pos="616" w:val="left"/>
        </w:tabs>
        <w:numPr>
          <w:ilvl w:val="0"/>
          <w:numId w:val="4"/>
        </w:numPr>
        <w:rPr>
          <w:rFonts w:ascii="Arial" w:cs="Arial" w:eastAsia="Arial" w:hAnsi="Arial"/>
          <w:sz w:val="17"/>
          <w:szCs w:val="17"/>
          <w:color w:val="auto"/>
        </w:rPr>
      </w:pPr>
      <w:r>
        <w:rPr>
          <w:rFonts w:ascii="Arial" w:cs="Arial" w:eastAsia="Arial" w:hAnsi="Arial"/>
          <w:sz w:val="17"/>
          <w:szCs w:val="17"/>
          <w:color w:val="auto"/>
        </w:rPr>
        <w:t>Level 2: inputs other than Level 1 that are observable, either directly or indirectly, such as quoted prices in active markets for similar assets or liabilities, quoted prices for identical or similar assets or liabilities in markets that are not active, or other inputs that are observable or can be corroborated by observable market data for substantially the full term of the assets or liabilities; or</w:t>
      </w:r>
    </w:p>
    <w:p>
      <w:pPr>
        <w:spacing w:after="0" w:line="2" w:lineRule="exact"/>
        <w:rPr>
          <w:rFonts w:ascii="Arial" w:cs="Arial" w:eastAsia="Arial" w:hAnsi="Arial"/>
          <w:sz w:val="17"/>
          <w:szCs w:val="17"/>
          <w:color w:val="auto"/>
        </w:rPr>
      </w:pPr>
    </w:p>
    <w:p>
      <w:pPr>
        <w:ind w:left="620" w:hanging="307"/>
        <w:spacing w:after="0"/>
        <w:tabs>
          <w:tab w:leader="none" w:pos="620" w:val="left"/>
        </w:tabs>
        <w:numPr>
          <w:ilvl w:val="0"/>
          <w:numId w:val="4"/>
        </w:numPr>
        <w:rPr>
          <w:rFonts w:ascii="Arial" w:cs="Arial" w:eastAsia="Arial" w:hAnsi="Arial"/>
          <w:sz w:val="16"/>
          <w:szCs w:val="16"/>
          <w:color w:val="auto"/>
        </w:rPr>
      </w:pPr>
      <w:r>
        <w:rPr>
          <w:rFonts w:ascii="Arial" w:cs="Arial" w:eastAsia="Arial" w:hAnsi="Arial"/>
          <w:sz w:val="16"/>
          <w:szCs w:val="16"/>
          <w:color w:val="auto"/>
        </w:rPr>
        <w:t>Level 3: unobservable inputs that are supported by little or no market activity and that are significant to the fair values of the assets or liabilities.</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Earn-out Liability</w:t>
      </w:r>
    </w:p>
    <w:p>
      <w:pPr>
        <w:spacing w:after="0" w:line="244" w:lineRule="exact"/>
        <w:rPr>
          <w:sz w:val="20"/>
          <w:szCs w:val="20"/>
          <w:color w:val="auto"/>
        </w:rPr>
      </w:pPr>
    </w:p>
    <w:p>
      <w:pPr>
        <w:ind w:firstLine="620"/>
        <w:spacing w:after="0" w:line="258" w:lineRule="auto"/>
        <w:rPr>
          <w:sz w:val="20"/>
          <w:szCs w:val="20"/>
          <w:color w:val="auto"/>
        </w:rPr>
      </w:pPr>
      <w:r>
        <w:rPr>
          <w:rFonts w:ascii="Arial" w:cs="Arial" w:eastAsia="Arial" w:hAnsi="Arial"/>
          <w:sz w:val="17"/>
          <w:szCs w:val="17"/>
          <w:color w:val="auto"/>
        </w:rPr>
        <w:t>In August 2021, we entered into an agreement with one of our international distributors whereby that distributor would not compete with us in a specific territory for a three-year period that will end in September 2024. The terms of the agreement include a contingent earn-out payment. The contingent earn-out payment shall not exceed $6.0 million, which will be earned based on certain revenue targets over a twelve-month measurement period determined by the highest four consecutive quarters commencing over a two-year period starting on the closing date of the agreement and provided that the distributor is in compliance with its obligations under the agreement. As of September 30, 2021, the fair value of the contingent earn-out is estimated at $3.1 million. The estimated fair value of the contingent earn-out was calculated using a probability-weighted cash flow model based on historical revenue streams and the likelihood that the revenue targets will be met.</w:t>
      </w:r>
    </w:p>
    <w:p>
      <w:pPr>
        <w:spacing w:after="0" w:line="209" w:lineRule="exact"/>
        <w:rPr>
          <w:sz w:val="20"/>
          <w:szCs w:val="20"/>
          <w:color w:val="auto"/>
        </w:rPr>
      </w:pPr>
    </w:p>
    <w:p>
      <w:pPr>
        <w:ind w:firstLine="172"/>
        <w:spacing w:after="0" w:line="257" w:lineRule="auto"/>
        <w:rPr>
          <w:sz w:val="20"/>
          <w:szCs w:val="20"/>
          <w:color w:val="auto"/>
        </w:rPr>
      </w:pPr>
      <w:r>
        <w:rPr>
          <w:rFonts w:ascii="Arial" w:cs="Arial" w:eastAsia="Arial" w:hAnsi="Arial"/>
          <w:sz w:val="16"/>
          <w:szCs w:val="16"/>
          <w:color w:val="auto"/>
        </w:rPr>
        <w:t>In the fourth quarter of 2019, we recognized an earn-out liability related to the acquisition of Pursuit Vascular, Inc. ("Pursuit"). Pursuit's former equity holders were entitled up to $50.0 million in additional cash consideration contingent upon the achievement of certain sales and gross profit targets for specific customers. The earn-out was calculated as a percentage of gross profit achieved during the earn-out period against a pre-determined target gross profit, not to exceed $50.0 million. During the earn-out period, we used a Monte Carlo simulation model to determine the fair value of the earn-out liability. The Monte Carlo simulation model utilized multiple input variables to determine the value of the earn-out liability including historical volatility, a risk free interest rate, counter party credit risk and projected future gross profit (see the simulation input table below related to Pursuit). The historical volatility was based on the median of ICU and a certain peer group. The risk-free interest rate was equal to the yield, as of the valuation date, of the zero-coupon U.S. Treasury bill that was commensurate with the term of the earn-out. The counter party credit risk was based on a synthetic credit rating of B1. As of June 30, 2021, the earn-out measurement period ended. Based on the actual sales and gross profit achieved during the measurement period, we calculated the actual earn-out amount to be $26.3 million. The $26.3 million earn-out calculation was finalized and accepted by</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7"/>
          <w:szCs w:val="17"/>
          <w:b w:val="1"/>
          <w:bCs w:val="1"/>
          <w:color w:val="auto"/>
        </w:rPr>
        <w:t>ICU MEDICAL, INC. AND SUBSIDIARIES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00" w:lineRule="exact"/>
        <w:rPr>
          <w:sz w:val="20"/>
          <w:szCs w:val="20"/>
          <w:color w:val="auto"/>
        </w:rPr>
      </w:pPr>
    </w:p>
    <w:p>
      <w:pPr>
        <w:spacing w:after="0" w:line="315" w:lineRule="exact"/>
        <w:rPr>
          <w:sz w:val="20"/>
          <w:szCs w:val="20"/>
          <w:color w:val="auto"/>
        </w:rPr>
      </w:pPr>
    </w:p>
    <w:p>
      <w:pPr>
        <w:ind w:right="200"/>
        <w:spacing w:after="0" w:line="267" w:lineRule="auto"/>
        <w:rPr>
          <w:sz w:val="20"/>
          <w:szCs w:val="20"/>
          <w:color w:val="auto"/>
        </w:rPr>
      </w:pPr>
      <w:r>
        <w:rPr>
          <w:rFonts w:ascii="Arial" w:cs="Arial" w:eastAsia="Arial" w:hAnsi="Arial"/>
          <w:sz w:val="17"/>
          <w:szCs w:val="17"/>
          <w:color w:val="auto"/>
        </w:rPr>
        <w:t>Pursuit's former equity holders and was paid out in October 2021. The Pursuit earn-out liability was transferred out of Level 3 and into Level 2 as the amount of the actual payment in known.</w:t>
      </w:r>
    </w:p>
    <w:p>
      <w:pPr>
        <w:spacing w:after="0" w:line="18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Our contingent earn-out liabilities are separately stated in our condensed consolidated balance sheets.</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tables provide a reconciliation of the Level 3 earn-out liabilities measured at estimated fair value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90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jc w:val="right"/>
              <w:ind w:right="415"/>
              <w:spacing w:after="0"/>
              <w:rPr>
                <w:sz w:val="20"/>
                <w:szCs w:val="20"/>
                <w:color w:val="auto"/>
              </w:rPr>
            </w:pPr>
            <w:r>
              <w:rPr>
                <w:rFonts w:ascii="Arial" w:cs="Arial" w:eastAsia="Arial" w:hAnsi="Arial"/>
                <w:sz w:val="16"/>
                <w:szCs w:val="16"/>
                <w:b w:val="1"/>
                <w:bCs w:val="1"/>
                <w:color w:val="auto"/>
              </w:rPr>
              <w:t>Earn-out Liability</w:t>
            </w:r>
          </w:p>
        </w:tc>
      </w:tr>
      <w:tr>
        <w:trPr>
          <w:trHeight w:val="215"/>
        </w:trPr>
        <w:tc>
          <w:tcPr>
            <w:tcW w:w="90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Accrued balance, January 1, 2021</w:t>
            </w:r>
          </w:p>
        </w:tc>
        <w:tc>
          <w:tcPr>
            <w:tcW w:w="3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26,300</w:t>
            </w:r>
          </w:p>
        </w:tc>
      </w:tr>
      <w:tr>
        <w:trPr>
          <w:trHeight w:val="220"/>
        </w:trPr>
        <w:tc>
          <w:tcPr>
            <w:tcW w:w="900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Change in fair value of earn-out (included in income from operations as a separate line item)</w:t>
            </w:r>
          </w:p>
        </w:tc>
        <w:tc>
          <w:tcPr>
            <w:tcW w:w="3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13"/>
        </w:trPr>
        <w:tc>
          <w:tcPr>
            <w:tcW w:w="90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Accrued balance, March 31, 2021</w:t>
            </w:r>
          </w:p>
        </w:tc>
        <w:tc>
          <w:tcPr>
            <w:tcW w:w="3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26,300</w:t>
            </w:r>
          </w:p>
        </w:tc>
      </w:tr>
      <w:tr>
        <w:trPr>
          <w:trHeight w:val="220"/>
        </w:trPr>
        <w:tc>
          <w:tcPr>
            <w:tcW w:w="900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Change in fair value of earn-out (included in income from operations as a separate line item)</w:t>
            </w:r>
          </w:p>
        </w:tc>
        <w:tc>
          <w:tcPr>
            <w:tcW w:w="3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13"/>
        </w:trPr>
        <w:tc>
          <w:tcPr>
            <w:tcW w:w="90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Accrued balance, June 30, 2021</w:t>
            </w:r>
          </w:p>
        </w:tc>
        <w:tc>
          <w:tcPr>
            <w:tcW w:w="3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26,300</w:t>
            </w:r>
          </w:p>
        </w:tc>
      </w:tr>
      <w:tr>
        <w:trPr>
          <w:trHeight w:val="220"/>
        </w:trPr>
        <w:tc>
          <w:tcPr>
            <w:tcW w:w="9000" w:type="dxa"/>
            <w:vAlign w:val="bottom"/>
          </w:tcPr>
          <w:p>
            <w:pPr>
              <w:ind w:left="140"/>
              <w:spacing w:after="0"/>
              <w:rPr>
                <w:sz w:val="20"/>
                <w:szCs w:val="20"/>
                <w:color w:val="auto"/>
              </w:rPr>
            </w:pPr>
            <w:r>
              <w:rPr>
                <w:rFonts w:ascii="Arial" w:cs="Arial" w:eastAsia="Arial" w:hAnsi="Arial"/>
                <w:sz w:val="17"/>
                <w:szCs w:val="17"/>
                <w:color w:val="auto"/>
              </w:rPr>
              <w:t>Contingent earn-out - non-compete arrangement</w:t>
            </w:r>
          </w:p>
        </w:tc>
        <w:tc>
          <w:tcPr>
            <w:tcW w:w="3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7"/>
                <w:szCs w:val="17"/>
                <w:color w:val="auto"/>
              </w:rPr>
              <w:t>3,100</w:t>
            </w:r>
          </w:p>
        </w:tc>
      </w:tr>
      <w:tr>
        <w:trPr>
          <w:trHeight w:val="220"/>
        </w:trPr>
        <w:tc>
          <w:tcPr>
            <w:tcW w:w="90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Transfer of Pursuit earn-out liability into Level 2</w:t>
            </w:r>
          </w:p>
        </w:tc>
        <w:tc>
          <w:tcPr>
            <w:tcW w:w="32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(26,300)</w:t>
            </w:r>
          </w:p>
        </w:tc>
      </w:tr>
      <w:tr>
        <w:trPr>
          <w:trHeight w:val="213"/>
        </w:trPr>
        <w:tc>
          <w:tcPr>
            <w:tcW w:w="9000" w:type="dxa"/>
            <w:vAlign w:val="bottom"/>
          </w:tcPr>
          <w:p>
            <w:pPr>
              <w:ind w:left="20"/>
              <w:spacing w:after="0"/>
              <w:rPr>
                <w:sz w:val="20"/>
                <w:szCs w:val="20"/>
                <w:color w:val="auto"/>
              </w:rPr>
            </w:pPr>
            <w:r>
              <w:rPr>
                <w:rFonts w:ascii="Arial" w:cs="Arial" w:eastAsia="Arial" w:hAnsi="Arial"/>
                <w:sz w:val="17"/>
                <w:szCs w:val="17"/>
                <w:b w:val="1"/>
                <w:bCs w:val="1"/>
                <w:color w:val="auto"/>
              </w:rPr>
              <w:t>Accrued balance, September 30, 2021</w:t>
            </w:r>
          </w:p>
        </w:tc>
        <w:tc>
          <w:tcPr>
            <w:tcW w:w="3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3,100</w:t>
            </w:r>
          </w:p>
        </w:tc>
      </w:tr>
      <w:tr>
        <w:trPr>
          <w:trHeight w:val="20"/>
        </w:trPr>
        <w:tc>
          <w:tcPr>
            <w:tcW w:w="9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r>
        <w:trPr>
          <w:trHeight w:val="532"/>
        </w:trPr>
        <w:tc>
          <w:tcPr>
            <w:tcW w:w="90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jc w:val="right"/>
              <w:ind w:right="415"/>
              <w:spacing w:after="0"/>
              <w:rPr>
                <w:sz w:val="20"/>
                <w:szCs w:val="20"/>
                <w:color w:val="auto"/>
              </w:rPr>
            </w:pPr>
            <w:r>
              <w:rPr>
                <w:rFonts w:ascii="Arial" w:cs="Arial" w:eastAsia="Arial" w:hAnsi="Arial"/>
                <w:sz w:val="16"/>
                <w:szCs w:val="16"/>
                <w:b w:val="1"/>
                <w:bCs w:val="1"/>
                <w:color w:val="auto"/>
              </w:rPr>
              <w:t>Earn-out Liability</w:t>
            </w:r>
          </w:p>
        </w:tc>
      </w:tr>
      <w:tr>
        <w:trPr>
          <w:trHeight w:val="215"/>
        </w:trPr>
        <w:tc>
          <w:tcPr>
            <w:tcW w:w="90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Accrued balance, January 1, 2020</w:t>
            </w:r>
          </w:p>
        </w:tc>
        <w:tc>
          <w:tcPr>
            <w:tcW w:w="3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17,300</w:t>
            </w:r>
          </w:p>
        </w:tc>
      </w:tr>
      <w:tr>
        <w:trPr>
          <w:trHeight w:val="220"/>
        </w:trPr>
        <w:tc>
          <w:tcPr>
            <w:tcW w:w="900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Change in fair value of earn-out (included in income from operations as a separate line item)</w:t>
            </w:r>
          </w:p>
        </w:tc>
        <w:tc>
          <w:tcPr>
            <w:tcW w:w="3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13"/>
        </w:trPr>
        <w:tc>
          <w:tcPr>
            <w:tcW w:w="90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Accrued balance, March 31, 2020</w:t>
            </w:r>
          </w:p>
        </w:tc>
        <w:tc>
          <w:tcPr>
            <w:tcW w:w="3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17,300</w:t>
            </w:r>
          </w:p>
        </w:tc>
      </w:tr>
      <w:tr>
        <w:trPr>
          <w:trHeight w:val="220"/>
        </w:trPr>
        <w:tc>
          <w:tcPr>
            <w:tcW w:w="900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Change in fair value of earn-out (included in income from operations as a separate line item)</w:t>
            </w:r>
          </w:p>
        </w:tc>
        <w:tc>
          <w:tcPr>
            <w:tcW w:w="3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2,700</w:t>
            </w:r>
          </w:p>
        </w:tc>
      </w:tr>
      <w:tr>
        <w:trPr>
          <w:trHeight w:val="213"/>
        </w:trPr>
        <w:tc>
          <w:tcPr>
            <w:tcW w:w="90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Accrued balance, June 30, 2020</w:t>
            </w:r>
          </w:p>
        </w:tc>
        <w:tc>
          <w:tcPr>
            <w:tcW w:w="3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20,000</w:t>
            </w:r>
          </w:p>
        </w:tc>
      </w:tr>
      <w:tr>
        <w:trPr>
          <w:trHeight w:val="220"/>
        </w:trPr>
        <w:tc>
          <w:tcPr>
            <w:tcW w:w="900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Change in fair value of earn-out (included in income from operations as a separate line item)</w:t>
            </w:r>
          </w:p>
        </w:tc>
        <w:tc>
          <w:tcPr>
            <w:tcW w:w="3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4,300</w:t>
            </w:r>
          </w:p>
        </w:tc>
      </w:tr>
      <w:tr>
        <w:trPr>
          <w:trHeight w:val="238"/>
        </w:trPr>
        <w:tc>
          <w:tcPr>
            <w:tcW w:w="9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Accrued balance, September 30, 2020</w:t>
            </w:r>
          </w:p>
        </w:tc>
        <w:tc>
          <w:tcPr>
            <w:tcW w:w="3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24,300</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7" w:lineRule="exact"/>
        <w:rPr>
          <w:sz w:val="20"/>
          <w:szCs w:val="20"/>
          <w:color w:val="auto"/>
        </w:rPr>
      </w:pPr>
    </w:p>
    <w:p>
      <w:pPr>
        <w:ind w:right="880" w:firstLine="169"/>
        <w:spacing w:after="0" w:line="283" w:lineRule="auto"/>
        <w:rPr>
          <w:sz w:val="20"/>
          <w:szCs w:val="20"/>
          <w:color w:val="auto"/>
        </w:rPr>
      </w:pPr>
      <w:r>
        <w:rPr>
          <w:rFonts w:ascii="Arial" w:cs="Arial" w:eastAsia="Arial" w:hAnsi="Arial"/>
          <w:sz w:val="17"/>
          <w:szCs w:val="17"/>
          <w:color w:val="auto"/>
        </w:rPr>
        <w:t>The following tables provide quantitative information about Level 3 inputs for fair value measurement of our earn-out liabilities during the earn-out measurement period:</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Pursuit Earn-out</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Simulation Input</w:t>
            </w:r>
          </w:p>
        </w:tc>
        <w:tc>
          <w:tcPr>
            <w:tcW w:w="100" w:type="dxa"/>
            <w:vAlign w:val="bottom"/>
            <w:vMerge w:val="restart"/>
          </w:tcPr>
          <w:p>
            <w:pPr>
              <w:spacing w:after="0"/>
              <w:rPr>
                <w:sz w:val="16"/>
                <w:szCs w:val="16"/>
                <w:color w:val="auto"/>
              </w:rPr>
            </w:pPr>
          </w:p>
        </w:tc>
        <w:tc>
          <w:tcPr>
            <w:tcW w:w="2400" w:type="dxa"/>
            <w:vAlign w:val="bottom"/>
            <w:gridSpan w:val="2"/>
          </w:tcPr>
          <w:p>
            <w:pPr>
              <w:ind w:left="960"/>
              <w:spacing w:after="0"/>
              <w:rPr>
                <w:sz w:val="20"/>
                <w:szCs w:val="20"/>
                <w:color w:val="auto"/>
              </w:rPr>
            </w:pPr>
            <w:r>
              <w:rPr>
                <w:rFonts w:ascii="Arial" w:cs="Arial" w:eastAsia="Arial" w:hAnsi="Arial"/>
                <w:sz w:val="16"/>
                <w:szCs w:val="16"/>
                <w:b w:val="1"/>
                <w:bCs w:val="1"/>
                <w:color w:val="auto"/>
              </w:rPr>
              <w:t>As of</w:t>
            </w:r>
          </w:p>
        </w:tc>
        <w:tc>
          <w:tcPr>
            <w:tcW w:w="2320" w:type="dxa"/>
            <w:vAlign w:val="bottom"/>
          </w:tcPr>
          <w:p>
            <w:pPr>
              <w:jc w:val="right"/>
              <w:ind w:right="922"/>
              <w:spacing w:after="0"/>
              <w:rPr>
                <w:sz w:val="20"/>
                <w:szCs w:val="20"/>
                <w:color w:val="auto"/>
              </w:rPr>
            </w:pPr>
            <w:r>
              <w:rPr>
                <w:rFonts w:ascii="Arial" w:cs="Arial" w:eastAsia="Arial" w:hAnsi="Arial"/>
                <w:sz w:val="16"/>
                <w:szCs w:val="16"/>
                <w:b w:val="1"/>
                <w:bCs w:val="1"/>
                <w:color w:val="auto"/>
              </w:rPr>
              <w:t>As of</w:t>
            </w:r>
          </w:p>
        </w:tc>
        <w:tc>
          <w:tcPr>
            <w:tcW w:w="0" w:type="dxa"/>
            <w:vAlign w:val="bottom"/>
          </w:tcPr>
          <w:p>
            <w:pPr>
              <w:spacing w:after="0"/>
              <w:rPr>
                <w:sz w:val="1"/>
                <w:szCs w:val="1"/>
                <w:color w:val="auto"/>
              </w:rPr>
            </w:pPr>
          </w:p>
        </w:tc>
      </w:tr>
      <w:tr>
        <w:trPr>
          <w:trHeight w:val="204"/>
        </w:trPr>
        <w:tc>
          <w:tcPr>
            <w:tcW w:w="64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2300" w:type="dxa"/>
            <w:vAlign w:val="bottom"/>
            <w:tcBorders>
              <w:bottom w:val="single" w:sz="8" w:color="auto"/>
            </w:tcBorders>
          </w:tcPr>
          <w:p>
            <w:pPr>
              <w:jc w:val="right"/>
              <w:ind w:right="442"/>
              <w:spacing w:after="0"/>
              <w:rPr>
                <w:sz w:val="20"/>
                <w:szCs w:val="20"/>
                <w:color w:val="auto"/>
              </w:rPr>
            </w:pPr>
            <w:r>
              <w:rPr>
                <w:rFonts w:ascii="Arial" w:cs="Arial" w:eastAsia="Arial" w:hAnsi="Arial"/>
                <w:sz w:val="16"/>
                <w:szCs w:val="16"/>
                <w:b w:val="1"/>
                <w:bCs w:val="1"/>
                <w:color w:val="auto"/>
              </w:rPr>
              <w:t>December 31, 2020</w:t>
            </w:r>
          </w:p>
        </w:tc>
        <w:tc>
          <w:tcPr>
            <w:tcW w:w="100" w:type="dxa"/>
            <w:vAlign w:val="bottom"/>
            <w:tcBorders>
              <w:bottom w:val="single" w:sz="8" w:color="CCEEFF"/>
            </w:tcBorders>
          </w:tcPr>
          <w:p>
            <w:pPr>
              <w:spacing w:after="0"/>
              <w:rPr>
                <w:sz w:val="17"/>
                <w:szCs w:val="17"/>
                <w:color w:val="auto"/>
              </w:rPr>
            </w:pPr>
          </w:p>
        </w:tc>
        <w:tc>
          <w:tcPr>
            <w:tcW w:w="2320" w:type="dxa"/>
            <w:vAlign w:val="bottom"/>
            <w:tcBorders>
              <w:bottom w:val="single" w:sz="8" w:color="auto"/>
            </w:tcBorders>
          </w:tcPr>
          <w:p>
            <w:pPr>
              <w:jc w:val="right"/>
              <w:ind w:right="422"/>
              <w:spacing w:after="0"/>
              <w:rPr>
                <w:sz w:val="20"/>
                <w:szCs w:val="20"/>
                <w:color w:val="auto"/>
              </w:rPr>
            </w:pPr>
            <w:r>
              <w:rPr>
                <w:rFonts w:ascii="Arial" w:cs="Arial" w:eastAsia="Arial" w:hAnsi="Arial"/>
                <w:sz w:val="16"/>
                <w:szCs w:val="16"/>
                <w:b w:val="1"/>
                <w:bCs w:val="1"/>
                <w:color w:val="auto"/>
              </w:rPr>
              <w:t>September 30, 2020</w:t>
            </w:r>
          </w:p>
        </w:tc>
        <w:tc>
          <w:tcPr>
            <w:tcW w:w="0" w:type="dxa"/>
            <w:vAlign w:val="bottom"/>
          </w:tcPr>
          <w:p>
            <w:pPr>
              <w:spacing w:after="0"/>
              <w:rPr>
                <w:sz w:val="1"/>
                <w:szCs w:val="1"/>
                <w:color w:val="auto"/>
              </w:rPr>
            </w:pPr>
          </w:p>
        </w:tc>
      </w:tr>
      <w:tr>
        <w:trPr>
          <w:trHeight w:val="202"/>
        </w:trPr>
        <w:tc>
          <w:tcPr>
            <w:tcW w:w="6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Revenue/Gross Profit Volatility</w:t>
            </w:r>
          </w:p>
        </w:tc>
        <w:tc>
          <w:tcPr>
            <w:tcW w:w="2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25.00 %</w:t>
            </w:r>
          </w:p>
        </w:tc>
        <w:tc>
          <w:tcPr>
            <w:tcW w:w="100" w:type="dxa"/>
            <w:vAlign w:val="bottom"/>
            <w:shd w:val="clear" w:color="auto" w:fill="CCEEFF"/>
          </w:tcPr>
          <w:p>
            <w:pPr>
              <w:spacing w:after="0"/>
              <w:rPr>
                <w:sz w:val="17"/>
                <w:szCs w:val="17"/>
                <w:color w:val="auto"/>
              </w:rPr>
            </w:pPr>
          </w:p>
        </w:tc>
        <w:tc>
          <w:tcPr>
            <w:tcW w:w="2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35.00 %</w:t>
            </w:r>
          </w:p>
        </w:tc>
        <w:tc>
          <w:tcPr>
            <w:tcW w:w="0" w:type="dxa"/>
            <w:vAlign w:val="bottom"/>
          </w:tcPr>
          <w:p>
            <w:pPr>
              <w:spacing w:after="0"/>
              <w:rPr>
                <w:sz w:val="1"/>
                <w:szCs w:val="1"/>
                <w:color w:val="auto"/>
              </w:rPr>
            </w:pPr>
          </w:p>
        </w:tc>
      </w:tr>
      <w:tr>
        <w:trPr>
          <w:trHeight w:val="204"/>
        </w:trPr>
        <w:tc>
          <w:tcPr>
            <w:tcW w:w="6520" w:type="dxa"/>
            <w:vAlign w:val="bottom"/>
            <w:gridSpan w:val="2"/>
          </w:tcPr>
          <w:p>
            <w:pPr>
              <w:ind w:left="20"/>
              <w:spacing w:after="0"/>
              <w:rPr>
                <w:sz w:val="20"/>
                <w:szCs w:val="20"/>
                <w:color w:val="auto"/>
              </w:rPr>
            </w:pPr>
            <w:r>
              <w:rPr>
                <w:rFonts w:ascii="Arial" w:cs="Arial" w:eastAsia="Arial" w:hAnsi="Arial"/>
                <w:sz w:val="16"/>
                <w:szCs w:val="16"/>
                <w:color w:val="auto"/>
              </w:rPr>
              <w:t>Discount Rate</w:t>
            </w:r>
          </w:p>
        </w:tc>
        <w:tc>
          <w:tcPr>
            <w:tcW w:w="2300" w:type="dxa"/>
            <w:vAlign w:val="bottom"/>
          </w:tcPr>
          <w:p>
            <w:pPr>
              <w:jc w:val="right"/>
              <w:spacing w:after="0"/>
              <w:rPr>
                <w:sz w:val="20"/>
                <w:szCs w:val="20"/>
                <w:color w:val="auto"/>
              </w:rPr>
            </w:pPr>
            <w:r>
              <w:rPr>
                <w:rFonts w:ascii="Arial" w:cs="Arial" w:eastAsia="Arial" w:hAnsi="Arial"/>
                <w:sz w:val="16"/>
                <w:szCs w:val="16"/>
                <w:color w:val="auto"/>
              </w:rPr>
              <w:t>12.50 %</w:t>
            </w:r>
          </w:p>
        </w:tc>
        <w:tc>
          <w:tcPr>
            <w:tcW w:w="100" w:type="dxa"/>
            <w:vAlign w:val="bottom"/>
          </w:tcPr>
          <w:p>
            <w:pPr>
              <w:spacing w:after="0"/>
              <w:rPr>
                <w:sz w:val="17"/>
                <w:szCs w:val="17"/>
                <w:color w:val="auto"/>
              </w:rPr>
            </w:pPr>
          </w:p>
        </w:tc>
        <w:tc>
          <w:tcPr>
            <w:tcW w:w="2320" w:type="dxa"/>
            <w:vAlign w:val="bottom"/>
          </w:tcPr>
          <w:p>
            <w:pPr>
              <w:jc w:val="right"/>
              <w:spacing w:after="0"/>
              <w:rPr>
                <w:sz w:val="20"/>
                <w:szCs w:val="20"/>
                <w:color w:val="auto"/>
              </w:rPr>
            </w:pPr>
            <w:r>
              <w:rPr>
                <w:rFonts w:ascii="Arial" w:cs="Arial" w:eastAsia="Arial" w:hAnsi="Arial"/>
                <w:sz w:val="16"/>
                <w:szCs w:val="16"/>
                <w:color w:val="auto"/>
              </w:rPr>
              <w:t>12.50 %</w:t>
            </w:r>
          </w:p>
        </w:tc>
        <w:tc>
          <w:tcPr>
            <w:tcW w:w="0" w:type="dxa"/>
            <w:vAlign w:val="bottom"/>
          </w:tcPr>
          <w:p>
            <w:pPr>
              <w:spacing w:after="0"/>
              <w:rPr>
                <w:sz w:val="1"/>
                <w:szCs w:val="1"/>
                <w:color w:val="auto"/>
              </w:rPr>
            </w:pPr>
          </w:p>
        </w:tc>
      </w:tr>
      <w:tr>
        <w:trPr>
          <w:trHeight w:val="210"/>
        </w:trPr>
        <w:tc>
          <w:tcPr>
            <w:tcW w:w="6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Risk Free Rate</w:t>
            </w:r>
          </w:p>
        </w:tc>
        <w:tc>
          <w:tcPr>
            <w:tcW w:w="2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0.09 %</w:t>
            </w:r>
          </w:p>
        </w:tc>
        <w:tc>
          <w:tcPr>
            <w:tcW w:w="100" w:type="dxa"/>
            <w:vAlign w:val="bottom"/>
            <w:shd w:val="clear" w:color="auto" w:fill="CCEEFF"/>
          </w:tcPr>
          <w:p>
            <w:pPr>
              <w:spacing w:after="0"/>
              <w:rPr>
                <w:sz w:val="18"/>
                <w:szCs w:val="18"/>
                <w:color w:val="auto"/>
              </w:rPr>
            </w:pPr>
          </w:p>
        </w:tc>
        <w:tc>
          <w:tcPr>
            <w:tcW w:w="2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0.12 %</w:t>
            </w:r>
          </w:p>
        </w:tc>
        <w:tc>
          <w:tcPr>
            <w:tcW w:w="0" w:type="dxa"/>
            <w:vAlign w:val="bottom"/>
          </w:tcPr>
          <w:p>
            <w:pPr>
              <w:spacing w:after="0"/>
              <w:rPr>
                <w:sz w:val="1"/>
                <w:szCs w:val="1"/>
                <w:color w:val="auto"/>
              </w:rPr>
            </w:pPr>
          </w:p>
        </w:tc>
      </w:tr>
      <w:tr>
        <w:trPr>
          <w:trHeight w:val="201"/>
        </w:trPr>
        <w:tc>
          <w:tcPr>
            <w:tcW w:w="6520" w:type="dxa"/>
            <w:vAlign w:val="bottom"/>
            <w:gridSpan w:val="2"/>
          </w:tcPr>
          <w:p>
            <w:pPr>
              <w:ind w:left="20"/>
              <w:spacing w:after="0"/>
              <w:rPr>
                <w:sz w:val="20"/>
                <w:szCs w:val="20"/>
                <w:color w:val="auto"/>
              </w:rPr>
            </w:pPr>
            <w:r>
              <w:rPr>
                <w:rFonts w:ascii="Arial" w:cs="Arial" w:eastAsia="Arial" w:hAnsi="Arial"/>
                <w:sz w:val="16"/>
                <w:szCs w:val="16"/>
                <w:color w:val="auto"/>
              </w:rPr>
              <w:t>Counter Party Risk</w:t>
            </w:r>
          </w:p>
        </w:tc>
        <w:tc>
          <w:tcPr>
            <w:tcW w:w="2300" w:type="dxa"/>
            <w:vAlign w:val="bottom"/>
          </w:tcPr>
          <w:p>
            <w:pPr>
              <w:jc w:val="right"/>
              <w:spacing w:after="0"/>
              <w:rPr>
                <w:sz w:val="20"/>
                <w:szCs w:val="20"/>
                <w:color w:val="auto"/>
              </w:rPr>
            </w:pPr>
            <w:r>
              <w:rPr>
                <w:rFonts w:ascii="Arial" w:cs="Arial" w:eastAsia="Arial" w:hAnsi="Arial"/>
                <w:sz w:val="16"/>
                <w:szCs w:val="16"/>
                <w:color w:val="auto"/>
              </w:rPr>
              <w:t>3.10 %</w:t>
            </w:r>
          </w:p>
        </w:tc>
        <w:tc>
          <w:tcPr>
            <w:tcW w:w="100" w:type="dxa"/>
            <w:vAlign w:val="bottom"/>
          </w:tcPr>
          <w:p>
            <w:pPr>
              <w:spacing w:after="0"/>
              <w:rPr>
                <w:sz w:val="17"/>
                <w:szCs w:val="17"/>
                <w:color w:val="auto"/>
              </w:rPr>
            </w:pPr>
          </w:p>
        </w:tc>
        <w:tc>
          <w:tcPr>
            <w:tcW w:w="2320" w:type="dxa"/>
            <w:vAlign w:val="bottom"/>
          </w:tcPr>
          <w:p>
            <w:pPr>
              <w:jc w:val="right"/>
              <w:spacing w:after="0"/>
              <w:rPr>
                <w:sz w:val="20"/>
                <w:szCs w:val="20"/>
                <w:color w:val="auto"/>
              </w:rPr>
            </w:pPr>
            <w:r>
              <w:rPr>
                <w:rFonts w:ascii="Arial" w:cs="Arial" w:eastAsia="Arial" w:hAnsi="Arial"/>
                <w:sz w:val="16"/>
                <w:szCs w:val="16"/>
                <w:color w:val="auto"/>
              </w:rPr>
              <w:t>4.50 %</w:t>
            </w:r>
          </w:p>
        </w:tc>
        <w:tc>
          <w:tcPr>
            <w:tcW w:w="0" w:type="dxa"/>
            <w:vAlign w:val="bottom"/>
          </w:tcPr>
          <w:p>
            <w:pPr>
              <w:spacing w:after="0"/>
              <w:rPr>
                <w:sz w:val="1"/>
                <w:szCs w:val="1"/>
                <w:color w:val="auto"/>
              </w:rPr>
            </w:pPr>
          </w:p>
        </w:tc>
      </w:tr>
    </w:tbl>
    <w:p>
      <w:pPr>
        <w:spacing w:after="0" w:line="30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Investments and Foreign Currency Contracts</w:t>
      </w:r>
    </w:p>
    <w:p>
      <w:pPr>
        <w:spacing w:after="0" w:line="244" w:lineRule="exact"/>
        <w:rPr>
          <w:sz w:val="20"/>
          <w:szCs w:val="20"/>
          <w:color w:val="auto"/>
        </w:rPr>
      </w:pPr>
    </w:p>
    <w:p>
      <w:pPr>
        <w:ind w:right="380" w:firstLine="169"/>
        <w:spacing w:after="0" w:line="283" w:lineRule="auto"/>
        <w:rPr>
          <w:sz w:val="20"/>
          <w:szCs w:val="20"/>
          <w:color w:val="auto"/>
        </w:rPr>
      </w:pPr>
      <w:r>
        <w:rPr>
          <w:rFonts w:ascii="Arial" w:cs="Arial" w:eastAsia="Arial" w:hAnsi="Arial"/>
          <w:sz w:val="17"/>
          <w:szCs w:val="17"/>
          <w:color w:val="auto"/>
        </w:rPr>
        <w:t>The fair value of our investments is estimated using observable market-based inputs such as quoted prices, interest rates and yield curves or Level 2 inputs, which consisted of corporate bonds.</w:t>
      </w:r>
    </w:p>
    <w:p>
      <w:pPr>
        <w:spacing w:after="0" w:line="185" w:lineRule="exact"/>
        <w:rPr>
          <w:sz w:val="20"/>
          <w:szCs w:val="20"/>
          <w:color w:val="auto"/>
        </w:rPr>
      </w:pPr>
    </w:p>
    <w:p>
      <w:pPr>
        <w:ind w:right="80" w:firstLine="169"/>
        <w:spacing w:after="0" w:line="315" w:lineRule="auto"/>
        <w:rPr>
          <w:sz w:val="20"/>
          <w:szCs w:val="20"/>
          <w:color w:val="auto"/>
        </w:rPr>
      </w:pPr>
      <w:r>
        <w:rPr>
          <w:rFonts w:ascii="Arial" w:cs="Arial" w:eastAsia="Arial" w:hAnsi="Arial"/>
          <w:sz w:val="16"/>
          <w:szCs w:val="16"/>
          <w:color w:val="auto"/>
        </w:rPr>
        <w:t>The fair value of our Level 2 forward currency contracts are estimated using observable market inputs such as known notional value amounts, spot and forward exchange rates. These inputs relate to liquid, heavily traded currencies with active markets which are available for the full term of the derivative.</w:t>
      </w:r>
    </w:p>
    <w:p>
      <w:pPr>
        <w:spacing w:after="0" w:line="163" w:lineRule="exact"/>
        <w:rPr>
          <w:sz w:val="20"/>
          <w:szCs w:val="20"/>
          <w:color w:val="auto"/>
        </w:rPr>
      </w:pPr>
    </w:p>
    <w:p>
      <w:pPr>
        <w:ind w:left="620"/>
        <w:spacing w:after="0"/>
        <w:rPr>
          <w:sz w:val="20"/>
          <w:szCs w:val="20"/>
          <w:color w:val="auto"/>
        </w:rPr>
      </w:pPr>
      <w:r>
        <w:rPr>
          <w:rFonts w:ascii="Arial" w:cs="Arial" w:eastAsia="Arial" w:hAnsi="Arial"/>
          <w:sz w:val="15"/>
          <w:szCs w:val="15"/>
          <w:color w:val="auto"/>
        </w:rPr>
        <w:t>Our assets and liabilities measured at fair value on a recurring basis consisted of the following Level 1, 2 and 3 inputs as defined above (in thousands):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7"/>
          <w:szCs w:val="17"/>
          <w:b w:val="1"/>
          <w:bCs w:val="1"/>
          <w:color w:val="auto"/>
        </w:rPr>
        <w:t>ICU MEDICAL, INC. AND SUBSIDIARIES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5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3580" w:type="dxa"/>
            <w:vAlign w:val="bottom"/>
            <w:tcBorders>
              <w:bottom w:val="single" w:sz="8" w:color="auto"/>
            </w:tcBorders>
            <w:gridSpan w:val="14"/>
          </w:tcPr>
          <w:p>
            <w:pPr>
              <w:ind w:left="20"/>
              <w:spacing w:after="0"/>
              <w:rPr>
                <w:sz w:val="20"/>
                <w:szCs w:val="20"/>
                <w:color w:val="auto"/>
              </w:rPr>
            </w:pPr>
            <w:r>
              <w:rPr>
                <w:rFonts w:ascii="Arial" w:cs="Arial" w:eastAsia="Arial" w:hAnsi="Arial"/>
                <w:sz w:val="17"/>
                <w:szCs w:val="17"/>
                <w:b w:val="1"/>
                <w:bCs w:val="1"/>
                <w:color w:val="auto"/>
                <w:w w:val="91"/>
              </w:rPr>
              <w:t>Fair value measurements at September 30, 2021</w:t>
            </w: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4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gridSpan w:val="3"/>
          </w:tcPr>
          <w:p>
            <w:pPr>
              <w:jc w:val="center"/>
              <w:ind w:right="380"/>
              <w:spacing w:after="0" w:line="161" w:lineRule="exact"/>
              <w:rPr>
                <w:sz w:val="20"/>
                <w:szCs w:val="20"/>
                <w:color w:val="auto"/>
              </w:rPr>
            </w:pPr>
            <w:r>
              <w:rPr>
                <w:rFonts w:ascii="Arial" w:cs="Arial" w:eastAsia="Arial" w:hAnsi="Arial"/>
                <w:sz w:val="17"/>
                <w:szCs w:val="17"/>
                <w:b w:val="1"/>
                <w:bCs w:val="1"/>
                <w:color w:val="auto"/>
                <w:w w:val="89"/>
              </w:rPr>
              <w:t>Quoted prices</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gridSpan w:val="4"/>
            <w:vMerge w:val="restart"/>
          </w:tcPr>
          <w:p>
            <w:pPr>
              <w:jc w:val="center"/>
              <w:ind w:right="340"/>
              <w:spacing w:after="0"/>
              <w:rPr>
                <w:sz w:val="20"/>
                <w:szCs w:val="20"/>
                <w:color w:val="auto"/>
              </w:rPr>
            </w:pPr>
            <w:r>
              <w:rPr>
                <w:rFonts w:ascii="Arial" w:cs="Arial" w:eastAsia="Arial" w:hAnsi="Arial"/>
                <w:sz w:val="17"/>
                <w:szCs w:val="17"/>
                <w:b w:val="1"/>
                <w:bCs w:val="1"/>
                <w:color w:val="auto"/>
                <w:w w:val="91"/>
              </w:rPr>
              <w:t>Significant</w:t>
            </w:r>
          </w:p>
        </w:tc>
        <w:tc>
          <w:tcPr>
            <w:tcW w:w="1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3"/>
          </w:tcPr>
          <w:p>
            <w:pPr>
              <w:jc w:val="center"/>
              <w:ind w:right="380"/>
              <w:spacing w:after="0" w:line="168" w:lineRule="exact"/>
              <w:rPr>
                <w:sz w:val="20"/>
                <w:szCs w:val="20"/>
                <w:color w:val="auto"/>
              </w:rPr>
            </w:pPr>
            <w:r>
              <w:rPr>
                <w:rFonts w:ascii="Arial" w:cs="Arial" w:eastAsia="Arial" w:hAnsi="Arial"/>
                <w:sz w:val="17"/>
                <w:szCs w:val="17"/>
                <w:b w:val="1"/>
                <w:bCs w:val="1"/>
                <w:color w:val="auto"/>
                <w:w w:val="91"/>
              </w:rPr>
              <w:t>in active</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4"/>
            <w:vMerge w:val="continue"/>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vMerge w:val="restart"/>
          </w:tcPr>
          <w:p>
            <w:pPr>
              <w:jc w:val="center"/>
              <w:ind w:right="94"/>
              <w:spacing w:after="0"/>
              <w:rPr>
                <w:sz w:val="20"/>
                <w:szCs w:val="20"/>
                <w:color w:val="auto"/>
              </w:rPr>
            </w:pPr>
            <w:r>
              <w:rPr>
                <w:rFonts w:ascii="Arial" w:cs="Arial" w:eastAsia="Arial" w:hAnsi="Arial"/>
                <w:sz w:val="17"/>
                <w:szCs w:val="17"/>
                <w:b w:val="1"/>
                <w:bCs w:val="1"/>
                <w:color w:val="auto"/>
                <w:w w:val="91"/>
              </w:rPr>
              <w:t>Significant</w:t>
            </w:r>
          </w:p>
        </w:tc>
        <w:tc>
          <w:tcPr>
            <w:tcW w:w="0" w:type="dxa"/>
            <w:vAlign w:val="bottom"/>
          </w:tcPr>
          <w:p>
            <w:pPr>
              <w:spacing w:after="0"/>
              <w:rPr>
                <w:sz w:val="1"/>
                <w:szCs w:val="1"/>
                <w:color w:val="auto"/>
              </w:rPr>
            </w:pPr>
          </w:p>
        </w:tc>
      </w:tr>
      <w:tr>
        <w:trPr>
          <w:trHeight w:val="168"/>
        </w:trPr>
        <w:tc>
          <w:tcPr>
            <w:tcW w:w="4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vMerge w:val="restart"/>
          </w:tcPr>
          <w:p>
            <w:pPr>
              <w:jc w:val="right"/>
              <w:ind w:right="234"/>
              <w:spacing w:after="0"/>
              <w:rPr>
                <w:sz w:val="20"/>
                <w:szCs w:val="20"/>
                <w:color w:val="auto"/>
              </w:rPr>
            </w:pPr>
            <w:r>
              <w:rPr>
                <w:rFonts w:ascii="Arial" w:cs="Arial" w:eastAsia="Arial" w:hAnsi="Arial"/>
                <w:sz w:val="17"/>
                <w:szCs w:val="17"/>
                <w:b w:val="1"/>
                <w:bCs w:val="1"/>
                <w:color w:val="auto"/>
                <w:w w:val="94"/>
              </w:rPr>
              <w:t>Total carrying</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3"/>
          </w:tcPr>
          <w:p>
            <w:pPr>
              <w:jc w:val="center"/>
              <w:ind w:right="380"/>
              <w:spacing w:after="0" w:line="168" w:lineRule="exact"/>
              <w:rPr>
                <w:sz w:val="20"/>
                <w:szCs w:val="20"/>
                <w:color w:val="auto"/>
              </w:rPr>
            </w:pPr>
            <w:r>
              <w:rPr>
                <w:rFonts w:ascii="Arial" w:cs="Arial" w:eastAsia="Arial" w:hAnsi="Arial"/>
                <w:sz w:val="17"/>
                <w:szCs w:val="17"/>
                <w:b w:val="1"/>
                <w:bCs w:val="1"/>
                <w:color w:val="auto"/>
                <w:w w:val="92"/>
              </w:rPr>
              <w:t>markets for</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4"/>
          </w:tcPr>
          <w:p>
            <w:pPr>
              <w:jc w:val="center"/>
              <w:ind w:right="340"/>
              <w:spacing w:after="0" w:line="168" w:lineRule="exact"/>
              <w:rPr>
                <w:sz w:val="20"/>
                <w:szCs w:val="20"/>
                <w:color w:val="auto"/>
              </w:rPr>
            </w:pPr>
            <w:r>
              <w:rPr>
                <w:rFonts w:ascii="Arial" w:cs="Arial" w:eastAsia="Arial" w:hAnsi="Arial"/>
                <w:sz w:val="17"/>
                <w:szCs w:val="17"/>
                <w:b w:val="1"/>
                <w:bCs w:val="1"/>
                <w:color w:val="auto"/>
                <w:w w:val="94"/>
              </w:rPr>
              <w:t>other</w:t>
            </w:r>
          </w:p>
        </w:tc>
        <w:tc>
          <w:tcPr>
            <w:tcW w:w="16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3"/>
          </w:tcPr>
          <w:p>
            <w:pPr>
              <w:jc w:val="center"/>
              <w:ind w:right="380"/>
              <w:spacing w:after="0" w:line="168" w:lineRule="exact"/>
              <w:rPr>
                <w:sz w:val="20"/>
                <w:szCs w:val="20"/>
                <w:color w:val="auto"/>
              </w:rPr>
            </w:pPr>
            <w:r>
              <w:rPr>
                <w:rFonts w:ascii="Arial" w:cs="Arial" w:eastAsia="Arial" w:hAnsi="Arial"/>
                <w:sz w:val="17"/>
                <w:szCs w:val="17"/>
                <w:b w:val="1"/>
                <w:bCs w:val="1"/>
                <w:color w:val="auto"/>
                <w:w w:val="89"/>
              </w:rPr>
              <w:t>identical</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4"/>
          </w:tcPr>
          <w:p>
            <w:pPr>
              <w:jc w:val="center"/>
              <w:ind w:right="340"/>
              <w:spacing w:after="0" w:line="168" w:lineRule="exact"/>
              <w:rPr>
                <w:sz w:val="20"/>
                <w:szCs w:val="20"/>
                <w:color w:val="auto"/>
              </w:rPr>
            </w:pPr>
            <w:r>
              <w:rPr>
                <w:rFonts w:ascii="Arial" w:cs="Arial" w:eastAsia="Arial" w:hAnsi="Arial"/>
                <w:sz w:val="17"/>
                <w:szCs w:val="17"/>
                <w:b w:val="1"/>
                <w:bCs w:val="1"/>
                <w:color w:val="auto"/>
                <w:w w:val="89"/>
              </w:rPr>
              <w:t>observable</w:t>
            </w:r>
          </w:p>
        </w:tc>
        <w:tc>
          <w:tcPr>
            <w:tcW w:w="160" w:type="dxa"/>
            <w:vAlign w:val="bottom"/>
          </w:tcPr>
          <w:p>
            <w:pPr>
              <w:spacing w:after="0"/>
              <w:rPr>
                <w:sz w:val="14"/>
                <w:szCs w:val="14"/>
                <w:color w:val="auto"/>
              </w:rPr>
            </w:pPr>
          </w:p>
        </w:tc>
        <w:tc>
          <w:tcPr>
            <w:tcW w:w="1380" w:type="dxa"/>
            <w:vAlign w:val="bottom"/>
          </w:tcPr>
          <w:p>
            <w:pPr>
              <w:jc w:val="center"/>
              <w:ind w:right="74"/>
              <w:spacing w:after="0" w:line="168" w:lineRule="exact"/>
              <w:rPr>
                <w:sz w:val="20"/>
                <w:szCs w:val="20"/>
                <w:color w:val="auto"/>
              </w:rPr>
            </w:pPr>
            <w:r>
              <w:rPr>
                <w:rFonts w:ascii="Arial" w:cs="Arial" w:eastAsia="Arial" w:hAnsi="Arial"/>
                <w:sz w:val="17"/>
                <w:szCs w:val="17"/>
                <w:b w:val="1"/>
                <w:bCs w:val="1"/>
                <w:color w:val="auto"/>
                <w:w w:val="88"/>
              </w:rPr>
              <w:t>unobservable</w:t>
            </w:r>
          </w:p>
        </w:tc>
        <w:tc>
          <w:tcPr>
            <w:tcW w:w="0" w:type="dxa"/>
            <w:vAlign w:val="bottom"/>
          </w:tcPr>
          <w:p>
            <w:pPr>
              <w:spacing w:after="0"/>
              <w:rPr>
                <w:sz w:val="1"/>
                <w:szCs w:val="1"/>
                <w:color w:val="auto"/>
              </w:rPr>
            </w:pPr>
          </w:p>
        </w:tc>
      </w:tr>
      <w:tr>
        <w:trPr>
          <w:trHeight w:val="220"/>
        </w:trPr>
        <w:tc>
          <w:tcPr>
            <w:tcW w:w="4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574"/>
              <w:spacing w:after="0"/>
              <w:rPr>
                <w:sz w:val="20"/>
                <w:szCs w:val="20"/>
                <w:color w:val="auto"/>
              </w:rPr>
            </w:pPr>
            <w:r>
              <w:rPr>
                <w:rFonts w:ascii="Arial" w:cs="Arial" w:eastAsia="Arial" w:hAnsi="Arial"/>
                <w:sz w:val="17"/>
                <w:szCs w:val="17"/>
                <w:b w:val="1"/>
                <w:bCs w:val="1"/>
                <w:color w:val="auto"/>
              </w:rPr>
              <w:t>value</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3"/>
          </w:tcPr>
          <w:p>
            <w:pPr>
              <w:jc w:val="center"/>
              <w:ind w:right="360"/>
              <w:spacing w:after="0"/>
              <w:rPr>
                <w:sz w:val="20"/>
                <w:szCs w:val="20"/>
                <w:color w:val="auto"/>
              </w:rPr>
            </w:pPr>
            <w:r>
              <w:rPr>
                <w:rFonts w:ascii="Arial" w:cs="Arial" w:eastAsia="Arial" w:hAnsi="Arial"/>
                <w:sz w:val="17"/>
                <w:szCs w:val="17"/>
                <w:b w:val="1"/>
                <w:bCs w:val="1"/>
                <w:color w:val="auto"/>
                <w:w w:val="85"/>
              </w:rPr>
              <w:t>assets (level 1)</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4"/>
          </w:tcPr>
          <w:p>
            <w:pPr>
              <w:jc w:val="center"/>
              <w:ind w:right="340"/>
              <w:spacing w:after="0"/>
              <w:rPr>
                <w:sz w:val="20"/>
                <w:szCs w:val="20"/>
                <w:color w:val="auto"/>
              </w:rPr>
            </w:pPr>
            <w:r>
              <w:rPr>
                <w:rFonts w:ascii="Arial" w:cs="Arial" w:eastAsia="Arial" w:hAnsi="Arial"/>
                <w:sz w:val="17"/>
                <w:szCs w:val="17"/>
                <w:b w:val="1"/>
                <w:bCs w:val="1"/>
                <w:color w:val="auto"/>
                <w:w w:val="90"/>
              </w:rPr>
              <w:t>inputs (level 2)</w:t>
            </w:r>
          </w:p>
        </w:tc>
        <w:tc>
          <w:tcPr>
            <w:tcW w:w="160" w:type="dxa"/>
            <w:vAlign w:val="bottom"/>
          </w:tcPr>
          <w:p>
            <w:pPr>
              <w:spacing w:after="0"/>
              <w:rPr>
                <w:sz w:val="19"/>
                <w:szCs w:val="19"/>
                <w:color w:val="auto"/>
              </w:rPr>
            </w:pPr>
          </w:p>
        </w:tc>
        <w:tc>
          <w:tcPr>
            <w:tcW w:w="1380" w:type="dxa"/>
            <w:vAlign w:val="bottom"/>
          </w:tcPr>
          <w:p>
            <w:pPr>
              <w:jc w:val="center"/>
              <w:ind w:right="94"/>
              <w:spacing w:after="0"/>
              <w:rPr>
                <w:sz w:val="20"/>
                <w:szCs w:val="20"/>
                <w:color w:val="auto"/>
              </w:rPr>
            </w:pPr>
            <w:r>
              <w:rPr>
                <w:rFonts w:ascii="Arial" w:cs="Arial" w:eastAsia="Arial" w:hAnsi="Arial"/>
                <w:sz w:val="17"/>
                <w:szCs w:val="17"/>
                <w:b w:val="1"/>
                <w:bCs w:val="1"/>
                <w:color w:val="auto"/>
                <w:w w:val="90"/>
              </w:rPr>
              <w:t>inputs (level 3)</w:t>
            </w:r>
          </w:p>
        </w:tc>
        <w:tc>
          <w:tcPr>
            <w:tcW w:w="0" w:type="dxa"/>
            <w:vAlign w:val="bottom"/>
          </w:tcPr>
          <w:p>
            <w:pPr>
              <w:spacing w:after="0"/>
              <w:rPr>
                <w:sz w:val="1"/>
                <w:szCs w:val="1"/>
                <w:color w:val="auto"/>
              </w:rPr>
            </w:pPr>
          </w:p>
        </w:tc>
      </w:tr>
      <w:tr>
        <w:trPr>
          <w:trHeight w:val="200"/>
        </w:trPr>
        <w:tc>
          <w:tcPr>
            <w:tcW w:w="4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Assets:</w:t>
            </w:r>
          </w:p>
        </w:tc>
        <w:tc>
          <w:tcPr>
            <w:tcW w:w="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560" w:type="dxa"/>
            <w:vAlign w:val="bottom"/>
          </w:tcPr>
          <w:p>
            <w:pPr>
              <w:ind w:left="140"/>
              <w:spacing w:after="0"/>
              <w:rPr>
                <w:sz w:val="20"/>
                <w:szCs w:val="20"/>
                <w:color w:val="auto"/>
              </w:rPr>
            </w:pPr>
            <w:r>
              <w:rPr>
                <w:rFonts w:ascii="Arial" w:cs="Arial" w:eastAsia="Arial" w:hAnsi="Arial"/>
                <w:sz w:val="17"/>
                <w:szCs w:val="17"/>
                <w:color w:val="auto"/>
              </w:rPr>
              <w:t>Available for sale securities: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5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Short-term</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18,009</w:t>
            </w:r>
          </w:p>
        </w:tc>
        <w:tc>
          <w:tcPr>
            <w:tcW w:w="80" w:type="dxa"/>
            <w:vAlign w:val="bottom"/>
            <w:shd w:val="clear" w:color="auto" w:fill="CCEEFF"/>
          </w:tcPr>
          <w:p>
            <w:pPr>
              <w:spacing w:after="0"/>
              <w:rPr>
                <w:sz w:val="19"/>
                <w:szCs w:val="19"/>
                <w:color w:val="auto"/>
              </w:rPr>
            </w:pPr>
          </w:p>
        </w:tc>
        <w:tc>
          <w:tcPr>
            <w:tcW w:w="300" w:type="dxa"/>
            <w:vAlign w:val="bottom"/>
            <w:gridSpan w:val="4"/>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480" w:type="dxa"/>
            <w:vAlign w:val="bottom"/>
            <w:gridSpan w:val="3"/>
            <w:shd w:val="clear" w:color="auto" w:fill="CCEEFF"/>
          </w:tcPr>
          <w:p>
            <w:pPr>
              <w:ind w:left="1100"/>
              <w:spacing w:after="0"/>
              <w:rPr>
                <w:sz w:val="20"/>
                <w:szCs w:val="20"/>
                <w:color w:val="auto"/>
              </w:rPr>
            </w:pPr>
            <w:r>
              <w:rPr>
                <w:rFonts w:ascii="Arial" w:cs="Arial" w:eastAsia="Arial" w:hAnsi="Arial"/>
                <w:sz w:val="17"/>
                <w:szCs w:val="17"/>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18,009</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4560" w:type="dxa"/>
            <w:vAlign w:val="bottom"/>
          </w:tcPr>
          <w:p>
            <w:pPr>
              <w:ind w:left="220"/>
              <w:spacing w:after="0"/>
              <w:rPr>
                <w:sz w:val="20"/>
                <w:szCs w:val="20"/>
                <w:color w:val="auto"/>
              </w:rPr>
            </w:pPr>
            <w:r>
              <w:rPr>
                <w:rFonts w:ascii="Arial" w:cs="Arial" w:eastAsia="Arial" w:hAnsi="Arial"/>
                <w:sz w:val="17"/>
                <w:szCs w:val="17"/>
                <w:color w:val="auto"/>
              </w:rPr>
              <w:t>Long-term</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7,172</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3"/>
          </w:tcPr>
          <w:p>
            <w:pPr>
              <w:ind w:left="110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7,172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45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Foreign exchange forwards:</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56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Prepaid expenses and other current assets</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772</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ind w:left="110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gridSpan w:val="2"/>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772</w:t>
            </w:r>
          </w:p>
        </w:tc>
        <w:tc>
          <w:tcPr>
            <w:tcW w:w="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3"/>
        </w:trPr>
        <w:tc>
          <w:tcPr>
            <w:tcW w:w="4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25,953</w:t>
            </w:r>
          </w:p>
        </w:tc>
        <w:tc>
          <w:tcPr>
            <w:tcW w:w="80" w:type="dxa"/>
            <w:vAlign w:val="bottom"/>
            <w:shd w:val="clear" w:color="auto" w:fill="CCEEFF"/>
          </w:tcPr>
          <w:p>
            <w:pPr>
              <w:spacing w:after="0"/>
              <w:rPr>
                <w:sz w:val="20"/>
                <w:szCs w:val="20"/>
                <w:color w:val="auto"/>
              </w:rPr>
            </w:pPr>
          </w:p>
        </w:tc>
        <w:tc>
          <w:tcPr>
            <w:tcW w:w="300" w:type="dxa"/>
            <w:vAlign w:val="bottom"/>
            <w:gridSpan w:val="4"/>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480" w:type="dxa"/>
            <w:vAlign w:val="bottom"/>
            <w:gridSpan w:val="3"/>
            <w:shd w:val="clear" w:color="auto" w:fill="CCEEFF"/>
          </w:tcPr>
          <w:p>
            <w:pPr>
              <w:ind w:left="1100"/>
              <w:spacing w:after="0"/>
              <w:rPr>
                <w:sz w:val="20"/>
                <w:szCs w:val="20"/>
                <w:color w:val="auto"/>
              </w:rPr>
            </w:pPr>
            <w:r>
              <w:rPr>
                <w:rFonts w:ascii="Arial" w:cs="Arial" w:eastAsia="Arial" w:hAnsi="Arial"/>
                <w:sz w:val="17"/>
                <w:szCs w:val="17"/>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25,953</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
        </w:trPr>
        <w:tc>
          <w:tcPr>
            <w:tcW w:w="4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4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Liabilities:</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56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Earn-out liability</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29,400</w:t>
            </w: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gridSpan w:val="2"/>
          </w:tcPr>
          <w:p>
            <w:pPr>
              <w:spacing w:after="0"/>
              <w:rPr>
                <w:sz w:val="19"/>
                <w:szCs w:val="19"/>
                <w:color w:val="auto"/>
              </w:rPr>
            </w:pPr>
          </w:p>
        </w:tc>
        <w:tc>
          <w:tcPr>
            <w:tcW w:w="220" w:type="dxa"/>
            <w:vAlign w:val="bottom"/>
            <w:tcBorders>
              <w:bottom w:val="single" w:sz="8" w:color="auto"/>
            </w:tcBorders>
            <w:gridSpan w:val="2"/>
          </w:tcPr>
          <w:p>
            <w:pPr>
              <w:jc w:val="right"/>
              <w:ind w:right="34"/>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tcPr>
          <w:p>
            <w:pPr>
              <w:ind w:left="110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gridSpan w:val="2"/>
          </w:tcPr>
          <w:p>
            <w:pPr>
              <w:spacing w:after="0"/>
              <w:rPr>
                <w:sz w:val="19"/>
                <w:szCs w:val="19"/>
                <w:color w:val="auto"/>
              </w:rPr>
            </w:pP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26,300</w:t>
            </w:r>
          </w:p>
        </w:tc>
        <w:tc>
          <w:tcPr>
            <w:tcW w:w="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3,100</w:t>
            </w:r>
          </w:p>
        </w:tc>
        <w:tc>
          <w:tcPr>
            <w:tcW w:w="0" w:type="dxa"/>
            <w:vAlign w:val="bottom"/>
          </w:tcPr>
          <w:p>
            <w:pPr>
              <w:spacing w:after="0"/>
              <w:rPr>
                <w:sz w:val="1"/>
                <w:szCs w:val="1"/>
                <w:color w:val="auto"/>
              </w:rPr>
            </w:pPr>
          </w:p>
        </w:tc>
      </w:tr>
      <w:tr>
        <w:trPr>
          <w:trHeight w:val="233"/>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Liabilities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29,400</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gridSpan w:val="2"/>
            <w:shd w:val="clear" w:color="auto" w:fill="CCEEFF"/>
          </w:tcPr>
          <w:p>
            <w:pPr>
              <w:spacing w:after="0"/>
              <w:rPr>
                <w:sz w:val="20"/>
                <w:szCs w:val="20"/>
                <w:color w:val="auto"/>
              </w:rPr>
            </w:pPr>
          </w:p>
        </w:tc>
        <w:tc>
          <w:tcPr>
            <w:tcW w:w="220" w:type="dxa"/>
            <w:vAlign w:val="bottom"/>
            <w:tcBorders>
              <w:bottom w:val="single" w:sz="8" w:color="auto"/>
            </w:tcBorders>
            <w:gridSpan w:val="2"/>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shd w:val="clear" w:color="auto" w:fill="CCEEFF"/>
          </w:tcPr>
          <w:p>
            <w:pPr>
              <w:ind w:left="110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gridSpan w:val="2"/>
            <w:shd w:val="clear" w:color="auto" w:fill="CCEEFF"/>
          </w:tcPr>
          <w:p>
            <w:pPr>
              <w:spacing w:after="0"/>
              <w:rPr>
                <w:sz w:val="20"/>
                <w:szCs w:val="20"/>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26,300</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3,100</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4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13"/>
          </w:tcPr>
          <w:p>
            <w:pPr>
              <w:ind w:left="20"/>
              <w:spacing w:after="0"/>
              <w:rPr>
                <w:sz w:val="20"/>
                <w:szCs w:val="20"/>
                <w:color w:val="auto"/>
              </w:rPr>
            </w:pPr>
            <w:r>
              <w:rPr>
                <w:rFonts w:ascii="Arial" w:cs="Arial" w:eastAsia="Arial" w:hAnsi="Arial"/>
                <w:sz w:val="17"/>
                <w:szCs w:val="17"/>
                <w:b w:val="1"/>
                <w:bCs w:val="1"/>
                <w:color w:val="auto"/>
                <w:w w:val="90"/>
              </w:rPr>
              <w:t>Fair value measurements at December 31, 2020</w:t>
            </w:r>
          </w:p>
        </w:tc>
        <w:tc>
          <w:tcPr>
            <w:tcW w:w="1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4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gridSpan w:val="3"/>
          </w:tcPr>
          <w:p>
            <w:pPr>
              <w:jc w:val="center"/>
              <w:ind w:right="220"/>
              <w:spacing w:after="0" w:line="161" w:lineRule="exact"/>
              <w:rPr>
                <w:sz w:val="20"/>
                <w:szCs w:val="20"/>
                <w:color w:val="auto"/>
              </w:rPr>
            </w:pPr>
            <w:r>
              <w:rPr>
                <w:rFonts w:ascii="Arial" w:cs="Arial" w:eastAsia="Arial" w:hAnsi="Arial"/>
                <w:sz w:val="17"/>
                <w:szCs w:val="17"/>
                <w:b w:val="1"/>
                <w:bCs w:val="1"/>
                <w:color w:val="auto"/>
                <w:w w:val="89"/>
              </w:rPr>
              <w:t>Quoted prices</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gridSpan w:val="4"/>
            <w:vMerge w:val="restart"/>
          </w:tcPr>
          <w:p>
            <w:pPr>
              <w:jc w:val="center"/>
              <w:ind w:right="260"/>
              <w:spacing w:after="0"/>
              <w:rPr>
                <w:sz w:val="20"/>
                <w:szCs w:val="20"/>
                <w:color w:val="auto"/>
              </w:rPr>
            </w:pPr>
            <w:r>
              <w:rPr>
                <w:rFonts w:ascii="Arial" w:cs="Arial" w:eastAsia="Arial" w:hAnsi="Arial"/>
                <w:sz w:val="17"/>
                <w:szCs w:val="17"/>
                <w:b w:val="1"/>
                <w:bCs w:val="1"/>
                <w:color w:val="auto"/>
                <w:w w:val="91"/>
              </w:rPr>
              <w:t>Significant</w:t>
            </w:r>
          </w:p>
        </w:tc>
        <w:tc>
          <w:tcPr>
            <w:tcW w:w="1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3"/>
          </w:tcPr>
          <w:p>
            <w:pPr>
              <w:jc w:val="center"/>
              <w:ind w:right="220"/>
              <w:spacing w:after="0" w:line="168" w:lineRule="exact"/>
              <w:rPr>
                <w:sz w:val="20"/>
                <w:szCs w:val="20"/>
                <w:color w:val="auto"/>
              </w:rPr>
            </w:pPr>
            <w:r>
              <w:rPr>
                <w:rFonts w:ascii="Arial" w:cs="Arial" w:eastAsia="Arial" w:hAnsi="Arial"/>
                <w:sz w:val="17"/>
                <w:szCs w:val="17"/>
                <w:b w:val="1"/>
                <w:bCs w:val="1"/>
                <w:color w:val="auto"/>
                <w:w w:val="91"/>
              </w:rPr>
              <w:t>in active</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4"/>
            <w:vMerge w:val="continue"/>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vMerge w:val="restart"/>
          </w:tcPr>
          <w:p>
            <w:pPr>
              <w:jc w:val="center"/>
              <w:ind w:right="94"/>
              <w:spacing w:after="0"/>
              <w:rPr>
                <w:sz w:val="20"/>
                <w:szCs w:val="20"/>
                <w:color w:val="auto"/>
              </w:rPr>
            </w:pPr>
            <w:r>
              <w:rPr>
                <w:rFonts w:ascii="Arial" w:cs="Arial" w:eastAsia="Arial" w:hAnsi="Arial"/>
                <w:sz w:val="17"/>
                <w:szCs w:val="17"/>
                <w:b w:val="1"/>
                <w:bCs w:val="1"/>
                <w:color w:val="auto"/>
                <w:w w:val="91"/>
              </w:rPr>
              <w:t>Significant</w:t>
            </w:r>
          </w:p>
        </w:tc>
        <w:tc>
          <w:tcPr>
            <w:tcW w:w="0" w:type="dxa"/>
            <w:vAlign w:val="bottom"/>
          </w:tcPr>
          <w:p>
            <w:pPr>
              <w:spacing w:after="0"/>
              <w:rPr>
                <w:sz w:val="1"/>
                <w:szCs w:val="1"/>
                <w:color w:val="auto"/>
              </w:rPr>
            </w:pPr>
          </w:p>
        </w:tc>
      </w:tr>
      <w:tr>
        <w:trPr>
          <w:trHeight w:val="168"/>
        </w:trPr>
        <w:tc>
          <w:tcPr>
            <w:tcW w:w="4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vMerge w:val="restart"/>
          </w:tcPr>
          <w:p>
            <w:pPr>
              <w:jc w:val="right"/>
              <w:ind w:right="134"/>
              <w:spacing w:after="0"/>
              <w:rPr>
                <w:sz w:val="20"/>
                <w:szCs w:val="20"/>
                <w:color w:val="auto"/>
              </w:rPr>
            </w:pPr>
            <w:r>
              <w:rPr>
                <w:rFonts w:ascii="Arial" w:cs="Arial" w:eastAsia="Arial" w:hAnsi="Arial"/>
                <w:sz w:val="17"/>
                <w:szCs w:val="17"/>
                <w:b w:val="1"/>
                <w:bCs w:val="1"/>
                <w:color w:val="auto"/>
              </w:rPr>
              <w:t>Total carrying</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3"/>
          </w:tcPr>
          <w:p>
            <w:pPr>
              <w:jc w:val="center"/>
              <w:ind w:right="220"/>
              <w:spacing w:after="0" w:line="168" w:lineRule="exact"/>
              <w:rPr>
                <w:sz w:val="20"/>
                <w:szCs w:val="20"/>
                <w:color w:val="auto"/>
              </w:rPr>
            </w:pPr>
            <w:r>
              <w:rPr>
                <w:rFonts w:ascii="Arial" w:cs="Arial" w:eastAsia="Arial" w:hAnsi="Arial"/>
                <w:sz w:val="17"/>
                <w:szCs w:val="17"/>
                <w:b w:val="1"/>
                <w:bCs w:val="1"/>
                <w:color w:val="auto"/>
                <w:w w:val="92"/>
              </w:rPr>
              <w:t>markets for</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4"/>
          </w:tcPr>
          <w:p>
            <w:pPr>
              <w:jc w:val="center"/>
              <w:ind w:right="260"/>
              <w:spacing w:after="0" w:line="168" w:lineRule="exact"/>
              <w:rPr>
                <w:sz w:val="20"/>
                <w:szCs w:val="20"/>
                <w:color w:val="auto"/>
              </w:rPr>
            </w:pPr>
            <w:r>
              <w:rPr>
                <w:rFonts w:ascii="Arial" w:cs="Arial" w:eastAsia="Arial" w:hAnsi="Arial"/>
                <w:sz w:val="17"/>
                <w:szCs w:val="17"/>
                <w:b w:val="1"/>
                <w:bCs w:val="1"/>
                <w:color w:val="auto"/>
                <w:w w:val="94"/>
              </w:rPr>
              <w:t>other</w:t>
            </w:r>
          </w:p>
        </w:tc>
        <w:tc>
          <w:tcPr>
            <w:tcW w:w="16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3"/>
          </w:tcPr>
          <w:p>
            <w:pPr>
              <w:jc w:val="center"/>
              <w:ind w:right="220"/>
              <w:spacing w:after="0" w:line="168" w:lineRule="exact"/>
              <w:rPr>
                <w:sz w:val="20"/>
                <w:szCs w:val="20"/>
                <w:color w:val="auto"/>
              </w:rPr>
            </w:pPr>
            <w:r>
              <w:rPr>
                <w:rFonts w:ascii="Arial" w:cs="Arial" w:eastAsia="Arial" w:hAnsi="Arial"/>
                <w:sz w:val="17"/>
                <w:szCs w:val="17"/>
                <w:b w:val="1"/>
                <w:bCs w:val="1"/>
                <w:color w:val="auto"/>
                <w:w w:val="89"/>
              </w:rPr>
              <w:t>identical</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4"/>
          </w:tcPr>
          <w:p>
            <w:pPr>
              <w:jc w:val="center"/>
              <w:ind w:right="260"/>
              <w:spacing w:after="0" w:line="168" w:lineRule="exact"/>
              <w:rPr>
                <w:sz w:val="20"/>
                <w:szCs w:val="20"/>
                <w:color w:val="auto"/>
              </w:rPr>
            </w:pPr>
            <w:r>
              <w:rPr>
                <w:rFonts w:ascii="Arial" w:cs="Arial" w:eastAsia="Arial" w:hAnsi="Arial"/>
                <w:sz w:val="17"/>
                <w:szCs w:val="17"/>
                <w:b w:val="1"/>
                <w:bCs w:val="1"/>
                <w:color w:val="auto"/>
                <w:w w:val="89"/>
              </w:rPr>
              <w:t>observable</w:t>
            </w:r>
          </w:p>
        </w:tc>
        <w:tc>
          <w:tcPr>
            <w:tcW w:w="160" w:type="dxa"/>
            <w:vAlign w:val="bottom"/>
          </w:tcPr>
          <w:p>
            <w:pPr>
              <w:spacing w:after="0"/>
              <w:rPr>
                <w:sz w:val="14"/>
                <w:szCs w:val="14"/>
                <w:color w:val="auto"/>
              </w:rPr>
            </w:pPr>
          </w:p>
        </w:tc>
        <w:tc>
          <w:tcPr>
            <w:tcW w:w="1380" w:type="dxa"/>
            <w:vAlign w:val="bottom"/>
          </w:tcPr>
          <w:p>
            <w:pPr>
              <w:jc w:val="center"/>
              <w:ind w:right="74"/>
              <w:spacing w:after="0" w:line="168" w:lineRule="exact"/>
              <w:rPr>
                <w:sz w:val="20"/>
                <w:szCs w:val="20"/>
                <w:color w:val="auto"/>
              </w:rPr>
            </w:pPr>
            <w:r>
              <w:rPr>
                <w:rFonts w:ascii="Arial" w:cs="Arial" w:eastAsia="Arial" w:hAnsi="Arial"/>
                <w:sz w:val="17"/>
                <w:szCs w:val="17"/>
                <w:b w:val="1"/>
                <w:bCs w:val="1"/>
                <w:color w:val="auto"/>
                <w:w w:val="88"/>
              </w:rPr>
              <w:t>unobservable</w:t>
            </w:r>
          </w:p>
        </w:tc>
        <w:tc>
          <w:tcPr>
            <w:tcW w:w="0" w:type="dxa"/>
            <w:vAlign w:val="bottom"/>
          </w:tcPr>
          <w:p>
            <w:pPr>
              <w:spacing w:after="0"/>
              <w:rPr>
                <w:sz w:val="1"/>
                <w:szCs w:val="1"/>
                <w:color w:val="auto"/>
              </w:rPr>
            </w:pPr>
          </w:p>
        </w:tc>
      </w:tr>
      <w:tr>
        <w:trPr>
          <w:trHeight w:val="220"/>
        </w:trPr>
        <w:tc>
          <w:tcPr>
            <w:tcW w:w="4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454"/>
              <w:spacing w:after="0"/>
              <w:rPr>
                <w:sz w:val="20"/>
                <w:szCs w:val="20"/>
                <w:color w:val="auto"/>
              </w:rPr>
            </w:pPr>
            <w:r>
              <w:rPr>
                <w:rFonts w:ascii="Arial" w:cs="Arial" w:eastAsia="Arial" w:hAnsi="Arial"/>
                <w:sz w:val="17"/>
                <w:szCs w:val="17"/>
                <w:b w:val="1"/>
                <w:bCs w:val="1"/>
                <w:color w:val="auto"/>
              </w:rPr>
              <w:t>value</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3"/>
          </w:tcPr>
          <w:p>
            <w:pPr>
              <w:jc w:val="center"/>
              <w:ind w:right="220"/>
              <w:spacing w:after="0"/>
              <w:rPr>
                <w:sz w:val="20"/>
                <w:szCs w:val="20"/>
                <w:color w:val="auto"/>
              </w:rPr>
            </w:pPr>
            <w:r>
              <w:rPr>
                <w:rFonts w:ascii="Arial" w:cs="Arial" w:eastAsia="Arial" w:hAnsi="Arial"/>
                <w:sz w:val="17"/>
                <w:szCs w:val="17"/>
                <w:b w:val="1"/>
                <w:bCs w:val="1"/>
                <w:color w:val="auto"/>
                <w:w w:val="87"/>
              </w:rPr>
              <w:t>assets (level 1)</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4"/>
          </w:tcPr>
          <w:p>
            <w:pPr>
              <w:jc w:val="center"/>
              <w:ind w:right="260"/>
              <w:spacing w:after="0"/>
              <w:rPr>
                <w:sz w:val="20"/>
                <w:szCs w:val="20"/>
                <w:color w:val="auto"/>
              </w:rPr>
            </w:pPr>
            <w:r>
              <w:rPr>
                <w:rFonts w:ascii="Arial" w:cs="Arial" w:eastAsia="Arial" w:hAnsi="Arial"/>
                <w:sz w:val="17"/>
                <w:szCs w:val="17"/>
                <w:b w:val="1"/>
                <w:bCs w:val="1"/>
                <w:color w:val="auto"/>
                <w:w w:val="90"/>
              </w:rPr>
              <w:t>inputs (level 2)</w:t>
            </w:r>
          </w:p>
        </w:tc>
        <w:tc>
          <w:tcPr>
            <w:tcW w:w="160" w:type="dxa"/>
            <w:vAlign w:val="bottom"/>
          </w:tcPr>
          <w:p>
            <w:pPr>
              <w:spacing w:after="0"/>
              <w:rPr>
                <w:sz w:val="19"/>
                <w:szCs w:val="19"/>
                <w:color w:val="auto"/>
              </w:rPr>
            </w:pPr>
          </w:p>
        </w:tc>
        <w:tc>
          <w:tcPr>
            <w:tcW w:w="1380" w:type="dxa"/>
            <w:vAlign w:val="bottom"/>
          </w:tcPr>
          <w:p>
            <w:pPr>
              <w:jc w:val="center"/>
              <w:ind w:right="94"/>
              <w:spacing w:after="0"/>
              <w:rPr>
                <w:sz w:val="20"/>
                <w:szCs w:val="20"/>
                <w:color w:val="auto"/>
              </w:rPr>
            </w:pPr>
            <w:r>
              <w:rPr>
                <w:rFonts w:ascii="Arial" w:cs="Arial" w:eastAsia="Arial" w:hAnsi="Arial"/>
                <w:sz w:val="17"/>
                <w:szCs w:val="17"/>
                <w:b w:val="1"/>
                <w:bCs w:val="1"/>
                <w:color w:val="auto"/>
                <w:w w:val="90"/>
              </w:rPr>
              <w:t>inputs (level 3)</w:t>
            </w:r>
          </w:p>
        </w:tc>
        <w:tc>
          <w:tcPr>
            <w:tcW w:w="0" w:type="dxa"/>
            <w:vAlign w:val="bottom"/>
          </w:tcPr>
          <w:p>
            <w:pPr>
              <w:spacing w:after="0"/>
              <w:rPr>
                <w:sz w:val="1"/>
                <w:szCs w:val="1"/>
                <w:color w:val="auto"/>
              </w:rPr>
            </w:pPr>
          </w:p>
        </w:tc>
      </w:tr>
      <w:tr>
        <w:trPr>
          <w:trHeight w:val="200"/>
        </w:trPr>
        <w:tc>
          <w:tcPr>
            <w:tcW w:w="4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Assets:</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560" w:type="dxa"/>
            <w:vAlign w:val="bottom"/>
          </w:tcPr>
          <w:p>
            <w:pPr>
              <w:ind w:left="140"/>
              <w:spacing w:after="0"/>
              <w:rPr>
                <w:sz w:val="20"/>
                <w:szCs w:val="20"/>
                <w:color w:val="auto"/>
              </w:rPr>
            </w:pPr>
            <w:r>
              <w:rPr>
                <w:rFonts w:ascii="Arial" w:cs="Arial" w:eastAsia="Arial" w:hAnsi="Arial"/>
                <w:sz w:val="17"/>
                <w:szCs w:val="17"/>
                <w:color w:val="auto"/>
              </w:rPr>
              <w:t>Available for sale securities: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5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Short-term</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14,687</w:t>
            </w:r>
          </w:p>
        </w:tc>
        <w:tc>
          <w:tcPr>
            <w:tcW w:w="30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gridSpan w:val="3"/>
            <w:shd w:val="clear" w:color="auto" w:fill="CCEEFF"/>
          </w:tcPr>
          <w:p>
            <w:pPr>
              <w:ind w:left="1180"/>
              <w:spacing w:after="0"/>
              <w:rPr>
                <w:sz w:val="20"/>
                <w:szCs w:val="20"/>
                <w:color w:val="auto"/>
              </w:rPr>
            </w:pPr>
            <w:r>
              <w:rPr>
                <w:rFonts w:ascii="Arial" w:cs="Arial" w:eastAsia="Arial" w:hAnsi="Arial"/>
                <w:sz w:val="17"/>
                <w:szCs w:val="17"/>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14,687</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4560" w:type="dxa"/>
            <w:vAlign w:val="bottom"/>
          </w:tcPr>
          <w:p>
            <w:pPr>
              <w:ind w:left="220"/>
              <w:spacing w:after="0"/>
              <w:rPr>
                <w:sz w:val="20"/>
                <w:szCs w:val="20"/>
                <w:color w:val="auto"/>
              </w:rPr>
            </w:pPr>
            <w:r>
              <w:rPr>
                <w:rFonts w:ascii="Arial" w:cs="Arial" w:eastAsia="Arial" w:hAnsi="Arial"/>
                <w:sz w:val="17"/>
                <w:szCs w:val="17"/>
                <w:color w:val="auto"/>
              </w:rPr>
              <w:t>Long-term</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Arial" w:cs="Arial" w:eastAsia="Arial" w:hAnsi="Arial"/>
                <w:sz w:val="17"/>
                <w:szCs w:val="17"/>
                <w:color w:val="auto"/>
              </w:rPr>
              <w:t>12,974</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3"/>
          </w:tcPr>
          <w:p>
            <w:pPr>
              <w:ind w:left="118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12,974</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45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Foreign exchange forwards:</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56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Prepaid expenses and other current assets</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3,555</w:t>
            </w: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ind w:left="1180"/>
              <w:spacing w:after="0"/>
              <w:rPr>
                <w:sz w:val="20"/>
                <w:szCs w:val="20"/>
                <w:color w:val="auto"/>
              </w:rPr>
            </w:pPr>
            <w:r>
              <w:rPr>
                <w:rFonts w:ascii="Arial" w:cs="Arial" w:eastAsia="Arial" w:hAnsi="Arial"/>
                <w:sz w:val="17"/>
                <w:szCs w:val="17"/>
                <w:color w:val="auto"/>
              </w:rPr>
              <w:t>—</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3,555</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3"/>
        </w:trPr>
        <w:tc>
          <w:tcPr>
            <w:tcW w:w="4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Assets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31,216</w:t>
            </w:r>
          </w:p>
        </w:tc>
        <w:tc>
          <w:tcPr>
            <w:tcW w:w="30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gridSpan w:val="3"/>
            <w:shd w:val="clear" w:color="auto" w:fill="CCEEFF"/>
          </w:tcPr>
          <w:p>
            <w:pPr>
              <w:ind w:left="1180"/>
              <w:spacing w:after="0"/>
              <w:rPr>
                <w:sz w:val="20"/>
                <w:szCs w:val="20"/>
                <w:color w:val="auto"/>
              </w:rPr>
            </w:pPr>
            <w:r>
              <w:rPr>
                <w:rFonts w:ascii="Arial" w:cs="Arial" w:eastAsia="Arial" w:hAnsi="Arial"/>
                <w:sz w:val="17"/>
                <w:szCs w:val="17"/>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31,216</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Liabilities:</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56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Earn-out liability</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26,300</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gridSpan w:val="2"/>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gridSpan w:val="2"/>
          </w:tcPr>
          <w:p>
            <w:pPr>
              <w:ind w:left="1180"/>
              <w:spacing w:after="0"/>
              <w:rPr>
                <w:sz w:val="20"/>
                <w:szCs w:val="20"/>
                <w:color w:val="auto"/>
              </w:rPr>
            </w:pPr>
            <w:r>
              <w:rPr>
                <w:rFonts w:ascii="Arial" w:cs="Arial" w:eastAsia="Arial" w:hAnsi="Arial"/>
                <w:sz w:val="17"/>
                <w:szCs w:val="17"/>
                <w:color w:val="auto"/>
              </w:rPr>
              <w:t>—</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26,300</w:t>
            </w:r>
          </w:p>
        </w:tc>
        <w:tc>
          <w:tcPr>
            <w:tcW w:w="0" w:type="dxa"/>
            <w:vAlign w:val="bottom"/>
          </w:tcPr>
          <w:p>
            <w:pPr>
              <w:spacing w:after="0"/>
              <w:rPr>
                <w:sz w:val="1"/>
                <w:szCs w:val="1"/>
                <w:color w:val="auto"/>
              </w:rPr>
            </w:pPr>
          </w:p>
        </w:tc>
      </w:tr>
      <w:tr>
        <w:trPr>
          <w:trHeight w:val="233"/>
        </w:trPr>
        <w:tc>
          <w:tcPr>
            <w:tcW w:w="4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Liabilities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26,300</w:t>
            </w:r>
          </w:p>
        </w:tc>
        <w:tc>
          <w:tcPr>
            <w:tcW w:w="30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gridSpan w:val="3"/>
            <w:shd w:val="clear" w:color="auto" w:fill="CCEEFF"/>
          </w:tcPr>
          <w:p>
            <w:pPr>
              <w:ind w:left="1180"/>
              <w:spacing w:after="0"/>
              <w:rPr>
                <w:sz w:val="20"/>
                <w:szCs w:val="20"/>
                <w:color w:val="auto"/>
              </w:rPr>
            </w:pPr>
            <w:r>
              <w:rPr>
                <w:rFonts w:ascii="Arial" w:cs="Arial" w:eastAsia="Arial" w:hAnsi="Arial"/>
                <w:sz w:val="17"/>
                <w:szCs w:val="17"/>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40" w:type="dxa"/>
            <w:vAlign w:val="bottom"/>
            <w:gridSpan w:val="4"/>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26,300</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9: Investment Securities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Investments in Available-for-sale Securities</w:t>
      </w:r>
    </w:p>
    <w:p>
      <w:pPr>
        <w:spacing w:after="0" w:line="244" w:lineRule="exact"/>
        <w:rPr>
          <w:sz w:val="20"/>
          <w:szCs w:val="20"/>
          <w:color w:val="auto"/>
        </w:rPr>
      </w:pPr>
    </w:p>
    <w:p>
      <w:pPr>
        <w:ind w:right="80" w:firstLine="172"/>
        <w:spacing w:after="0" w:line="295" w:lineRule="auto"/>
        <w:rPr>
          <w:sz w:val="20"/>
          <w:szCs w:val="20"/>
          <w:color w:val="auto"/>
        </w:rPr>
      </w:pPr>
      <w:r>
        <w:rPr>
          <w:rFonts w:ascii="Arial" w:cs="Arial" w:eastAsia="Arial" w:hAnsi="Arial"/>
          <w:sz w:val="15"/>
          <w:szCs w:val="15"/>
          <w:color w:val="auto"/>
        </w:rPr>
        <w:t>Our available-for-sale investment securities currently consist of short-term and long-term corporate bonds and are considered “investment grade” and carried at fair value. Available-for-sale securities are recorded at fair value, and unrealized holding gains and losses are recorded, net of tax, as a component of accumulated other comprehensive income. Unrealized losses on available-for-sale securities are charged against net earnings when a decline in fair value is determined to be other than temporary. Our management reviews several factors to determine whether a loss is other than temporary, such as the length and extent of the fair value decline, the financial condition and near term prospects of the issuer, and for equity investments, our intent and ability to hold the security for a period of time sufficient to allow for any anticipated recovery in fair value. The amortized cost of the debt securities are adjusted for the amortization of premiums computed under the effective interest method. Such amortization is included in investment income in other income (expense), net on our condensed consolidated statements of operations. There have been no realized gains or losses on their disposal. Realized gains and losses are accounted for on the specific identification method. The scheduled maturities of the debt securities are between 2021 and 2024. All short-term investment securities are callable within one year.</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7"/>
          <w:szCs w:val="17"/>
          <w:b w:val="1"/>
          <w:bCs w:val="1"/>
          <w:color w:val="auto"/>
        </w:rPr>
        <w:t>ICU MEDICAL, INC. AND SUBSIDIARIES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00" w:lineRule="exact"/>
        <w:rPr>
          <w:sz w:val="20"/>
          <w:szCs w:val="20"/>
          <w:color w:val="auto"/>
        </w:rPr>
      </w:pPr>
    </w:p>
    <w:p>
      <w:pPr>
        <w:spacing w:after="0" w:line="31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Our short and long-term investments in available-for-sale securities consisted of the following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1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6"/>
                <w:szCs w:val="16"/>
                <w:b w:val="1"/>
                <w:bCs w:val="1"/>
                <w:color w:val="auto"/>
                <w:w w:val="86"/>
              </w:rPr>
              <w:t>As of September 30, 2021</w:t>
            </w:r>
          </w:p>
        </w:tc>
        <w:tc>
          <w:tcPr>
            <w:tcW w:w="3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5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8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Amortized Cost</w:t>
            </w:r>
          </w:p>
        </w:tc>
        <w:tc>
          <w:tcPr>
            <w:tcW w:w="100" w:type="dxa"/>
            <w:vAlign w:val="bottom"/>
          </w:tcPr>
          <w:p>
            <w:pPr>
              <w:spacing w:after="0"/>
              <w:rPr>
                <w:sz w:val="13"/>
                <w:szCs w:val="13"/>
                <w:color w:val="auto"/>
              </w:rPr>
            </w:pPr>
          </w:p>
        </w:tc>
        <w:tc>
          <w:tcPr>
            <w:tcW w:w="1960" w:type="dxa"/>
            <w:vAlign w:val="bottom"/>
            <w:gridSpan w:val="2"/>
          </w:tcPr>
          <w:p>
            <w:pPr>
              <w:jc w:val="center"/>
              <w:ind w:right="200"/>
              <w:spacing w:after="0" w:line="151" w:lineRule="exact"/>
              <w:rPr>
                <w:sz w:val="20"/>
                <w:szCs w:val="20"/>
                <w:color w:val="auto"/>
              </w:rPr>
            </w:pPr>
            <w:r>
              <w:rPr>
                <w:rFonts w:ascii="Arial" w:cs="Arial" w:eastAsia="Arial" w:hAnsi="Arial"/>
                <w:sz w:val="16"/>
                <w:szCs w:val="16"/>
                <w:b w:val="1"/>
                <w:bCs w:val="1"/>
                <w:color w:val="auto"/>
                <w:w w:val="88"/>
              </w:rPr>
              <w:t>Unrealized Holding Gains</w:t>
            </w:r>
          </w:p>
        </w:tc>
        <w:tc>
          <w:tcPr>
            <w:tcW w:w="360" w:type="dxa"/>
            <w:vAlign w:val="bottom"/>
          </w:tcPr>
          <w:p>
            <w:pPr>
              <w:spacing w:after="0"/>
              <w:rPr>
                <w:sz w:val="13"/>
                <w:szCs w:val="13"/>
                <w:color w:val="auto"/>
              </w:rPr>
            </w:pPr>
          </w:p>
        </w:tc>
        <w:tc>
          <w:tcPr>
            <w:tcW w:w="1580" w:type="dxa"/>
            <w:vAlign w:val="bottom"/>
            <w:vMerge w:val="restart"/>
          </w:tcPr>
          <w:p>
            <w:pPr>
              <w:jc w:val="right"/>
              <w:ind w:right="536"/>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204"/>
        </w:trPr>
        <w:tc>
          <w:tcPr>
            <w:tcW w:w="51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2"/>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82"/>
              </w:rPr>
              <w:t>(Losses)</w:t>
            </w:r>
          </w:p>
        </w:tc>
        <w:tc>
          <w:tcPr>
            <w:tcW w:w="3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Short-term corporate bonds</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18,009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960" w:type="dxa"/>
            <w:vAlign w:val="bottom"/>
            <w:gridSpan w:val="2"/>
            <w:shd w:val="clear" w:color="auto" w:fill="CCEEFF"/>
          </w:tcPr>
          <w:p>
            <w:pPr>
              <w:ind w:left="160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18,009</w:t>
            </w:r>
          </w:p>
        </w:tc>
        <w:tc>
          <w:tcPr>
            <w:tcW w:w="0" w:type="dxa"/>
            <w:vAlign w:val="bottom"/>
          </w:tcPr>
          <w:p>
            <w:pPr>
              <w:spacing w:after="0"/>
              <w:rPr>
                <w:sz w:val="1"/>
                <w:szCs w:val="1"/>
                <w:color w:val="auto"/>
              </w:rPr>
            </w:pPr>
          </w:p>
        </w:tc>
      </w:tr>
      <w:tr>
        <w:trPr>
          <w:trHeight w:val="220"/>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Long-term corporate bonds</w:t>
            </w:r>
          </w:p>
        </w:tc>
        <w:tc>
          <w:tcPr>
            <w:tcW w:w="2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7,172</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ind w:left="160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7,172</w:t>
            </w:r>
          </w:p>
        </w:tc>
        <w:tc>
          <w:tcPr>
            <w:tcW w:w="0" w:type="dxa"/>
            <w:vAlign w:val="bottom"/>
          </w:tcPr>
          <w:p>
            <w:pPr>
              <w:spacing w:after="0"/>
              <w:rPr>
                <w:sz w:val="1"/>
                <w:szCs w:val="1"/>
                <w:color w:val="auto"/>
              </w:rPr>
            </w:pPr>
          </w:p>
        </w:tc>
      </w:tr>
      <w:tr>
        <w:trPr>
          <w:trHeight w:val="233"/>
        </w:trPr>
        <w:tc>
          <w:tcPr>
            <w:tcW w:w="5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Total investment securities</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25,181</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860" w:type="dxa"/>
            <w:vAlign w:val="bottom"/>
            <w:tcBorders>
              <w:bottom w:val="single" w:sz="8" w:color="auto"/>
            </w:tcBorders>
            <w:shd w:val="clear" w:color="auto" w:fill="CCEEFF"/>
          </w:tcPr>
          <w:p>
            <w:pPr>
              <w:ind w:left="160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25,181</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51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6"/>
                <w:szCs w:val="16"/>
                <w:b w:val="1"/>
                <w:bCs w:val="1"/>
                <w:color w:val="auto"/>
                <w:w w:val="86"/>
              </w:rPr>
              <w:t>As of December 31, 2020</w:t>
            </w:r>
          </w:p>
        </w:tc>
        <w:tc>
          <w:tcPr>
            <w:tcW w:w="3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5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8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Amortized Cost</w:t>
            </w:r>
          </w:p>
        </w:tc>
        <w:tc>
          <w:tcPr>
            <w:tcW w:w="100" w:type="dxa"/>
            <w:vAlign w:val="bottom"/>
          </w:tcPr>
          <w:p>
            <w:pPr>
              <w:spacing w:after="0"/>
              <w:rPr>
                <w:sz w:val="13"/>
                <w:szCs w:val="13"/>
                <w:color w:val="auto"/>
              </w:rPr>
            </w:pPr>
          </w:p>
        </w:tc>
        <w:tc>
          <w:tcPr>
            <w:tcW w:w="1960" w:type="dxa"/>
            <w:vAlign w:val="bottom"/>
            <w:gridSpan w:val="2"/>
          </w:tcPr>
          <w:p>
            <w:pPr>
              <w:jc w:val="center"/>
              <w:ind w:right="200"/>
              <w:spacing w:after="0" w:line="151" w:lineRule="exact"/>
              <w:rPr>
                <w:sz w:val="20"/>
                <w:szCs w:val="20"/>
                <w:color w:val="auto"/>
              </w:rPr>
            </w:pPr>
            <w:r>
              <w:rPr>
                <w:rFonts w:ascii="Arial" w:cs="Arial" w:eastAsia="Arial" w:hAnsi="Arial"/>
                <w:sz w:val="16"/>
                <w:szCs w:val="16"/>
                <w:b w:val="1"/>
                <w:bCs w:val="1"/>
                <w:color w:val="auto"/>
                <w:w w:val="88"/>
              </w:rPr>
              <w:t>Unrealized Holding Gains</w:t>
            </w:r>
          </w:p>
        </w:tc>
        <w:tc>
          <w:tcPr>
            <w:tcW w:w="360" w:type="dxa"/>
            <w:vAlign w:val="bottom"/>
          </w:tcPr>
          <w:p>
            <w:pPr>
              <w:spacing w:after="0"/>
              <w:rPr>
                <w:sz w:val="13"/>
                <w:szCs w:val="13"/>
                <w:color w:val="auto"/>
              </w:rPr>
            </w:pPr>
          </w:p>
        </w:tc>
        <w:tc>
          <w:tcPr>
            <w:tcW w:w="1580" w:type="dxa"/>
            <w:vAlign w:val="bottom"/>
            <w:vMerge w:val="restart"/>
          </w:tcPr>
          <w:p>
            <w:pPr>
              <w:jc w:val="right"/>
              <w:ind w:right="536"/>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204"/>
        </w:trPr>
        <w:tc>
          <w:tcPr>
            <w:tcW w:w="51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2"/>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82"/>
              </w:rPr>
              <w:t>(Losses)</w:t>
            </w:r>
          </w:p>
        </w:tc>
        <w:tc>
          <w:tcPr>
            <w:tcW w:w="3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Short-term corporate bonds</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14,687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960" w:type="dxa"/>
            <w:vAlign w:val="bottom"/>
            <w:gridSpan w:val="2"/>
            <w:shd w:val="clear" w:color="auto" w:fill="CCEEFF"/>
          </w:tcPr>
          <w:p>
            <w:pPr>
              <w:ind w:left="160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14,687</w:t>
            </w:r>
          </w:p>
        </w:tc>
        <w:tc>
          <w:tcPr>
            <w:tcW w:w="0" w:type="dxa"/>
            <w:vAlign w:val="bottom"/>
          </w:tcPr>
          <w:p>
            <w:pPr>
              <w:spacing w:after="0"/>
              <w:rPr>
                <w:sz w:val="1"/>
                <w:szCs w:val="1"/>
                <w:color w:val="auto"/>
              </w:rPr>
            </w:pPr>
          </w:p>
        </w:tc>
      </w:tr>
      <w:tr>
        <w:trPr>
          <w:trHeight w:val="220"/>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Long-term corporate bonds</w:t>
            </w:r>
          </w:p>
        </w:tc>
        <w:tc>
          <w:tcPr>
            <w:tcW w:w="2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12,974</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ind w:left="160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12,974</w:t>
            </w:r>
          </w:p>
        </w:tc>
        <w:tc>
          <w:tcPr>
            <w:tcW w:w="0" w:type="dxa"/>
            <w:vAlign w:val="bottom"/>
          </w:tcPr>
          <w:p>
            <w:pPr>
              <w:spacing w:after="0"/>
              <w:rPr>
                <w:sz w:val="1"/>
                <w:szCs w:val="1"/>
                <w:color w:val="auto"/>
              </w:rPr>
            </w:pPr>
          </w:p>
        </w:tc>
      </w:tr>
      <w:tr>
        <w:trPr>
          <w:trHeight w:val="233"/>
        </w:trPr>
        <w:tc>
          <w:tcPr>
            <w:tcW w:w="51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Total investment securities</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27,661</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960" w:type="dxa"/>
            <w:vAlign w:val="bottom"/>
            <w:gridSpan w:val="2"/>
            <w:shd w:val="clear" w:color="auto" w:fill="CCEEFF"/>
          </w:tcPr>
          <w:p>
            <w:pPr>
              <w:ind w:left="160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27,661</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Investments in Non-Marketable Equity Securities</w:t>
      </w:r>
    </w:p>
    <w:p>
      <w:pPr>
        <w:spacing w:after="0" w:line="244" w:lineRule="exact"/>
        <w:rPr>
          <w:sz w:val="20"/>
          <w:szCs w:val="20"/>
          <w:color w:val="auto"/>
        </w:rPr>
      </w:pPr>
    </w:p>
    <w:p>
      <w:pPr>
        <w:ind w:right="160" w:firstLine="620"/>
        <w:spacing w:after="0" w:line="263" w:lineRule="auto"/>
        <w:rPr>
          <w:sz w:val="20"/>
          <w:szCs w:val="20"/>
          <w:color w:val="auto"/>
        </w:rPr>
      </w:pPr>
      <w:r>
        <w:rPr>
          <w:rFonts w:ascii="Arial" w:cs="Arial" w:eastAsia="Arial" w:hAnsi="Arial"/>
          <w:sz w:val="17"/>
          <w:szCs w:val="17"/>
          <w:color w:val="auto"/>
        </w:rPr>
        <w:t>In September 2021, we acquired approximately a 20% non-marketable equity interest in a nonpublic company and entered into a three-year distribution agreement where we have the exclusive rights to market, sell and distribute the company's products in exchange for a cash payment of $3.3 million. In addition, we were granted an exclusive license for all of the sellers intellectual property. At the expiration of the distribution agreement we have the right but not the obligation to acquire the remaining interest in the business.</w:t>
      </w:r>
    </w:p>
    <w:p>
      <w:pPr>
        <w:spacing w:after="0" w:line="203" w:lineRule="exact"/>
        <w:rPr>
          <w:sz w:val="20"/>
          <w:szCs w:val="20"/>
          <w:color w:val="auto"/>
        </w:rPr>
      </w:pPr>
    </w:p>
    <w:p>
      <w:pPr>
        <w:ind w:right="160" w:firstLine="620"/>
        <w:spacing w:after="0" w:line="295" w:lineRule="auto"/>
        <w:rPr>
          <w:sz w:val="20"/>
          <w:szCs w:val="20"/>
          <w:color w:val="auto"/>
        </w:rPr>
      </w:pPr>
      <w:r>
        <w:rPr>
          <w:rFonts w:ascii="Arial" w:cs="Arial" w:eastAsia="Arial" w:hAnsi="Arial"/>
          <w:sz w:val="15"/>
          <w:szCs w:val="15"/>
          <w:color w:val="auto"/>
        </w:rPr>
        <w:t>We apply the equity method of accounting for investments when we determine we have a significant influence, but not a controlling interest in the investee. We determine whether we have significant influence by considering key factors such as ownership interest, representation on the board of directors, participation in policy making decisions, business relationship and material intercompany transactions, among other factors. Our equity method investment is reported at cost and adjusted each period for our share of the investee's income or (loss) and dividend paid, if any. We eliminate any intra-entity profits to the extent of our beneficial interest. We record our share of the investee's income or (loss) on a one quarter lag. We report our proportionate share of the investee's income or (loss) resulting from this investment in "other income (expense), net" in our Condensed Consolidated Statements of Operations. The carrying value of our equity method investment is reported in "Other Assets" in our Condensed Consolidated Balance Sheets (see Note 10, Prepaid Expenses and Other Current Assets and Other Assets). We assess our equity method investments for impairment on an annual basis or whenever events or circumstances indicate that the carrying value of the investment may not be recoverable. We have not recorded any income or (loss) resulting for this investment as of September 30, 2021.</w:t>
      </w:r>
    </w:p>
    <w:p>
      <w:pPr>
        <w:spacing w:after="0" w:line="18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Our non-marketable equity method investments consisted of the following (in thousands):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20" w:type="dxa"/>
            <w:vAlign w:val="bottom"/>
            <w:gridSpan w:val="2"/>
          </w:tcPr>
          <w:p>
            <w:pPr>
              <w:jc w:val="center"/>
              <w:ind w:right="420"/>
              <w:spacing w:after="0"/>
              <w:rPr>
                <w:sz w:val="20"/>
                <w:szCs w:val="20"/>
                <w:color w:val="auto"/>
              </w:rPr>
            </w:pPr>
            <w:r>
              <w:rPr>
                <w:rFonts w:ascii="Arial" w:cs="Arial" w:eastAsia="Arial" w:hAnsi="Arial"/>
                <w:sz w:val="17"/>
                <w:szCs w:val="17"/>
                <w:b w:val="1"/>
                <w:bCs w:val="1"/>
                <w:color w:val="auto"/>
                <w:w w:val="89"/>
              </w:rPr>
              <w:t>As of</w:t>
            </w:r>
          </w:p>
        </w:tc>
        <w:tc>
          <w:tcPr>
            <w:tcW w:w="280" w:type="dxa"/>
            <w:vAlign w:val="bottom"/>
          </w:tcPr>
          <w:p>
            <w:pPr>
              <w:spacing w:after="0"/>
              <w:rPr>
                <w:sz w:val="16"/>
                <w:szCs w:val="16"/>
                <w:color w:val="auto"/>
              </w:rPr>
            </w:pPr>
          </w:p>
        </w:tc>
        <w:tc>
          <w:tcPr>
            <w:tcW w:w="1960" w:type="dxa"/>
            <w:vAlign w:val="bottom"/>
          </w:tcPr>
          <w:p>
            <w:pPr>
              <w:jc w:val="center"/>
              <w:ind w:right="214"/>
              <w:spacing w:after="0"/>
              <w:rPr>
                <w:sz w:val="20"/>
                <w:szCs w:val="20"/>
                <w:color w:val="auto"/>
              </w:rPr>
            </w:pPr>
            <w:r>
              <w:rPr>
                <w:rFonts w:ascii="Arial" w:cs="Arial" w:eastAsia="Arial" w:hAnsi="Arial"/>
                <w:sz w:val="17"/>
                <w:szCs w:val="17"/>
                <w:b w:val="1"/>
                <w:bCs w:val="1"/>
                <w:color w:val="auto"/>
                <w:w w:val="89"/>
              </w:rPr>
              <w:t>As of</w:t>
            </w:r>
          </w:p>
        </w:tc>
      </w:tr>
      <w:tr>
        <w:trPr>
          <w:trHeight w:val="220"/>
        </w:trPr>
        <w:tc>
          <w:tcPr>
            <w:tcW w:w="6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20" w:type="dxa"/>
            <w:vAlign w:val="bottom"/>
            <w:gridSpan w:val="2"/>
          </w:tcPr>
          <w:p>
            <w:pPr>
              <w:jc w:val="center"/>
              <w:ind w:right="400"/>
              <w:spacing w:after="0"/>
              <w:rPr>
                <w:sz w:val="20"/>
                <w:szCs w:val="20"/>
                <w:color w:val="auto"/>
              </w:rPr>
            </w:pPr>
            <w:r>
              <w:rPr>
                <w:rFonts w:ascii="Arial" w:cs="Arial" w:eastAsia="Arial" w:hAnsi="Arial"/>
                <w:sz w:val="17"/>
                <w:szCs w:val="17"/>
                <w:b w:val="1"/>
                <w:bCs w:val="1"/>
                <w:color w:val="auto"/>
                <w:w w:val="90"/>
              </w:rPr>
              <w:t>September 30, 2021</w:t>
            </w:r>
          </w:p>
        </w:tc>
        <w:tc>
          <w:tcPr>
            <w:tcW w:w="280" w:type="dxa"/>
            <w:vAlign w:val="bottom"/>
          </w:tcPr>
          <w:p>
            <w:pPr>
              <w:spacing w:after="0"/>
              <w:rPr>
                <w:sz w:val="19"/>
                <w:szCs w:val="19"/>
                <w:color w:val="auto"/>
              </w:rPr>
            </w:pPr>
          </w:p>
        </w:tc>
        <w:tc>
          <w:tcPr>
            <w:tcW w:w="1960" w:type="dxa"/>
            <w:vAlign w:val="bottom"/>
          </w:tcPr>
          <w:p>
            <w:pPr>
              <w:jc w:val="center"/>
              <w:ind w:right="174"/>
              <w:spacing w:after="0"/>
              <w:rPr>
                <w:sz w:val="20"/>
                <w:szCs w:val="20"/>
                <w:color w:val="auto"/>
              </w:rPr>
            </w:pPr>
            <w:r>
              <w:rPr>
                <w:rFonts w:ascii="Arial" w:cs="Arial" w:eastAsia="Arial" w:hAnsi="Arial"/>
                <w:sz w:val="17"/>
                <w:szCs w:val="17"/>
                <w:b w:val="1"/>
                <w:bCs w:val="1"/>
                <w:color w:val="auto"/>
                <w:w w:val="90"/>
              </w:rPr>
              <w:t>December 31, 2020</w:t>
            </w:r>
          </w:p>
        </w:tc>
      </w:tr>
      <w:tr>
        <w:trPr>
          <w:trHeight w:val="213"/>
        </w:trPr>
        <w:tc>
          <w:tcPr>
            <w:tcW w:w="6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Equity method investments</w:t>
            </w: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3,250</w:t>
            </w: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960" w:type="dxa"/>
            <w:vAlign w:val="bottom"/>
            <w:tcBorders>
              <w:top w:val="single" w:sz="8" w:color="auto"/>
            </w:tcBorders>
            <w:shd w:val="clear" w:color="auto" w:fill="CCEEFF"/>
          </w:tcPr>
          <w:p>
            <w:pPr>
              <w:ind w:left="1720"/>
              <w:spacing w:after="0"/>
              <w:rPr>
                <w:sz w:val="20"/>
                <w:szCs w:val="20"/>
                <w:color w:val="auto"/>
              </w:rPr>
            </w:pPr>
            <w:r>
              <w:rPr>
                <w:rFonts w:ascii="Arial" w:cs="Arial" w:eastAsia="Arial" w:hAnsi="Arial"/>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7"/>
          <w:szCs w:val="17"/>
          <w:b w:val="1"/>
          <w:bCs w:val="1"/>
          <w:color w:val="auto"/>
        </w:rPr>
        <w:t>ICU MEDICAL, INC. AND SUBSIDIARIES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00" w:lineRule="exact"/>
        <w:rPr>
          <w:sz w:val="20"/>
          <w:szCs w:val="20"/>
          <w:color w:val="auto"/>
        </w:rPr>
      </w:pPr>
    </w:p>
    <w:p>
      <w:pPr>
        <w:spacing w:after="0" w:line="309"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Note 10:</w:t>
      </w:r>
      <w:r>
        <w:rPr>
          <w:sz w:val="20"/>
          <w:szCs w:val="20"/>
          <w:color w:val="auto"/>
        </w:rPr>
        <w:tab/>
      </w:r>
      <w:r>
        <w:rPr>
          <w:rFonts w:ascii="Arial" w:cs="Arial" w:eastAsia="Arial" w:hAnsi="Arial"/>
          <w:sz w:val="15"/>
          <w:szCs w:val="15"/>
          <w:b w:val="1"/>
          <w:bCs w:val="1"/>
          <w:color w:val="auto"/>
        </w:rPr>
        <w:t>Prepaid Expenses and Other Current Assets and Other Assets</w:t>
      </w:r>
    </w:p>
    <w:p>
      <w:pPr>
        <w:spacing w:after="0" w:line="25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Prepaid expenses and other current assets consist of the following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5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September 30, 2021</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175"/>
              <w:spacing w:after="0"/>
              <w:rPr>
                <w:sz w:val="20"/>
                <w:szCs w:val="20"/>
                <w:color w:val="auto"/>
              </w:rPr>
            </w:pPr>
            <w:r>
              <w:rPr>
                <w:rFonts w:ascii="Arial" w:cs="Arial" w:eastAsia="Arial" w:hAnsi="Arial"/>
                <w:sz w:val="16"/>
                <w:szCs w:val="16"/>
                <w:b w:val="1"/>
                <w:bCs w:val="1"/>
                <w:color w:val="auto"/>
                <w:w w:val="91"/>
              </w:rPr>
              <w:t>December 31, 2020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prepaid expenses and receivables</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17,175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520" w:type="dxa"/>
            <w:vAlign w:val="bottom"/>
          </w:tcPr>
          <w:p>
            <w:pPr>
              <w:ind w:left="20"/>
              <w:spacing w:after="0"/>
              <w:rPr>
                <w:sz w:val="20"/>
                <w:szCs w:val="20"/>
                <w:color w:val="auto"/>
              </w:rPr>
            </w:pPr>
            <w:r>
              <w:rPr>
                <w:rFonts w:ascii="Arial" w:cs="Arial" w:eastAsia="Arial" w:hAnsi="Arial"/>
                <w:sz w:val="17"/>
                <w:szCs w:val="17"/>
                <w:color w:val="auto"/>
              </w:rPr>
              <w:t>Deferred costs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5,676</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6,402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Prepaid insurance and property taxes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968</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520" w:type="dxa"/>
            <w:vAlign w:val="bottom"/>
          </w:tcPr>
          <w:p>
            <w:pPr>
              <w:ind w:left="20"/>
              <w:spacing w:after="0"/>
              <w:rPr>
                <w:sz w:val="20"/>
                <w:szCs w:val="20"/>
                <w:color w:val="auto"/>
              </w:rPr>
            </w:pPr>
            <w:r>
              <w:rPr>
                <w:rFonts w:ascii="Arial" w:cs="Arial" w:eastAsia="Arial" w:hAnsi="Arial"/>
                <w:sz w:val="17"/>
                <w:szCs w:val="17"/>
                <w:color w:val="auto"/>
              </w:rPr>
              <w:t>VAT/GST receivable</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2,562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3,676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tax charge</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4,130</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520" w:type="dxa"/>
            <w:vAlign w:val="bottom"/>
          </w:tcPr>
          <w:p>
            <w:pPr>
              <w:ind w:left="20"/>
              <w:spacing w:after="0"/>
              <w:rPr>
                <w:sz w:val="20"/>
                <w:szCs w:val="20"/>
                <w:color w:val="auto"/>
              </w:rPr>
            </w:pPr>
            <w:r>
              <w:rPr>
                <w:rFonts w:ascii="Arial" w:cs="Arial" w:eastAsia="Arial" w:hAnsi="Arial"/>
                <w:sz w:val="17"/>
                <w:szCs w:val="17"/>
                <w:color w:val="auto"/>
              </w:rPr>
              <w:t>Foreign exchange forward contract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772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3,555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Deposits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1,317</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5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w:t>
            </w: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2,118</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52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34,718</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41,492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520" w:type="dxa"/>
            <w:vAlign w:val="bottom"/>
            <w:tcBorders>
              <w:top w:val="single" w:sz="8" w:color="CCEEFF"/>
              <w:bottom w:val="single" w:sz="8" w:color="CCEEFF"/>
            </w:tcBorders>
            <w:vMerge w:val="restart"/>
          </w:tcPr>
          <w:p>
            <w:pPr>
              <w:ind w:left="620"/>
              <w:spacing w:after="0"/>
              <w:rPr>
                <w:sz w:val="20"/>
                <w:szCs w:val="20"/>
                <w:color w:val="auto"/>
              </w:rPr>
            </w:pPr>
            <w:r>
              <w:rPr>
                <w:rFonts w:ascii="Arial" w:cs="Arial" w:eastAsia="Arial" w:hAnsi="Arial"/>
                <w:sz w:val="17"/>
                <w:szCs w:val="17"/>
                <w:color w:val="auto"/>
              </w:rPr>
              <w:t>Other assets consist of the following (in thousands):</w:t>
            </w: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0"/>
        </w:trPr>
        <w:tc>
          <w:tcPr>
            <w:tcW w:w="75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7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gridSpan w:val="3"/>
          </w:tcPr>
          <w:p>
            <w:pPr>
              <w:ind w:left="60"/>
              <w:spacing w:after="0"/>
              <w:rPr>
                <w:sz w:val="20"/>
                <w:szCs w:val="20"/>
                <w:color w:val="auto"/>
              </w:rPr>
            </w:pPr>
            <w:r>
              <w:rPr>
                <w:rFonts w:ascii="Arial" w:cs="Arial" w:eastAsia="Arial" w:hAnsi="Arial"/>
                <w:sz w:val="16"/>
                <w:szCs w:val="16"/>
                <w:b w:val="1"/>
                <w:bCs w:val="1"/>
                <w:color w:val="auto"/>
              </w:rPr>
              <w:t>September 30, 2021</w:t>
            </w:r>
          </w:p>
        </w:tc>
        <w:tc>
          <w:tcPr>
            <w:tcW w:w="180" w:type="dxa"/>
            <w:vAlign w:val="bottom"/>
          </w:tcPr>
          <w:p>
            <w:pPr>
              <w:spacing w:after="0"/>
              <w:rPr>
                <w:sz w:val="24"/>
                <w:szCs w:val="24"/>
                <w:color w:val="auto"/>
              </w:rPr>
            </w:pPr>
          </w:p>
        </w:tc>
        <w:tc>
          <w:tcPr>
            <w:tcW w:w="1600" w:type="dxa"/>
            <w:vAlign w:val="bottom"/>
          </w:tcPr>
          <w:p>
            <w:pPr>
              <w:jc w:val="right"/>
              <w:ind w:right="155"/>
              <w:spacing w:after="0"/>
              <w:rPr>
                <w:sz w:val="20"/>
                <w:szCs w:val="20"/>
                <w:color w:val="auto"/>
              </w:rPr>
            </w:pPr>
            <w:r>
              <w:rPr>
                <w:rFonts w:ascii="Arial" w:cs="Arial" w:eastAsia="Arial" w:hAnsi="Arial"/>
                <w:sz w:val="16"/>
                <w:szCs w:val="16"/>
                <w:b w:val="1"/>
                <w:bCs w:val="1"/>
                <w:color w:val="auto"/>
                <w:w w:val="92"/>
              </w:rPr>
              <w:t>December 31, 2020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7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Pump lease receivables</w:t>
            </w:r>
          </w:p>
        </w:tc>
        <w:tc>
          <w:tcPr>
            <w:tcW w:w="18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4"/>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27,043</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28,948</w:t>
            </w: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520" w:type="dxa"/>
            <w:vAlign w:val="bottom"/>
          </w:tcPr>
          <w:p>
            <w:pPr>
              <w:ind w:left="20"/>
              <w:spacing w:after="0"/>
              <w:rPr>
                <w:sz w:val="20"/>
                <w:szCs w:val="20"/>
                <w:color w:val="auto"/>
              </w:rPr>
            </w:pPr>
            <w:r>
              <w:rPr>
                <w:rFonts w:ascii="Arial" w:cs="Arial" w:eastAsia="Arial" w:hAnsi="Arial"/>
                <w:sz w:val="17"/>
                <w:szCs w:val="17"/>
                <w:color w:val="auto"/>
              </w:rPr>
              <w:t>Spare parts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26,486</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22,725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Equity method investments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3,250</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520" w:type="dxa"/>
            <w:vAlign w:val="bottom"/>
          </w:tcPr>
          <w:p>
            <w:pPr>
              <w:ind w:left="20"/>
              <w:spacing w:after="0"/>
              <w:rPr>
                <w:sz w:val="20"/>
                <w:szCs w:val="20"/>
                <w:color w:val="auto"/>
              </w:rPr>
            </w:pPr>
            <w:r>
              <w:rPr>
                <w:rFonts w:ascii="Arial" w:cs="Arial" w:eastAsia="Arial" w:hAnsi="Arial"/>
                <w:sz w:val="17"/>
                <w:szCs w:val="17"/>
                <w:color w:val="auto"/>
              </w:rPr>
              <w:t>Financed lease assets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2,690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2,915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1,330</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887</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5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60,799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55,475</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11: Inventories</w:t>
      </w:r>
    </w:p>
    <w:p>
      <w:pPr>
        <w:spacing w:after="0" w:line="224" w:lineRule="exact"/>
        <w:rPr>
          <w:sz w:val="20"/>
          <w:szCs w:val="20"/>
          <w:color w:val="auto"/>
        </w:rPr>
      </w:pPr>
    </w:p>
    <w:p>
      <w:pPr>
        <w:jc w:val="both"/>
        <w:ind w:right="60" w:firstLine="172"/>
        <w:spacing w:after="0" w:line="353" w:lineRule="auto"/>
        <w:rPr>
          <w:sz w:val="20"/>
          <w:szCs w:val="20"/>
          <w:color w:val="auto"/>
        </w:rPr>
      </w:pPr>
      <w:r>
        <w:rPr>
          <w:rFonts w:ascii="Arial" w:cs="Arial" w:eastAsia="Arial" w:hAnsi="Arial"/>
          <w:sz w:val="15"/>
          <w:szCs w:val="15"/>
          <w:color w:val="auto"/>
        </w:rPr>
        <w:t>Inventories are stated at the lower of cost or net realizable value with cost determined using the first-in, first-out method. Inventory costs consist of those costs directly attributable to products prior to sale including among other things raw material, labor and overhead. Inventories consisted of the following (in thousands):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 2021</w:t>
            </w:r>
          </w:p>
        </w:tc>
        <w:tc>
          <w:tcPr>
            <w:tcW w:w="200" w:type="dxa"/>
            <w:vAlign w:val="bottom"/>
          </w:tcPr>
          <w:p>
            <w:pPr>
              <w:spacing w:after="0"/>
              <w:rPr>
                <w:sz w:val="17"/>
                <w:szCs w:val="17"/>
                <w:color w:val="auto"/>
              </w:rPr>
            </w:pPr>
          </w:p>
        </w:tc>
        <w:tc>
          <w:tcPr>
            <w:tcW w:w="1620" w:type="dxa"/>
            <w:vAlign w:val="bottom"/>
          </w:tcPr>
          <w:p>
            <w:pPr>
              <w:jc w:val="right"/>
              <w:ind w:right="196"/>
              <w:spacing w:after="0"/>
              <w:rPr>
                <w:sz w:val="20"/>
                <w:szCs w:val="20"/>
                <w:color w:val="auto"/>
              </w:rPr>
            </w:pPr>
            <w:r>
              <w:rPr>
                <w:rFonts w:ascii="Arial" w:cs="Arial" w:eastAsia="Arial" w:hAnsi="Arial"/>
                <w:sz w:val="16"/>
                <w:szCs w:val="16"/>
                <w:b w:val="1"/>
                <w:bCs w:val="1"/>
                <w:color w:val="auto"/>
                <w:w w:val="91"/>
              </w:rPr>
              <w:t>December 31, 2020</w:t>
            </w:r>
          </w:p>
        </w:tc>
      </w:tr>
      <w:tr>
        <w:trPr>
          <w:trHeight w:val="215"/>
        </w:trPr>
        <w:tc>
          <w:tcPr>
            <w:tcW w:w="7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Raw materials</w:t>
            </w: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119,552</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126,499</w:t>
            </w:r>
          </w:p>
        </w:tc>
      </w:tr>
      <w:tr>
        <w:trPr>
          <w:trHeight w:val="220"/>
        </w:trPr>
        <w:tc>
          <w:tcPr>
            <w:tcW w:w="7460" w:type="dxa"/>
            <w:vAlign w:val="bottom"/>
          </w:tcPr>
          <w:p>
            <w:pPr>
              <w:ind w:left="20"/>
              <w:spacing w:after="0"/>
              <w:rPr>
                <w:sz w:val="20"/>
                <w:szCs w:val="20"/>
                <w:color w:val="auto"/>
              </w:rPr>
            </w:pPr>
            <w:r>
              <w:rPr>
                <w:rFonts w:ascii="Arial" w:cs="Arial" w:eastAsia="Arial" w:hAnsi="Arial"/>
                <w:sz w:val="17"/>
                <w:szCs w:val="17"/>
                <w:color w:val="auto"/>
              </w:rPr>
              <w:t>Work in process</w:t>
            </w: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42,312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33,053</w:t>
            </w:r>
          </w:p>
        </w:tc>
      </w:tr>
      <w:tr>
        <w:trPr>
          <w:trHeight w:val="220"/>
        </w:trPr>
        <w:tc>
          <w:tcPr>
            <w:tcW w:w="7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Finished goods</w:t>
            </w:r>
          </w:p>
        </w:tc>
        <w:tc>
          <w:tcPr>
            <w:tcW w:w="2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129,737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155,376</w:t>
            </w:r>
          </w:p>
        </w:tc>
      </w:tr>
      <w:tr>
        <w:trPr>
          <w:trHeight w:val="213"/>
        </w:trPr>
        <w:tc>
          <w:tcPr>
            <w:tcW w:w="7460" w:type="dxa"/>
            <w:vAlign w:val="bottom"/>
          </w:tcPr>
          <w:p>
            <w:pPr>
              <w:ind w:left="140"/>
              <w:spacing w:after="0"/>
              <w:rPr>
                <w:sz w:val="20"/>
                <w:szCs w:val="20"/>
                <w:color w:val="auto"/>
              </w:rPr>
            </w:pPr>
            <w:r>
              <w:rPr>
                <w:rFonts w:ascii="Arial" w:cs="Arial" w:eastAsia="Arial" w:hAnsi="Arial"/>
                <w:sz w:val="17"/>
                <w:szCs w:val="17"/>
                <w:color w:val="auto"/>
              </w:rPr>
              <w:t>Total inventories</w:t>
            </w: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291,601</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314,928</w:t>
            </w:r>
          </w:p>
        </w:tc>
      </w:tr>
      <w:tr>
        <w:trPr>
          <w:trHeight w:val="20"/>
        </w:trPr>
        <w:tc>
          <w:tcPr>
            <w:tcW w:w="7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7"/>
          <w:szCs w:val="17"/>
          <w:b w:val="1"/>
          <w:bCs w:val="1"/>
          <w:color w:val="auto"/>
        </w:rPr>
        <w:t>ICU MEDICAL, INC. AND SUBSIDIARIES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00" w:lineRule="exact"/>
        <w:rPr>
          <w:sz w:val="20"/>
          <w:szCs w:val="20"/>
          <w:color w:val="auto"/>
        </w:rPr>
      </w:pPr>
    </w:p>
    <w:p>
      <w:pPr>
        <w:spacing w:after="0" w:line="309"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Note 12:</w:t>
      </w:r>
      <w:r>
        <w:rPr>
          <w:sz w:val="20"/>
          <w:szCs w:val="20"/>
          <w:color w:val="auto"/>
        </w:rPr>
        <w:tab/>
      </w:r>
      <w:r>
        <w:rPr>
          <w:rFonts w:ascii="Arial" w:cs="Arial" w:eastAsia="Arial" w:hAnsi="Arial"/>
          <w:sz w:val="15"/>
          <w:szCs w:val="15"/>
          <w:b w:val="1"/>
          <w:bCs w:val="1"/>
          <w:color w:val="auto"/>
        </w:rPr>
        <w:t>Property and Equipment</w:t>
      </w:r>
    </w:p>
    <w:p>
      <w:pPr>
        <w:spacing w:after="0" w:line="25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Property and equipment consisted of the following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gridSpan w:val="2"/>
          </w:tcPr>
          <w:p>
            <w:pPr>
              <w:ind w:left="100"/>
              <w:spacing w:after="0"/>
              <w:rPr>
                <w:sz w:val="20"/>
                <w:szCs w:val="20"/>
                <w:color w:val="auto"/>
              </w:rPr>
            </w:pPr>
            <w:r>
              <w:rPr>
                <w:rFonts w:ascii="Arial" w:cs="Arial" w:eastAsia="Arial" w:hAnsi="Arial"/>
                <w:sz w:val="16"/>
                <w:szCs w:val="16"/>
                <w:b w:val="1"/>
                <w:bCs w:val="1"/>
                <w:color w:val="auto"/>
              </w:rPr>
              <w:t>September 30, 2021</w:t>
            </w:r>
          </w:p>
        </w:tc>
        <w:tc>
          <w:tcPr>
            <w:tcW w:w="220" w:type="dxa"/>
            <w:vAlign w:val="bottom"/>
          </w:tcPr>
          <w:p>
            <w:pPr>
              <w:spacing w:after="0"/>
              <w:rPr>
                <w:sz w:val="17"/>
                <w:szCs w:val="17"/>
                <w:color w:val="auto"/>
              </w:rPr>
            </w:pPr>
          </w:p>
        </w:tc>
        <w:tc>
          <w:tcPr>
            <w:tcW w:w="1680" w:type="dxa"/>
            <w:vAlign w:val="bottom"/>
          </w:tcPr>
          <w:p>
            <w:pPr>
              <w:jc w:val="right"/>
              <w:ind w:right="235"/>
              <w:spacing w:after="0"/>
              <w:rPr>
                <w:sz w:val="20"/>
                <w:szCs w:val="20"/>
                <w:color w:val="auto"/>
              </w:rPr>
            </w:pPr>
            <w:r>
              <w:rPr>
                <w:rFonts w:ascii="Arial" w:cs="Arial" w:eastAsia="Arial" w:hAnsi="Arial"/>
                <w:sz w:val="16"/>
                <w:szCs w:val="16"/>
                <w:b w:val="1"/>
                <w:bCs w:val="1"/>
                <w:color w:val="auto"/>
                <w:w w:val="92"/>
              </w:rPr>
              <w:t>December 31, 2020</w:t>
            </w:r>
          </w:p>
        </w:tc>
      </w:tr>
      <w:tr>
        <w:trPr>
          <w:trHeight w:val="215"/>
        </w:trPr>
        <w:tc>
          <w:tcPr>
            <w:tcW w:w="7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Machinery and equipment</w:t>
            </w: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310,651</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291,331</w:t>
            </w:r>
          </w:p>
        </w:tc>
      </w:tr>
      <w:tr>
        <w:trPr>
          <w:trHeight w:val="220"/>
        </w:trPr>
        <w:tc>
          <w:tcPr>
            <w:tcW w:w="7340" w:type="dxa"/>
            <w:vAlign w:val="bottom"/>
          </w:tcPr>
          <w:p>
            <w:pPr>
              <w:ind w:left="20"/>
              <w:spacing w:after="0"/>
              <w:rPr>
                <w:sz w:val="20"/>
                <w:szCs w:val="20"/>
                <w:color w:val="auto"/>
              </w:rPr>
            </w:pPr>
            <w:r>
              <w:rPr>
                <w:rFonts w:ascii="Arial" w:cs="Arial" w:eastAsia="Arial" w:hAnsi="Arial"/>
                <w:sz w:val="17"/>
                <w:szCs w:val="17"/>
                <w:color w:val="auto"/>
              </w:rPr>
              <w:t>Land, building and building improvements</w:t>
            </w: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242,786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241,199</w:t>
            </w:r>
          </w:p>
        </w:tc>
      </w:tr>
      <w:tr>
        <w:trPr>
          <w:trHeight w:val="220"/>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Molds</w:t>
            </w: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60,380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60,381</w:t>
            </w:r>
          </w:p>
        </w:tc>
      </w:tr>
      <w:tr>
        <w:trPr>
          <w:trHeight w:val="220"/>
        </w:trPr>
        <w:tc>
          <w:tcPr>
            <w:tcW w:w="7340" w:type="dxa"/>
            <w:vAlign w:val="bottom"/>
          </w:tcPr>
          <w:p>
            <w:pPr>
              <w:ind w:left="20"/>
              <w:spacing w:after="0"/>
              <w:rPr>
                <w:sz w:val="20"/>
                <w:szCs w:val="20"/>
                <w:color w:val="auto"/>
              </w:rPr>
            </w:pPr>
            <w:r>
              <w:rPr>
                <w:rFonts w:ascii="Arial" w:cs="Arial" w:eastAsia="Arial" w:hAnsi="Arial"/>
                <w:sz w:val="17"/>
                <w:szCs w:val="17"/>
                <w:color w:val="auto"/>
              </w:rPr>
              <w:t>Computer equipment and software</w:t>
            </w: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99,781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98,311</w:t>
            </w:r>
          </w:p>
        </w:tc>
      </w:tr>
      <w:tr>
        <w:trPr>
          <w:trHeight w:val="220"/>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Furniture and fixtures</w:t>
            </w: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7,767</w:t>
            </w:r>
          </w:p>
        </w:tc>
      </w:tr>
      <w:tr>
        <w:trPr>
          <w:trHeight w:val="220"/>
        </w:trPr>
        <w:tc>
          <w:tcPr>
            <w:tcW w:w="7340" w:type="dxa"/>
            <w:vAlign w:val="bottom"/>
          </w:tcPr>
          <w:p>
            <w:pPr>
              <w:ind w:left="20"/>
              <w:spacing w:after="0" w:line="220" w:lineRule="exact"/>
              <w:rPr>
                <w:sz w:val="20"/>
                <w:szCs w:val="20"/>
                <w:color w:val="auto"/>
              </w:rPr>
            </w:pPr>
            <w:r>
              <w:rPr>
                <w:rFonts w:ascii="Arial" w:cs="Arial" w:eastAsia="Arial" w:hAnsi="Arial"/>
                <w:sz w:val="17"/>
                <w:szCs w:val="17"/>
                <w:color w:val="auto"/>
              </w:rPr>
              <w:t>Instruments placed with customers</w:t>
            </w:r>
            <w:r>
              <w:rPr>
                <w:rFonts w:ascii="Arial" w:cs="Arial" w:eastAsia="Arial" w:hAnsi="Arial"/>
                <w:sz w:val="22"/>
                <w:szCs w:val="22"/>
                <w:color w:val="auto"/>
                <w:vertAlign w:val="superscript"/>
              </w:rPr>
              <w:t>(1)</w:t>
            </w: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96,499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90,383</w:t>
            </w:r>
          </w:p>
        </w:tc>
      </w:tr>
      <w:tr>
        <w:trPr>
          <w:trHeight w:val="220"/>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Construction in progress</w:t>
            </w:r>
          </w:p>
        </w:tc>
        <w:tc>
          <w:tcPr>
            <w:tcW w:w="2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61,890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53,724</w:t>
            </w:r>
          </w:p>
        </w:tc>
      </w:tr>
      <w:tr>
        <w:trPr>
          <w:trHeight w:val="213"/>
        </w:trPr>
        <w:tc>
          <w:tcPr>
            <w:tcW w:w="7340" w:type="dxa"/>
            <w:vAlign w:val="bottom"/>
          </w:tcPr>
          <w:p>
            <w:pPr>
              <w:ind w:left="140"/>
              <w:spacing w:after="0"/>
              <w:rPr>
                <w:sz w:val="20"/>
                <w:szCs w:val="20"/>
                <w:color w:val="auto"/>
              </w:rPr>
            </w:pPr>
            <w:r>
              <w:rPr>
                <w:rFonts w:ascii="Arial" w:cs="Arial" w:eastAsia="Arial" w:hAnsi="Arial"/>
                <w:sz w:val="17"/>
                <w:szCs w:val="17"/>
                <w:color w:val="auto"/>
              </w:rPr>
              <w:t>Total property and equipment, cost</w:t>
            </w: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879,673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843,096</w:t>
            </w:r>
          </w:p>
        </w:tc>
      </w:tr>
      <w:tr>
        <w:trPr>
          <w:trHeight w:val="220"/>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Accumulated depreciation</w:t>
            </w:r>
          </w:p>
        </w:tc>
        <w:tc>
          <w:tcPr>
            <w:tcW w:w="2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(421,632)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(376,468)</w:t>
            </w:r>
          </w:p>
        </w:tc>
      </w:tr>
      <w:tr>
        <w:trPr>
          <w:trHeight w:val="213"/>
        </w:trPr>
        <w:tc>
          <w:tcPr>
            <w:tcW w:w="7340" w:type="dxa"/>
            <w:vAlign w:val="bottom"/>
          </w:tcPr>
          <w:p>
            <w:pPr>
              <w:ind w:left="20"/>
              <w:spacing w:after="0"/>
              <w:rPr>
                <w:sz w:val="20"/>
                <w:szCs w:val="20"/>
                <w:color w:val="auto"/>
              </w:rPr>
            </w:pPr>
            <w:r>
              <w:rPr>
                <w:rFonts w:ascii="Arial" w:cs="Arial" w:eastAsia="Arial" w:hAnsi="Arial"/>
                <w:sz w:val="17"/>
                <w:szCs w:val="17"/>
                <w:color w:val="auto"/>
              </w:rPr>
              <w:t>Property and equipment, net</w:t>
            </w: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458,041</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466,628</w:t>
            </w:r>
          </w:p>
        </w:tc>
      </w:tr>
      <w:tr>
        <w:trPr>
          <w:trHeight w:val="20"/>
        </w:trPr>
        <w:tc>
          <w:tcPr>
            <w:tcW w:w="7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65"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w:t>
      </w:r>
    </w:p>
    <w:p>
      <w:pPr>
        <w:spacing w:after="0" w:line="102" w:lineRule="exact"/>
        <w:rPr>
          <w:sz w:val="20"/>
          <w:szCs w:val="20"/>
          <w:color w:val="auto"/>
        </w:rPr>
      </w:pPr>
    </w:p>
    <w:p>
      <w:pPr>
        <w:ind w:left="160" w:hanging="157"/>
        <w:spacing w:after="0"/>
        <w:tabs>
          <w:tab w:leader="none" w:pos="160" w:val="left"/>
        </w:tabs>
        <w:numPr>
          <w:ilvl w:val="0"/>
          <w:numId w:val="5"/>
        </w:numPr>
        <w:rPr>
          <w:rFonts w:ascii="Arial" w:cs="Arial" w:eastAsia="Arial" w:hAnsi="Arial"/>
          <w:sz w:val="19"/>
          <w:szCs w:val="19"/>
          <w:color w:val="auto"/>
          <w:vertAlign w:val="superscript"/>
        </w:rPr>
      </w:pPr>
      <w:r>
        <w:rPr>
          <w:rFonts w:ascii="Arial" w:cs="Arial" w:eastAsia="Arial" w:hAnsi="Arial"/>
          <w:sz w:val="15"/>
          <w:szCs w:val="15"/>
          <w:color w:val="auto"/>
        </w:rPr>
        <w:t>Instruments placed with customers consist of drug-delivery and monitoring systems placed with customers under operating leases.</w:t>
      </w:r>
    </w:p>
    <w:p>
      <w:pPr>
        <w:spacing w:after="0" w:line="221" w:lineRule="exact"/>
        <w:rPr>
          <w:sz w:val="20"/>
          <w:szCs w:val="20"/>
          <w:color w:val="auto"/>
        </w:rPr>
      </w:pPr>
    </w:p>
    <w:p>
      <w:pPr>
        <w:ind w:right="80" w:firstLine="172"/>
        <w:spacing w:after="0" w:line="283" w:lineRule="auto"/>
        <w:rPr>
          <w:sz w:val="20"/>
          <w:szCs w:val="20"/>
          <w:color w:val="auto"/>
        </w:rPr>
      </w:pPr>
      <w:r>
        <w:rPr>
          <w:rFonts w:ascii="Arial" w:cs="Arial" w:eastAsia="Arial" w:hAnsi="Arial"/>
          <w:sz w:val="17"/>
          <w:szCs w:val="17"/>
          <w:color w:val="auto"/>
        </w:rPr>
        <w:t>Depreciation expense was $16.4 million and $49.1 million for the three and nine months ended September 30, 2021, respectively, as compared to $15.6 million and $46.7 million for the three and nine months ended September 30, 2020, respectively.</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000" w:type="dxa"/>
            <w:vAlign w:val="bottom"/>
            <w:gridSpan w:val="2"/>
          </w:tcPr>
          <w:p>
            <w:pPr>
              <w:spacing w:after="0"/>
              <w:rPr>
                <w:sz w:val="20"/>
                <w:szCs w:val="20"/>
                <w:color w:val="auto"/>
              </w:rPr>
            </w:pPr>
            <w:r>
              <w:rPr>
                <w:rFonts w:ascii="Arial" w:cs="Arial" w:eastAsia="Arial" w:hAnsi="Arial"/>
                <w:sz w:val="17"/>
                <w:szCs w:val="17"/>
                <w:b w:val="1"/>
                <w:bCs w:val="1"/>
                <w:color w:val="auto"/>
              </w:rPr>
              <w:t>Note 13: Goodwill and Intangible Assets, Net</w:t>
            </w:r>
          </w:p>
        </w:tc>
        <w:tc>
          <w:tcPr>
            <w:tcW w:w="52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439"/>
        </w:trPr>
        <w:tc>
          <w:tcPr>
            <w:tcW w:w="9000" w:type="dxa"/>
            <w:vAlign w:val="bottom"/>
            <w:gridSpan w:val="2"/>
          </w:tcPr>
          <w:p>
            <w:pPr>
              <w:spacing w:after="0"/>
              <w:rPr>
                <w:sz w:val="20"/>
                <w:szCs w:val="20"/>
                <w:color w:val="auto"/>
              </w:rPr>
            </w:pPr>
            <w:r>
              <w:rPr>
                <w:rFonts w:ascii="Arial" w:cs="Arial" w:eastAsia="Arial" w:hAnsi="Arial"/>
                <w:sz w:val="17"/>
                <w:szCs w:val="17"/>
                <w:i w:val="1"/>
                <w:iCs w:val="1"/>
                <w:color w:val="auto"/>
              </w:rPr>
              <w:t>Goodwill</w:t>
            </w:r>
          </w:p>
        </w:tc>
        <w:tc>
          <w:tcPr>
            <w:tcW w:w="52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439"/>
        </w:trPr>
        <w:tc>
          <w:tcPr>
            <w:tcW w:w="20" w:type="dxa"/>
            <w:vAlign w:val="bottom"/>
          </w:tcPr>
          <w:p>
            <w:pPr>
              <w:spacing w:after="0"/>
              <w:rPr>
                <w:sz w:val="24"/>
                <w:szCs w:val="24"/>
                <w:color w:val="auto"/>
              </w:rPr>
            </w:pPr>
          </w:p>
        </w:tc>
        <w:tc>
          <w:tcPr>
            <w:tcW w:w="8980" w:type="dxa"/>
            <w:vAlign w:val="bottom"/>
          </w:tcPr>
          <w:p>
            <w:pPr>
              <w:ind w:left="160"/>
              <w:spacing w:after="0"/>
              <w:rPr>
                <w:sz w:val="20"/>
                <w:szCs w:val="20"/>
                <w:color w:val="auto"/>
              </w:rPr>
            </w:pPr>
            <w:r>
              <w:rPr>
                <w:rFonts w:ascii="Arial" w:cs="Arial" w:eastAsia="Arial" w:hAnsi="Arial"/>
                <w:sz w:val="17"/>
                <w:szCs w:val="17"/>
                <w:color w:val="auto"/>
              </w:rPr>
              <w:t>The following table presents the changes in the carrying amount of our goodwill (in thousands):</w:t>
            </w:r>
          </w:p>
        </w:tc>
        <w:tc>
          <w:tcPr>
            <w:tcW w:w="52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36"/>
        </w:trPr>
        <w:tc>
          <w:tcPr>
            <w:tcW w:w="20" w:type="dxa"/>
            <w:vAlign w:val="bottom"/>
          </w:tcPr>
          <w:p>
            <w:pPr>
              <w:spacing w:after="0"/>
              <w:rPr>
                <w:sz w:val="24"/>
                <w:szCs w:val="24"/>
                <w:color w:val="auto"/>
              </w:rPr>
            </w:pPr>
          </w:p>
        </w:tc>
        <w:tc>
          <w:tcPr>
            <w:tcW w:w="8980" w:type="dxa"/>
            <w:vAlign w:val="bottom"/>
            <w:tcBorders>
              <w:bottom w:val="single" w:sz="8" w:color="CCEEFF"/>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ind w:right="854"/>
              <w:spacing w:after="0"/>
              <w:rPr>
                <w:sz w:val="20"/>
                <w:szCs w:val="20"/>
                <w:color w:val="auto"/>
              </w:rPr>
            </w:pPr>
            <w:r>
              <w:rPr>
                <w:rFonts w:ascii="Arial" w:cs="Arial" w:eastAsia="Arial" w:hAnsi="Arial"/>
                <w:sz w:val="17"/>
                <w:szCs w:val="17"/>
                <w:b w:val="1"/>
                <w:bCs w:val="1"/>
                <w:color w:val="auto"/>
              </w:rPr>
              <w:t>Total</w:t>
            </w:r>
          </w:p>
        </w:tc>
      </w:tr>
      <w:tr>
        <w:trPr>
          <w:trHeight w:val="213"/>
        </w:trPr>
        <w:tc>
          <w:tcPr>
            <w:tcW w:w="20" w:type="dxa"/>
            <w:vAlign w:val="bottom"/>
          </w:tcPr>
          <w:p>
            <w:pPr>
              <w:spacing w:after="0"/>
              <w:rPr>
                <w:sz w:val="18"/>
                <w:szCs w:val="18"/>
                <w:color w:val="auto"/>
              </w:rPr>
            </w:pPr>
          </w:p>
        </w:tc>
        <w:tc>
          <w:tcPr>
            <w:tcW w:w="8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as of January 1, 2021</w:t>
            </w:r>
          </w:p>
        </w:tc>
        <w:tc>
          <w:tcPr>
            <w:tcW w:w="52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33,001</w:t>
            </w:r>
          </w:p>
        </w:tc>
      </w:tr>
      <w:tr>
        <w:trPr>
          <w:trHeight w:val="220"/>
        </w:trPr>
        <w:tc>
          <w:tcPr>
            <w:tcW w:w="20" w:type="dxa"/>
            <w:vAlign w:val="bottom"/>
          </w:tcPr>
          <w:p>
            <w:pPr>
              <w:spacing w:after="0"/>
              <w:rPr>
                <w:sz w:val="19"/>
                <w:szCs w:val="19"/>
                <w:color w:val="auto"/>
              </w:rPr>
            </w:pPr>
          </w:p>
        </w:tc>
        <w:tc>
          <w:tcPr>
            <w:tcW w:w="898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Currency translation</w:t>
            </w:r>
          </w:p>
        </w:tc>
        <w:tc>
          <w:tcPr>
            <w:tcW w:w="5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(241)</w:t>
            </w:r>
          </w:p>
        </w:tc>
      </w:tr>
      <w:tr>
        <w:trPr>
          <w:trHeight w:val="238"/>
        </w:trPr>
        <w:tc>
          <w:tcPr>
            <w:tcW w:w="20" w:type="dxa"/>
            <w:vAlign w:val="bottom"/>
          </w:tcPr>
          <w:p>
            <w:pPr>
              <w:spacing w:after="0"/>
              <w:rPr>
                <w:sz w:val="20"/>
                <w:szCs w:val="20"/>
                <w:color w:val="auto"/>
              </w:rPr>
            </w:pPr>
          </w:p>
        </w:tc>
        <w:tc>
          <w:tcPr>
            <w:tcW w:w="8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as of September 30, 2021</w:t>
            </w:r>
          </w:p>
        </w:tc>
        <w:tc>
          <w:tcPr>
            <w:tcW w:w="520" w:type="dxa"/>
            <w:vAlign w:val="bottom"/>
            <w:tcBorders>
              <w:bottom w:val="single" w:sz="8" w:color="auto"/>
            </w:tcBorders>
            <w:shd w:val="clear" w:color="auto" w:fill="CCEEFF"/>
          </w:tcPr>
          <w:p>
            <w:pPr>
              <w:jc w:val="right"/>
              <w:ind w:right="314"/>
              <w:spacing w:after="0"/>
              <w:rPr>
                <w:sz w:val="20"/>
                <w:szCs w:val="20"/>
                <w:color w:val="auto"/>
              </w:rPr>
            </w:pPr>
            <w:r>
              <w:rPr>
                <w:rFonts w:ascii="Arial" w:cs="Arial" w:eastAsia="Arial" w:hAnsi="Arial"/>
                <w:sz w:val="17"/>
                <w:szCs w:val="17"/>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32,760</w:t>
            </w:r>
          </w:p>
        </w:tc>
      </w:tr>
      <w:tr>
        <w:trPr>
          <w:trHeight w:val="20"/>
        </w:trPr>
        <w:tc>
          <w:tcPr>
            <w:tcW w:w="20" w:type="dxa"/>
            <w:vAlign w:val="bottom"/>
          </w:tcPr>
          <w:p>
            <w:pPr>
              <w:spacing w:after="0" w:line="20" w:lineRule="exact"/>
              <w:rPr>
                <w:sz w:val="1"/>
                <w:szCs w:val="1"/>
                <w:color w:val="auto"/>
              </w:rPr>
            </w:pPr>
          </w:p>
        </w:tc>
        <w:tc>
          <w:tcPr>
            <w:tcW w:w="89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29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Intangible Assets, Net</w:t>
      </w:r>
    </w:p>
    <w:p>
      <w:pPr>
        <w:spacing w:after="0" w:line="244" w:lineRule="exact"/>
        <w:rPr>
          <w:sz w:val="20"/>
          <w:szCs w:val="20"/>
          <w:color w:val="auto"/>
        </w:rPr>
      </w:pPr>
    </w:p>
    <w:p>
      <w:pPr>
        <w:ind w:left="180"/>
        <w:spacing w:after="0"/>
        <w:rPr>
          <w:sz w:val="20"/>
          <w:szCs w:val="20"/>
          <w:color w:val="auto"/>
        </w:rPr>
      </w:pPr>
      <w:r>
        <w:rPr>
          <w:rFonts w:ascii="Arial" w:cs="Arial" w:eastAsia="Arial" w:hAnsi="Arial"/>
          <w:sz w:val="17"/>
          <w:szCs w:val="17"/>
          <w:color w:val="auto"/>
        </w:rPr>
        <w:t>Intangible assets, carried at cost less accumulated amortization and amortized on a straight-lined basis, were as follows (in thousands):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7"/>
          <w:szCs w:val="17"/>
          <w:b w:val="1"/>
          <w:bCs w:val="1"/>
          <w:color w:val="auto"/>
        </w:rPr>
        <w:t>ICU MEDICAL, INC. AND SUBSIDIARIES</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80" w:type="dxa"/>
            <w:vAlign w:val="bottom"/>
          </w:tcPr>
          <w:p>
            <w:pPr>
              <w:spacing w:after="0"/>
              <w:rPr>
                <w:sz w:val="16"/>
                <w:szCs w:val="16"/>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Weighted</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w w:val="93"/>
              </w:rPr>
              <w:t>September 30, 2021</w:t>
            </w: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480" w:type="dxa"/>
            <w:vAlign w:val="bottom"/>
          </w:tcPr>
          <w:p>
            <w:pPr>
              <w:spacing w:after="0"/>
              <w:rPr>
                <w:sz w:val="17"/>
                <w:szCs w:val="17"/>
                <w:color w:val="auto"/>
              </w:rPr>
            </w:pPr>
          </w:p>
        </w:tc>
        <w:tc>
          <w:tcPr>
            <w:tcW w:w="14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5"/>
              </w:rPr>
              <w:t>Average</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vMerge w:val="continue"/>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5480" w:type="dxa"/>
            <w:vAlign w:val="bottom"/>
          </w:tcPr>
          <w:p>
            <w:pPr>
              <w:spacing w:after="0"/>
              <w:rPr>
                <w:sz w:val="13"/>
                <w:szCs w:val="13"/>
                <w:color w:val="auto"/>
              </w:rPr>
            </w:pPr>
          </w:p>
        </w:tc>
        <w:tc>
          <w:tcPr>
            <w:tcW w:w="1460" w:type="dxa"/>
            <w:vAlign w:val="bottom"/>
            <w:gridSpan w:val="2"/>
          </w:tcPr>
          <w:p>
            <w:pPr>
              <w:jc w:val="center"/>
              <w:ind w:right="100"/>
              <w:spacing w:after="0" w:line="153" w:lineRule="exact"/>
              <w:rPr>
                <w:sz w:val="20"/>
                <w:szCs w:val="20"/>
                <w:color w:val="auto"/>
              </w:rPr>
            </w:pPr>
            <w:r>
              <w:rPr>
                <w:rFonts w:ascii="Arial" w:cs="Arial" w:eastAsia="Arial" w:hAnsi="Arial"/>
                <w:sz w:val="16"/>
                <w:szCs w:val="16"/>
                <w:b w:val="1"/>
                <w:bCs w:val="1"/>
                <w:color w:val="auto"/>
                <w:w w:val="89"/>
              </w:rPr>
              <w:t>Amortization</w:t>
            </w:r>
          </w:p>
        </w:tc>
        <w:tc>
          <w:tcPr>
            <w:tcW w:w="320" w:type="dxa"/>
            <w:vAlign w:val="bottom"/>
          </w:tcPr>
          <w:p>
            <w:pPr>
              <w:spacing w:after="0"/>
              <w:rPr>
                <w:sz w:val="13"/>
                <w:szCs w:val="13"/>
                <w:color w:val="auto"/>
              </w:rPr>
            </w:pPr>
          </w:p>
        </w:tc>
        <w:tc>
          <w:tcPr>
            <w:tcW w:w="1140" w:type="dxa"/>
            <w:vAlign w:val="bottom"/>
            <w:gridSpan w:val="2"/>
            <w:vMerge w:val="restart"/>
          </w:tcPr>
          <w:p>
            <w:pPr>
              <w:ind w:left="200"/>
              <w:spacing w:after="0"/>
              <w:rPr>
                <w:sz w:val="20"/>
                <w:szCs w:val="20"/>
                <w:color w:val="auto"/>
              </w:rPr>
            </w:pPr>
            <w:r>
              <w:rPr>
                <w:rFonts w:ascii="Arial" w:cs="Arial" w:eastAsia="Arial" w:hAnsi="Arial"/>
                <w:sz w:val="16"/>
                <w:szCs w:val="16"/>
                <w:b w:val="1"/>
                <w:bCs w:val="1"/>
                <w:color w:val="auto"/>
              </w:rPr>
              <w:t>Cost</w:t>
            </w:r>
          </w:p>
        </w:tc>
        <w:tc>
          <w:tcPr>
            <w:tcW w:w="160" w:type="dxa"/>
            <w:vAlign w:val="bottom"/>
          </w:tcPr>
          <w:p>
            <w:pPr>
              <w:spacing w:after="0"/>
              <w:rPr>
                <w:sz w:val="13"/>
                <w:szCs w:val="13"/>
                <w:color w:val="auto"/>
              </w:rPr>
            </w:pPr>
          </w:p>
        </w:tc>
        <w:tc>
          <w:tcPr>
            <w:tcW w:w="1300" w:type="dxa"/>
            <w:vAlign w:val="bottom"/>
            <w:gridSpan w:val="2"/>
          </w:tcPr>
          <w:p>
            <w:pPr>
              <w:ind w:left="80"/>
              <w:spacing w:after="0" w:line="153" w:lineRule="exact"/>
              <w:rPr>
                <w:sz w:val="20"/>
                <w:szCs w:val="20"/>
                <w:color w:val="auto"/>
              </w:rPr>
            </w:pPr>
            <w:r>
              <w:rPr>
                <w:rFonts w:ascii="Arial" w:cs="Arial" w:eastAsia="Arial" w:hAnsi="Arial"/>
                <w:sz w:val="16"/>
                <w:szCs w:val="16"/>
                <w:b w:val="1"/>
                <w:bCs w:val="1"/>
                <w:color w:val="auto"/>
              </w:rPr>
              <w:t>Accumulated</w:t>
            </w:r>
          </w:p>
        </w:tc>
        <w:tc>
          <w:tcPr>
            <w:tcW w:w="340" w:type="dxa"/>
            <w:vAlign w:val="bottom"/>
          </w:tcPr>
          <w:p>
            <w:pPr>
              <w:spacing w:after="0"/>
              <w:rPr>
                <w:sz w:val="13"/>
                <w:szCs w:val="13"/>
                <w:color w:val="auto"/>
              </w:rPr>
            </w:pPr>
          </w:p>
        </w:tc>
        <w:tc>
          <w:tcPr>
            <w:tcW w:w="1020" w:type="dxa"/>
            <w:vAlign w:val="bottom"/>
            <w:vMerge w:val="restart"/>
          </w:tcPr>
          <w:p>
            <w:pPr>
              <w:jc w:val="right"/>
              <w:ind w:right="482"/>
              <w:spacing w:after="0"/>
              <w:rPr>
                <w:sz w:val="20"/>
                <w:szCs w:val="20"/>
                <w:color w:val="auto"/>
              </w:rPr>
            </w:pPr>
            <w:r>
              <w:rPr>
                <w:rFonts w:ascii="Arial" w:cs="Arial" w:eastAsia="Arial" w:hAnsi="Arial"/>
                <w:sz w:val="16"/>
                <w:szCs w:val="16"/>
                <w:b w:val="1"/>
                <w:bCs w:val="1"/>
                <w:color w:val="auto"/>
              </w:rPr>
              <w:t>Net</w:t>
            </w:r>
          </w:p>
        </w:tc>
        <w:tc>
          <w:tcPr>
            <w:tcW w:w="0" w:type="dxa"/>
            <w:vAlign w:val="bottom"/>
          </w:tcPr>
          <w:p>
            <w:pPr>
              <w:spacing w:after="0"/>
              <w:rPr>
                <w:sz w:val="1"/>
                <w:szCs w:val="1"/>
                <w:color w:val="auto"/>
              </w:rPr>
            </w:pPr>
          </w:p>
        </w:tc>
      </w:tr>
      <w:tr>
        <w:trPr>
          <w:trHeight w:val="204"/>
        </w:trPr>
        <w:tc>
          <w:tcPr>
            <w:tcW w:w="5480" w:type="dxa"/>
            <w:vAlign w:val="bottom"/>
          </w:tcPr>
          <w:p>
            <w:pPr>
              <w:spacing w:after="0"/>
              <w:rPr>
                <w:sz w:val="17"/>
                <w:szCs w:val="17"/>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Life in Years</w:t>
            </w:r>
          </w:p>
        </w:tc>
        <w:tc>
          <w:tcPr>
            <w:tcW w:w="32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ind w:left="80"/>
              <w:spacing w:after="0"/>
              <w:rPr>
                <w:sz w:val="20"/>
                <w:szCs w:val="20"/>
                <w:color w:val="auto"/>
              </w:rPr>
            </w:pPr>
            <w:r>
              <w:rPr>
                <w:rFonts w:ascii="Arial" w:cs="Arial" w:eastAsia="Arial" w:hAnsi="Arial"/>
                <w:sz w:val="16"/>
                <w:szCs w:val="16"/>
                <w:b w:val="1"/>
                <w:bCs w:val="1"/>
                <w:color w:val="auto"/>
              </w:rPr>
              <w:t>Amortization</w:t>
            </w:r>
          </w:p>
        </w:tc>
        <w:tc>
          <w:tcPr>
            <w:tcW w:w="34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Patents</w:t>
            </w: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10</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26,751</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16,322</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10,429</w:t>
            </w:r>
          </w:p>
        </w:tc>
        <w:tc>
          <w:tcPr>
            <w:tcW w:w="0" w:type="dxa"/>
            <w:vAlign w:val="bottom"/>
          </w:tcPr>
          <w:p>
            <w:pPr>
              <w:spacing w:after="0"/>
              <w:rPr>
                <w:sz w:val="1"/>
                <w:szCs w:val="1"/>
                <w:color w:val="auto"/>
              </w:rPr>
            </w:pPr>
          </w:p>
        </w:tc>
      </w:tr>
      <w:tr>
        <w:trPr>
          <w:trHeight w:val="204"/>
        </w:trPr>
        <w:tc>
          <w:tcPr>
            <w:tcW w:w="5480" w:type="dxa"/>
            <w:vAlign w:val="bottom"/>
          </w:tcPr>
          <w:p>
            <w:pPr>
              <w:ind w:left="20"/>
              <w:spacing w:after="0"/>
              <w:rPr>
                <w:sz w:val="20"/>
                <w:szCs w:val="20"/>
                <w:color w:val="auto"/>
              </w:rPr>
            </w:pPr>
            <w:r>
              <w:rPr>
                <w:rFonts w:ascii="Arial" w:cs="Arial" w:eastAsia="Arial" w:hAnsi="Arial"/>
                <w:sz w:val="16"/>
                <w:szCs w:val="16"/>
                <w:color w:val="auto"/>
              </w:rPr>
              <w:t>Customer contracts</w:t>
            </w:r>
          </w:p>
        </w:tc>
        <w:tc>
          <w:tcPr>
            <w:tcW w:w="1360" w:type="dxa"/>
            <w:vAlign w:val="bottom"/>
          </w:tcPr>
          <w:p>
            <w:pPr>
              <w:jc w:val="center"/>
              <w:spacing w:after="0"/>
              <w:rPr>
                <w:sz w:val="20"/>
                <w:szCs w:val="20"/>
                <w:color w:val="auto"/>
              </w:rPr>
            </w:pPr>
            <w:r>
              <w:rPr>
                <w:rFonts w:ascii="Arial" w:cs="Arial" w:eastAsia="Arial" w:hAnsi="Arial"/>
                <w:sz w:val="16"/>
                <w:szCs w:val="16"/>
                <w:color w:val="auto"/>
                <w:w w:val="89"/>
              </w:rPr>
              <w:t>12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10,395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6,109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4,286</w:t>
            </w:r>
          </w:p>
        </w:tc>
        <w:tc>
          <w:tcPr>
            <w:tcW w:w="0" w:type="dxa"/>
            <w:vAlign w:val="bottom"/>
          </w:tcPr>
          <w:p>
            <w:pPr>
              <w:spacing w:after="0"/>
              <w:rPr>
                <w:sz w:val="1"/>
                <w:szCs w:val="1"/>
                <w:color w:val="auto"/>
              </w:rPr>
            </w:pPr>
          </w:p>
        </w:tc>
      </w:tr>
      <w:tr>
        <w:trPr>
          <w:trHeight w:val="210"/>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Non-contractual customer relationships</w:t>
            </w: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57,403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31,407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25,996</w:t>
            </w:r>
          </w:p>
        </w:tc>
        <w:tc>
          <w:tcPr>
            <w:tcW w:w="0" w:type="dxa"/>
            <w:vAlign w:val="bottom"/>
          </w:tcPr>
          <w:p>
            <w:pPr>
              <w:spacing w:after="0"/>
              <w:rPr>
                <w:sz w:val="1"/>
                <w:szCs w:val="1"/>
                <w:color w:val="auto"/>
              </w:rPr>
            </w:pPr>
          </w:p>
        </w:tc>
      </w:tr>
      <w:tr>
        <w:trPr>
          <w:trHeight w:val="204"/>
        </w:trPr>
        <w:tc>
          <w:tcPr>
            <w:tcW w:w="5480" w:type="dxa"/>
            <w:vAlign w:val="bottom"/>
          </w:tcPr>
          <w:p>
            <w:pPr>
              <w:ind w:left="20"/>
              <w:spacing w:after="0"/>
              <w:rPr>
                <w:sz w:val="20"/>
                <w:szCs w:val="20"/>
                <w:color w:val="auto"/>
              </w:rPr>
            </w:pPr>
            <w:r>
              <w:rPr>
                <w:rFonts w:ascii="Arial" w:cs="Arial" w:eastAsia="Arial" w:hAnsi="Arial"/>
                <w:sz w:val="16"/>
                <w:szCs w:val="16"/>
                <w:color w:val="auto"/>
              </w:rPr>
              <w:t>Trademarks</w:t>
            </w:r>
          </w:p>
        </w:tc>
        <w:tc>
          <w:tcPr>
            <w:tcW w:w="1360" w:type="dxa"/>
            <w:vAlign w:val="bottom"/>
          </w:tcPr>
          <w:p>
            <w:pPr>
              <w:jc w:val="center"/>
              <w:spacing w:after="0"/>
              <w:rPr>
                <w:sz w:val="20"/>
                <w:szCs w:val="20"/>
                <w:color w:val="auto"/>
              </w:rPr>
            </w:pPr>
            <w:r>
              <w:rPr>
                <w:rFonts w:ascii="Arial" w:cs="Arial" w:eastAsia="Arial" w:hAnsi="Arial"/>
                <w:sz w:val="16"/>
                <w:szCs w:val="16"/>
                <w:color w:val="auto"/>
                <w:w w:val="89"/>
              </w:rPr>
              <w:t>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425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425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Trade name</w:t>
            </w: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18,259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13,838</w:t>
            </w:r>
          </w:p>
        </w:tc>
        <w:tc>
          <w:tcPr>
            <w:tcW w:w="0" w:type="dxa"/>
            <w:vAlign w:val="bottom"/>
          </w:tcPr>
          <w:p>
            <w:pPr>
              <w:spacing w:after="0"/>
              <w:rPr>
                <w:sz w:val="1"/>
                <w:szCs w:val="1"/>
                <w:color w:val="auto"/>
              </w:rPr>
            </w:pPr>
          </w:p>
        </w:tc>
      </w:tr>
      <w:tr>
        <w:trPr>
          <w:trHeight w:val="204"/>
        </w:trPr>
        <w:tc>
          <w:tcPr>
            <w:tcW w:w="5480" w:type="dxa"/>
            <w:vAlign w:val="bottom"/>
          </w:tcPr>
          <w:p>
            <w:pPr>
              <w:ind w:left="20"/>
              <w:spacing w:after="0"/>
              <w:rPr>
                <w:sz w:val="20"/>
                <w:szCs w:val="20"/>
                <w:color w:val="auto"/>
              </w:rPr>
            </w:pPr>
            <w:r>
              <w:rPr>
                <w:rFonts w:ascii="Arial" w:cs="Arial" w:eastAsia="Arial" w:hAnsi="Arial"/>
                <w:sz w:val="16"/>
                <w:szCs w:val="16"/>
                <w:color w:val="auto"/>
              </w:rPr>
              <w:t>Developed technology</w:t>
            </w:r>
          </w:p>
        </w:tc>
        <w:tc>
          <w:tcPr>
            <w:tcW w:w="1360" w:type="dxa"/>
            <w:vAlign w:val="bottom"/>
          </w:tcPr>
          <w:p>
            <w:pPr>
              <w:jc w:val="center"/>
              <w:spacing w:after="0"/>
              <w:rPr>
                <w:sz w:val="20"/>
                <w:szCs w:val="20"/>
                <w:color w:val="auto"/>
              </w:rPr>
            </w:pPr>
            <w:r>
              <w:rPr>
                <w:rFonts w:ascii="Arial" w:cs="Arial" w:eastAsia="Arial" w:hAnsi="Arial"/>
                <w:sz w:val="16"/>
                <w:szCs w:val="16"/>
                <w:color w:val="auto"/>
                <w:w w:val="89"/>
              </w:rPr>
              <w:t>13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152,893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46,291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106,602</w:t>
            </w:r>
          </w:p>
        </w:tc>
        <w:tc>
          <w:tcPr>
            <w:tcW w:w="0" w:type="dxa"/>
            <w:vAlign w:val="bottom"/>
          </w:tcPr>
          <w:p>
            <w:pPr>
              <w:spacing w:after="0"/>
              <w:rPr>
                <w:sz w:val="1"/>
                <w:szCs w:val="1"/>
                <w:color w:val="auto"/>
              </w:rPr>
            </w:pPr>
          </w:p>
        </w:tc>
      </w:tr>
      <w:tr>
        <w:trPr>
          <w:trHeight w:val="210"/>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Non-compete</w:t>
            </w: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9,600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8,003</w:t>
            </w:r>
          </w:p>
        </w:tc>
        <w:tc>
          <w:tcPr>
            <w:tcW w:w="0" w:type="dxa"/>
            <w:vAlign w:val="bottom"/>
          </w:tcPr>
          <w:p>
            <w:pPr>
              <w:spacing w:after="0"/>
              <w:rPr>
                <w:sz w:val="1"/>
                <w:szCs w:val="1"/>
                <w:color w:val="auto"/>
              </w:rPr>
            </w:pPr>
          </w:p>
        </w:tc>
      </w:tr>
      <w:tr>
        <w:trPr>
          <w:trHeight w:val="197"/>
        </w:trPr>
        <w:tc>
          <w:tcPr>
            <w:tcW w:w="5480" w:type="dxa"/>
            <w:vAlign w:val="bottom"/>
          </w:tcPr>
          <w:p>
            <w:pPr>
              <w:ind w:left="140"/>
              <w:spacing w:after="0"/>
              <w:rPr>
                <w:sz w:val="20"/>
                <w:szCs w:val="20"/>
                <w:color w:val="auto"/>
              </w:rPr>
            </w:pPr>
            <w:r>
              <w:rPr>
                <w:rFonts w:ascii="Arial" w:cs="Arial" w:eastAsia="Arial" w:hAnsi="Arial"/>
                <w:sz w:val="16"/>
                <w:szCs w:val="16"/>
                <w:color w:val="auto"/>
              </w:rPr>
              <w:t>Total amortized intangible assets</w:t>
            </w: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jc w:val="right"/>
              <w:ind w:right="142"/>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275,726</w:t>
            </w:r>
          </w:p>
        </w:tc>
        <w:tc>
          <w:tcPr>
            <w:tcW w:w="100" w:type="dxa"/>
            <w:vAlign w:val="bottom"/>
          </w:tcPr>
          <w:p>
            <w:pPr>
              <w:spacing w:after="0"/>
              <w:rPr>
                <w:sz w:val="17"/>
                <w:szCs w:val="17"/>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106,572</w:t>
            </w:r>
          </w:p>
        </w:tc>
        <w:tc>
          <w:tcPr>
            <w:tcW w:w="100" w:type="dxa"/>
            <w:vAlign w:val="bottom"/>
          </w:tcPr>
          <w:p>
            <w:pPr>
              <w:spacing w:after="0"/>
              <w:rPr>
                <w:sz w:val="17"/>
                <w:szCs w:val="17"/>
                <w:color w:val="auto"/>
              </w:rPr>
            </w:pPr>
          </w:p>
        </w:tc>
        <w:tc>
          <w:tcPr>
            <w:tcW w:w="340" w:type="dxa"/>
            <w:vAlign w:val="bottom"/>
          </w:tcPr>
          <w:p>
            <w:pPr>
              <w:jc w:val="right"/>
              <w:ind w:right="162"/>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169,154</w:t>
            </w:r>
          </w:p>
        </w:tc>
        <w:tc>
          <w:tcPr>
            <w:tcW w:w="0" w:type="dxa"/>
            <w:vAlign w:val="bottom"/>
          </w:tcPr>
          <w:p>
            <w:pPr>
              <w:spacing w:after="0"/>
              <w:rPr>
                <w:sz w:val="1"/>
                <w:szCs w:val="1"/>
                <w:color w:val="auto"/>
              </w:rPr>
            </w:pPr>
          </w:p>
        </w:tc>
      </w:tr>
      <w:tr>
        <w:trPr>
          <w:trHeight w:val="248"/>
        </w:trPr>
        <w:tc>
          <w:tcPr>
            <w:tcW w:w="548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5480" w:type="dxa"/>
            <w:vAlign w:val="bottom"/>
          </w:tcPr>
          <w:p>
            <w:pPr>
              <w:ind w:left="20"/>
              <w:spacing w:after="0"/>
              <w:rPr>
                <w:sz w:val="20"/>
                <w:szCs w:val="20"/>
                <w:color w:val="auto"/>
              </w:rPr>
            </w:pPr>
            <w:r>
              <w:rPr>
                <w:rFonts w:ascii="Arial" w:cs="Arial" w:eastAsia="Arial" w:hAnsi="Arial"/>
                <w:sz w:val="16"/>
                <w:szCs w:val="16"/>
                <w:color w:val="auto"/>
              </w:rPr>
              <w:t>Internally developed software*</w:t>
            </w: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jc w:val="right"/>
              <w:ind w:right="142"/>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23,624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jc w:val="right"/>
              <w:ind w:right="162"/>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23,624</w:t>
            </w:r>
          </w:p>
        </w:tc>
        <w:tc>
          <w:tcPr>
            <w:tcW w:w="0" w:type="dxa"/>
            <w:vAlign w:val="bottom"/>
          </w:tcPr>
          <w:p>
            <w:pPr>
              <w:spacing w:after="0"/>
              <w:rPr>
                <w:sz w:val="1"/>
                <w:szCs w:val="1"/>
                <w:color w:val="auto"/>
              </w:rPr>
            </w:pPr>
          </w:p>
        </w:tc>
      </w:tr>
      <w:tr>
        <w:trPr>
          <w:trHeight w:val="248"/>
        </w:trPr>
        <w:tc>
          <w:tcPr>
            <w:tcW w:w="548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5480" w:type="dxa"/>
            <w:vAlign w:val="bottom"/>
          </w:tcPr>
          <w:p>
            <w:pPr>
              <w:ind w:left="140"/>
              <w:spacing w:after="0"/>
              <w:rPr>
                <w:sz w:val="20"/>
                <w:szCs w:val="20"/>
                <w:color w:val="auto"/>
              </w:rPr>
            </w:pPr>
            <w:r>
              <w:rPr>
                <w:rFonts w:ascii="Arial" w:cs="Arial" w:eastAsia="Arial" w:hAnsi="Arial"/>
                <w:sz w:val="16"/>
                <w:szCs w:val="16"/>
                <w:color w:val="auto"/>
              </w:rPr>
              <w:t>Total intangible assets</w:t>
            </w: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299,350</w:t>
            </w:r>
          </w:p>
        </w:tc>
        <w:tc>
          <w:tcPr>
            <w:tcW w:w="100" w:type="dxa"/>
            <w:vAlign w:val="bottom"/>
          </w:tcPr>
          <w:p>
            <w:pPr>
              <w:spacing w:after="0"/>
              <w:rPr>
                <w:sz w:val="17"/>
                <w:szCs w:val="17"/>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106,572</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192,778</w:t>
            </w:r>
          </w:p>
        </w:tc>
        <w:tc>
          <w:tcPr>
            <w:tcW w:w="0" w:type="dxa"/>
            <w:vAlign w:val="bottom"/>
          </w:tcPr>
          <w:p>
            <w:pPr>
              <w:spacing w:after="0"/>
              <w:rPr>
                <w:sz w:val="1"/>
                <w:szCs w:val="1"/>
                <w:color w:val="auto"/>
              </w:rPr>
            </w:pPr>
          </w:p>
        </w:tc>
      </w:tr>
      <w:tr>
        <w:trPr>
          <w:trHeight w:val="20"/>
        </w:trPr>
        <w:tc>
          <w:tcPr>
            <w:tcW w:w="5480" w:type="dxa"/>
            <w:vAlign w:val="bottom"/>
            <w:vMerge w:val="restart"/>
          </w:tcPr>
          <w:p>
            <w:pPr>
              <w:spacing w:after="0"/>
              <w:rPr>
                <w:sz w:val="20"/>
                <w:szCs w:val="20"/>
                <w:color w:val="auto"/>
              </w:rPr>
            </w:pPr>
            <w:r>
              <w:rPr>
                <w:rFonts w:ascii="Arial" w:cs="Arial" w:eastAsia="Arial" w:hAnsi="Arial"/>
                <w:sz w:val="17"/>
                <w:szCs w:val="17"/>
                <w:color w:val="auto"/>
              </w:rPr>
              <w:t>______________________________</w:t>
            </w: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548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120" w:hanging="117"/>
        <w:spacing w:after="0"/>
        <w:tabs>
          <w:tab w:leader="none" w:pos="120" w:val="left"/>
        </w:tabs>
        <w:numPr>
          <w:ilvl w:val="0"/>
          <w:numId w:val="6"/>
        </w:numPr>
        <w:rPr>
          <w:rFonts w:ascii="Arial" w:cs="Arial" w:eastAsia="Arial" w:hAnsi="Arial"/>
          <w:sz w:val="17"/>
          <w:szCs w:val="17"/>
          <w:color w:val="auto"/>
        </w:rPr>
      </w:pPr>
      <w:r>
        <w:rPr>
          <w:rFonts w:ascii="Arial" w:cs="Arial" w:eastAsia="Arial" w:hAnsi="Arial"/>
          <w:sz w:val="16"/>
          <w:szCs w:val="16"/>
          <w:color w:val="auto"/>
        </w:rPr>
        <w:t>Internally developed software will be amortized when the projects are complete and the assets are ready for their intended use.</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80" w:type="dxa"/>
            <w:vAlign w:val="bottom"/>
          </w:tcPr>
          <w:p>
            <w:pPr>
              <w:spacing w:after="0"/>
              <w:rPr>
                <w:sz w:val="16"/>
                <w:szCs w:val="16"/>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Weighted</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w w:val="86"/>
              </w:rPr>
              <w:t>December 31, 2020</w:t>
            </w: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480" w:type="dxa"/>
            <w:vAlign w:val="bottom"/>
          </w:tcPr>
          <w:p>
            <w:pPr>
              <w:spacing w:after="0"/>
              <w:rPr>
                <w:sz w:val="17"/>
                <w:szCs w:val="17"/>
                <w:color w:val="auto"/>
              </w:rPr>
            </w:pPr>
          </w:p>
        </w:tc>
        <w:tc>
          <w:tcPr>
            <w:tcW w:w="14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5"/>
              </w:rPr>
              <w:t>Average</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vMerge w:val="continue"/>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5480" w:type="dxa"/>
            <w:vAlign w:val="bottom"/>
          </w:tcPr>
          <w:p>
            <w:pPr>
              <w:spacing w:after="0"/>
              <w:rPr>
                <w:sz w:val="13"/>
                <w:szCs w:val="13"/>
                <w:color w:val="auto"/>
              </w:rPr>
            </w:pPr>
          </w:p>
        </w:tc>
        <w:tc>
          <w:tcPr>
            <w:tcW w:w="1460" w:type="dxa"/>
            <w:vAlign w:val="bottom"/>
            <w:gridSpan w:val="2"/>
          </w:tcPr>
          <w:p>
            <w:pPr>
              <w:jc w:val="center"/>
              <w:ind w:right="100"/>
              <w:spacing w:after="0" w:line="153" w:lineRule="exact"/>
              <w:rPr>
                <w:sz w:val="20"/>
                <w:szCs w:val="20"/>
                <w:color w:val="auto"/>
              </w:rPr>
            </w:pPr>
            <w:r>
              <w:rPr>
                <w:rFonts w:ascii="Arial" w:cs="Arial" w:eastAsia="Arial" w:hAnsi="Arial"/>
                <w:sz w:val="16"/>
                <w:szCs w:val="16"/>
                <w:b w:val="1"/>
                <w:bCs w:val="1"/>
                <w:color w:val="auto"/>
                <w:w w:val="89"/>
              </w:rPr>
              <w:t>Amortization</w:t>
            </w:r>
          </w:p>
        </w:tc>
        <w:tc>
          <w:tcPr>
            <w:tcW w:w="320" w:type="dxa"/>
            <w:vAlign w:val="bottom"/>
          </w:tcPr>
          <w:p>
            <w:pPr>
              <w:spacing w:after="0"/>
              <w:rPr>
                <w:sz w:val="13"/>
                <w:szCs w:val="13"/>
                <w:color w:val="auto"/>
              </w:rPr>
            </w:pPr>
          </w:p>
        </w:tc>
        <w:tc>
          <w:tcPr>
            <w:tcW w:w="1140" w:type="dxa"/>
            <w:vAlign w:val="bottom"/>
            <w:gridSpan w:val="2"/>
            <w:vMerge w:val="restart"/>
          </w:tcPr>
          <w:p>
            <w:pPr>
              <w:ind w:left="200"/>
              <w:spacing w:after="0"/>
              <w:rPr>
                <w:sz w:val="20"/>
                <w:szCs w:val="20"/>
                <w:color w:val="auto"/>
              </w:rPr>
            </w:pPr>
            <w:r>
              <w:rPr>
                <w:rFonts w:ascii="Arial" w:cs="Arial" w:eastAsia="Arial" w:hAnsi="Arial"/>
                <w:sz w:val="16"/>
                <w:szCs w:val="16"/>
                <w:b w:val="1"/>
                <w:bCs w:val="1"/>
                <w:color w:val="auto"/>
              </w:rPr>
              <w:t>Cost</w:t>
            </w:r>
          </w:p>
        </w:tc>
        <w:tc>
          <w:tcPr>
            <w:tcW w:w="160" w:type="dxa"/>
            <w:vAlign w:val="bottom"/>
          </w:tcPr>
          <w:p>
            <w:pPr>
              <w:spacing w:after="0"/>
              <w:rPr>
                <w:sz w:val="13"/>
                <w:szCs w:val="13"/>
                <w:color w:val="auto"/>
              </w:rPr>
            </w:pPr>
          </w:p>
        </w:tc>
        <w:tc>
          <w:tcPr>
            <w:tcW w:w="1300" w:type="dxa"/>
            <w:vAlign w:val="bottom"/>
            <w:gridSpan w:val="2"/>
          </w:tcPr>
          <w:p>
            <w:pPr>
              <w:jc w:val="center"/>
              <w:ind w:right="260"/>
              <w:spacing w:after="0" w:line="153" w:lineRule="exact"/>
              <w:rPr>
                <w:sz w:val="20"/>
                <w:szCs w:val="20"/>
                <w:color w:val="auto"/>
              </w:rPr>
            </w:pPr>
            <w:r>
              <w:rPr>
                <w:rFonts w:ascii="Arial" w:cs="Arial" w:eastAsia="Arial" w:hAnsi="Arial"/>
                <w:sz w:val="16"/>
                <w:szCs w:val="16"/>
                <w:b w:val="1"/>
                <w:bCs w:val="1"/>
                <w:color w:val="auto"/>
                <w:w w:val="87"/>
              </w:rPr>
              <w:t>Accumulated</w:t>
            </w:r>
          </w:p>
        </w:tc>
        <w:tc>
          <w:tcPr>
            <w:tcW w:w="340" w:type="dxa"/>
            <w:vAlign w:val="bottom"/>
          </w:tcPr>
          <w:p>
            <w:pPr>
              <w:spacing w:after="0"/>
              <w:rPr>
                <w:sz w:val="13"/>
                <w:szCs w:val="13"/>
                <w:color w:val="auto"/>
              </w:rPr>
            </w:pPr>
          </w:p>
        </w:tc>
        <w:tc>
          <w:tcPr>
            <w:tcW w:w="1020" w:type="dxa"/>
            <w:vAlign w:val="bottom"/>
            <w:vMerge w:val="restart"/>
          </w:tcPr>
          <w:p>
            <w:pPr>
              <w:jc w:val="right"/>
              <w:ind w:right="482"/>
              <w:spacing w:after="0"/>
              <w:rPr>
                <w:sz w:val="20"/>
                <w:szCs w:val="20"/>
                <w:color w:val="auto"/>
              </w:rPr>
            </w:pPr>
            <w:r>
              <w:rPr>
                <w:rFonts w:ascii="Arial" w:cs="Arial" w:eastAsia="Arial" w:hAnsi="Arial"/>
                <w:sz w:val="16"/>
                <w:szCs w:val="16"/>
                <w:b w:val="1"/>
                <w:bCs w:val="1"/>
                <w:color w:val="auto"/>
              </w:rPr>
              <w:t>Net</w:t>
            </w:r>
          </w:p>
        </w:tc>
        <w:tc>
          <w:tcPr>
            <w:tcW w:w="0" w:type="dxa"/>
            <w:vAlign w:val="bottom"/>
          </w:tcPr>
          <w:p>
            <w:pPr>
              <w:spacing w:after="0"/>
              <w:rPr>
                <w:sz w:val="1"/>
                <w:szCs w:val="1"/>
                <w:color w:val="auto"/>
              </w:rPr>
            </w:pPr>
          </w:p>
        </w:tc>
      </w:tr>
      <w:tr>
        <w:trPr>
          <w:trHeight w:val="204"/>
        </w:trPr>
        <w:tc>
          <w:tcPr>
            <w:tcW w:w="5480" w:type="dxa"/>
            <w:vAlign w:val="bottom"/>
          </w:tcPr>
          <w:p>
            <w:pPr>
              <w:spacing w:after="0"/>
              <w:rPr>
                <w:sz w:val="17"/>
                <w:szCs w:val="17"/>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Life in Years</w:t>
            </w:r>
          </w:p>
        </w:tc>
        <w:tc>
          <w:tcPr>
            <w:tcW w:w="32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Amortization</w:t>
            </w:r>
          </w:p>
        </w:tc>
        <w:tc>
          <w:tcPr>
            <w:tcW w:w="34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Patents</w:t>
            </w: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10</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24,797</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15,056</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9,741</w:t>
            </w:r>
          </w:p>
        </w:tc>
        <w:tc>
          <w:tcPr>
            <w:tcW w:w="0" w:type="dxa"/>
            <w:vAlign w:val="bottom"/>
          </w:tcPr>
          <w:p>
            <w:pPr>
              <w:spacing w:after="0"/>
              <w:rPr>
                <w:sz w:val="1"/>
                <w:szCs w:val="1"/>
                <w:color w:val="auto"/>
              </w:rPr>
            </w:pPr>
          </w:p>
        </w:tc>
      </w:tr>
      <w:tr>
        <w:trPr>
          <w:trHeight w:val="204"/>
        </w:trPr>
        <w:tc>
          <w:tcPr>
            <w:tcW w:w="5480" w:type="dxa"/>
            <w:vAlign w:val="bottom"/>
          </w:tcPr>
          <w:p>
            <w:pPr>
              <w:ind w:left="20"/>
              <w:spacing w:after="0"/>
              <w:rPr>
                <w:sz w:val="20"/>
                <w:szCs w:val="20"/>
                <w:color w:val="auto"/>
              </w:rPr>
            </w:pPr>
            <w:r>
              <w:rPr>
                <w:rFonts w:ascii="Arial" w:cs="Arial" w:eastAsia="Arial" w:hAnsi="Arial"/>
                <w:sz w:val="16"/>
                <w:szCs w:val="16"/>
                <w:color w:val="auto"/>
              </w:rPr>
              <w:t>Customer contracts</w:t>
            </w:r>
          </w:p>
        </w:tc>
        <w:tc>
          <w:tcPr>
            <w:tcW w:w="1360" w:type="dxa"/>
            <w:vAlign w:val="bottom"/>
          </w:tcPr>
          <w:p>
            <w:pPr>
              <w:jc w:val="center"/>
              <w:spacing w:after="0"/>
              <w:rPr>
                <w:sz w:val="20"/>
                <w:szCs w:val="20"/>
                <w:color w:val="auto"/>
              </w:rPr>
            </w:pPr>
            <w:r>
              <w:rPr>
                <w:rFonts w:ascii="Arial" w:cs="Arial" w:eastAsia="Arial" w:hAnsi="Arial"/>
                <w:sz w:val="16"/>
                <w:szCs w:val="16"/>
                <w:color w:val="auto"/>
                <w:w w:val="89"/>
              </w:rPr>
              <w:t>12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10,365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5,852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4,513</w:t>
            </w:r>
          </w:p>
        </w:tc>
        <w:tc>
          <w:tcPr>
            <w:tcW w:w="0" w:type="dxa"/>
            <w:vAlign w:val="bottom"/>
          </w:tcPr>
          <w:p>
            <w:pPr>
              <w:spacing w:after="0"/>
              <w:rPr>
                <w:sz w:val="1"/>
                <w:szCs w:val="1"/>
                <w:color w:val="auto"/>
              </w:rPr>
            </w:pPr>
          </w:p>
        </w:tc>
      </w:tr>
      <w:tr>
        <w:trPr>
          <w:trHeight w:val="210"/>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Non-contractual customer relationships</w:t>
            </w: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58,061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26,711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31,350</w:t>
            </w:r>
          </w:p>
        </w:tc>
        <w:tc>
          <w:tcPr>
            <w:tcW w:w="0" w:type="dxa"/>
            <w:vAlign w:val="bottom"/>
          </w:tcPr>
          <w:p>
            <w:pPr>
              <w:spacing w:after="0"/>
              <w:rPr>
                <w:sz w:val="1"/>
                <w:szCs w:val="1"/>
                <w:color w:val="auto"/>
              </w:rPr>
            </w:pPr>
          </w:p>
        </w:tc>
      </w:tr>
      <w:tr>
        <w:trPr>
          <w:trHeight w:val="204"/>
        </w:trPr>
        <w:tc>
          <w:tcPr>
            <w:tcW w:w="5480" w:type="dxa"/>
            <w:vAlign w:val="bottom"/>
          </w:tcPr>
          <w:p>
            <w:pPr>
              <w:ind w:left="20"/>
              <w:spacing w:after="0"/>
              <w:rPr>
                <w:sz w:val="20"/>
                <w:szCs w:val="20"/>
                <w:color w:val="auto"/>
              </w:rPr>
            </w:pPr>
            <w:r>
              <w:rPr>
                <w:rFonts w:ascii="Arial" w:cs="Arial" w:eastAsia="Arial" w:hAnsi="Arial"/>
                <w:sz w:val="16"/>
                <w:szCs w:val="16"/>
                <w:color w:val="auto"/>
              </w:rPr>
              <w:t>Trademarks</w:t>
            </w:r>
          </w:p>
        </w:tc>
        <w:tc>
          <w:tcPr>
            <w:tcW w:w="1360" w:type="dxa"/>
            <w:vAlign w:val="bottom"/>
          </w:tcPr>
          <w:p>
            <w:pPr>
              <w:jc w:val="center"/>
              <w:spacing w:after="0"/>
              <w:rPr>
                <w:sz w:val="20"/>
                <w:szCs w:val="20"/>
                <w:color w:val="auto"/>
              </w:rPr>
            </w:pPr>
            <w:r>
              <w:rPr>
                <w:rFonts w:ascii="Arial" w:cs="Arial" w:eastAsia="Arial" w:hAnsi="Arial"/>
                <w:sz w:val="16"/>
                <w:szCs w:val="16"/>
                <w:color w:val="auto"/>
                <w:w w:val="89"/>
              </w:rPr>
              <w:t>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425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425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Trade name</w:t>
            </w: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18,270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14,770</w:t>
            </w:r>
          </w:p>
        </w:tc>
        <w:tc>
          <w:tcPr>
            <w:tcW w:w="0" w:type="dxa"/>
            <w:vAlign w:val="bottom"/>
          </w:tcPr>
          <w:p>
            <w:pPr>
              <w:spacing w:after="0"/>
              <w:rPr>
                <w:sz w:val="1"/>
                <w:szCs w:val="1"/>
                <w:color w:val="auto"/>
              </w:rPr>
            </w:pPr>
          </w:p>
        </w:tc>
      </w:tr>
      <w:tr>
        <w:trPr>
          <w:trHeight w:val="204"/>
        </w:trPr>
        <w:tc>
          <w:tcPr>
            <w:tcW w:w="5480" w:type="dxa"/>
            <w:vAlign w:val="bottom"/>
          </w:tcPr>
          <w:p>
            <w:pPr>
              <w:ind w:left="20"/>
              <w:spacing w:after="0"/>
              <w:rPr>
                <w:sz w:val="20"/>
                <w:szCs w:val="20"/>
                <w:color w:val="auto"/>
              </w:rPr>
            </w:pPr>
            <w:r>
              <w:rPr>
                <w:rFonts w:ascii="Arial" w:cs="Arial" w:eastAsia="Arial" w:hAnsi="Arial"/>
                <w:sz w:val="16"/>
                <w:szCs w:val="16"/>
                <w:color w:val="auto"/>
              </w:rPr>
              <w:t>Developed technology</w:t>
            </w:r>
          </w:p>
        </w:tc>
        <w:tc>
          <w:tcPr>
            <w:tcW w:w="1360" w:type="dxa"/>
            <w:vAlign w:val="bottom"/>
          </w:tcPr>
          <w:p>
            <w:pPr>
              <w:jc w:val="center"/>
              <w:spacing w:after="0"/>
              <w:rPr>
                <w:sz w:val="20"/>
                <w:szCs w:val="20"/>
                <w:color w:val="auto"/>
              </w:rPr>
            </w:pPr>
            <w:r>
              <w:rPr>
                <w:rFonts w:ascii="Arial" w:cs="Arial" w:eastAsia="Arial" w:hAnsi="Arial"/>
                <w:sz w:val="16"/>
                <w:szCs w:val="16"/>
                <w:color w:val="auto"/>
                <w:w w:val="89"/>
              </w:rPr>
              <w:t>13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152,893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36,927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115,966</w:t>
            </w:r>
          </w:p>
        </w:tc>
        <w:tc>
          <w:tcPr>
            <w:tcW w:w="0" w:type="dxa"/>
            <w:vAlign w:val="bottom"/>
          </w:tcPr>
          <w:p>
            <w:pPr>
              <w:spacing w:after="0"/>
              <w:rPr>
                <w:sz w:val="1"/>
                <w:szCs w:val="1"/>
                <w:color w:val="auto"/>
              </w:rPr>
            </w:pPr>
          </w:p>
        </w:tc>
      </w:tr>
      <w:tr>
        <w:trPr>
          <w:trHeight w:val="210"/>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Non-compete</w:t>
            </w: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1,528</w:t>
            </w:r>
          </w:p>
        </w:tc>
        <w:tc>
          <w:tcPr>
            <w:tcW w:w="0" w:type="dxa"/>
            <w:vAlign w:val="bottom"/>
          </w:tcPr>
          <w:p>
            <w:pPr>
              <w:spacing w:after="0"/>
              <w:rPr>
                <w:sz w:val="1"/>
                <w:szCs w:val="1"/>
                <w:color w:val="auto"/>
              </w:rPr>
            </w:pPr>
          </w:p>
        </w:tc>
      </w:tr>
      <w:tr>
        <w:trPr>
          <w:trHeight w:val="197"/>
        </w:trPr>
        <w:tc>
          <w:tcPr>
            <w:tcW w:w="5480" w:type="dxa"/>
            <w:vAlign w:val="bottom"/>
          </w:tcPr>
          <w:p>
            <w:pPr>
              <w:ind w:left="140"/>
              <w:spacing w:after="0"/>
              <w:rPr>
                <w:sz w:val="20"/>
                <w:szCs w:val="20"/>
                <w:color w:val="auto"/>
              </w:rPr>
            </w:pPr>
            <w:r>
              <w:rPr>
                <w:rFonts w:ascii="Arial" w:cs="Arial" w:eastAsia="Arial" w:hAnsi="Arial"/>
                <w:sz w:val="16"/>
                <w:szCs w:val="16"/>
                <w:color w:val="auto"/>
              </w:rPr>
              <w:t>Total amortized intangible assets</w:t>
            </w: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jc w:val="right"/>
              <w:ind w:right="142"/>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267,311</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89,443</w:t>
            </w:r>
          </w:p>
        </w:tc>
        <w:tc>
          <w:tcPr>
            <w:tcW w:w="100" w:type="dxa"/>
            <w:vAlign w:val="bottom"/>
          </w:tcPr>
          <w:p>
            <w:pPr>
              <w:spacing w:after="0"/>
              <w:rPr>
                <w:sz w:val="17"/>
                <w:szCs w:val="17"/>
                <w:color w:val="auto"/>
              </w:rPr>
            </w:pPr>
          </w:p>
        </w:tc>
        <w:tc>
          <w:tcPr>
            <w:tcW w:w="340" w:type="dxa"/>
            <w:vAlign w:val="bottom"/>
          </w:tcPr>
          <w:p>
            <w:pPr>
              <w:jc w:val="right"/>
              <w:ind w:right="162"/>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177,868</w:t>
            </w:r>
          </w:p>
        </w:tc>
        <w:tc>
          <w:tcPr>
            <w:tcW w:w="0" w:type="dxa"/>
            <w:vAlign w:val="bottom"/>
          </w:tcPr>
          <w:p>
            <w:pPr>
              <w:spacing w:after="0"/>
              <w:rPr>
                <w:sz w:val="1"/>
                <w:szCs w:val="1"/>
                <w:color w:val="auto"/>
              </w:rPr>
            </w:pPr>
          </w:p>
        </w:tc>
      </w:tr>
      <w:tr>
        <w:trPr>
          <w:trHeight w:val="248"/>
        </w:trPr>
        <w:tc>
          <w:tcPr>
            <w:tcW w:w="548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5480" w:type="dxa"/>
            <w:vAlign w:val="bottom"/>
          </w:tcPr>
          <w:p>
            <w:pPr>
              <w:ind w:left="20"/>
              <w:spacing w:after="0"/>
              <w:rPr>
                <w:sz w:val="20"/>
                <w:szCs w:val="20"/>
                <w:color w:val="auto"/>
              </w:rPr>
            </w:pPr>
            <w:r>
              <w:rPr>
                <w:rFonts w:ascii="Arial" w:cs="Arial" w:eastAsia="Arial" w:hAnsi="Arial"/>
                <w:sz w:val="16"/>
                <w:szCs w:val="16"/>
                <w:color w:val="auto"/>
              </w:rPr>
              <w:t>Internally developed software*</w:t>
            </w: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jc w:val="right"/>
              <w:ind w:right="142"/>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19,363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jc w:val="right"/>
              <w:ind w:right="162"/>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19,363</w:t>
            </w:r>
          </w:p>
        </w:tc>
        <w:tc>
          <w:tcPr>
            <w:tcW w:w="0" w:type="dxa"/>
            <w:vAlign w:val="bottom"/>
          </w:tcPr>
          <w:p>
            <w:pPr>
              <w:spacing w:after="0"/>
              <w:rPr>
                <w:sz w:val="1"/>
                <w:szCs w:val="1"/>
                <w:color w:val="auto"/>
              </w:rPr>
            </w:pPr>
          </w:p>
        </w:tc>
      </w:tr>
      <w:tr>
        <w:trPr>
          <w:trHeight w:val="248"/>
        </w:trPr>
        <w:tc>
          <w:tcPr>
            <w:tcW w:w="548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5480" w:type="dxa"/>
            <w:vAlign w:val="bottom"/>
          </w:tcPr>
          <w:p>
            <w:pPr>
              <w:ind w:left="140"/>
              <w:spacing w:after="0"/>
              <w:rPr>
                <w:sz w:val="20"/>
                <w:szCs w:val="20"/>
                <w:color w:val="auto"/>
              </w:rPr>
            </w:pPr>
            <w:r>
              <w:rPr>
                <w:rFonts w:ascii="Arial" w:cs="Arial" w:eastAsia="Arial" w:hAnsi="Arial"/>
                <w:sz w:val="16"/>
                <w:szCs w:val="16"/>
                <w:color w:val="auto"/>
              </w:rPr>
              <w:t>Total intangible assets</w:t>
            </w: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286,674</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89,443</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197,231</w:t>
            </w:r>
          </w:p>
        </w:tc>
        <w:tc>
          <w:tcPr>
            <w:tcW w:w="0" w:type="dxa"/>
            <w:vAlign w:val="bottom"/>
          </w:tcPr>
          <w:p>
            <w:pPr>
              <w:spacing w:after="0"/>
              <w:rPr>
                <w:sz w:val="1"/>
                <w:szCs w:val="1"/>
                <w:color w:val="auto"/>
              </w:rPr>
            </w:pPr>
          </w:p>
        </w:tc>
      </w:tr>
      <w:tr>
        <w:trPr>
          <w:trHeight w:val="20"/>
        </w:trPr>
        <w:tc>
          <w:tcPr>
            <w:tcW w:w="5480" w:type="dxa"/>
            <w:vAlign w:val="bottom"/>
            <w:vMerge w:val="restart"/>
          </w:tcPr>
          <w:p>
            <w:pPr>
              <w:spacing w:after="0"/>
              <w:rPr>
                <w:sz w:val="20"/>
                <w:szCs w:val="20"/>
                <w:color w:val="auto"/>
              </w:rPr>
            </w:pPr>
            <w:r>
              <w:rPr>
                <w:rFonts w:ascii="Arial" w:cs="Arial" w:eastAsia="Arial" w:hAnsi="Arial"/>
                <w:sz w:val="17"/>
                <w:szCs w:val="17"/>
                <w:color w:val="auto"/>
              </w:rPr>
              <w:t>______________________________</w:t>
            </w: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548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2" w:lineRule="exact"/>
        <w:rPr>
          <w:sz w:val="20"/>
          <w:szCs w:val="20"/>
          <w:color w:val="auto"/>
        </w:rPr>
      </w:pPr>
    </w:p>
    <w:p>
      <w:pPr>
        <w:ind w:left="120" w:hanging="117"/>
        <w:spacing w:after="0"/>
        <w:tabs>
          <w:tab w:leader="none" w:pos="120" w:val="left"/>
        </w:tabs>
        <w:numPr>
          <w:ilvl w:val="0"/>
          <w:numId w:val="7"/>
        </w:numPr>
        <w:rPr>
          <w:rFonts w:ascii="Arial" w:cs="Arial" w:eastAsia="Arial" w:hAnsi="Arial"/>
          <w:sz w:val="17"/>
          <w:szCs w:val="17"/>
          <w:color w:val="auto"/>
        </w:rPr>
      </w:pPr>
      <w:r>
        <w:rPr>
          <w:rFonts w:ascii="Arial" w:cs="Arial" w:eastAsia="Arial" w:hAnsi="Arial"/>
          <w:sz w:val="16"/>
          <w:szCs w:val="16"/>
          <w:color w:val="auto"/>
        </w:rPr>
        <w:t>Internally developed software will be amortized when the projects are complete and the assets are ready for their intended use.</w:t>
      </w:r>
    </w:p>
    <w:p>
      <w:pPr>
        <w:spacing w:after="0" w:line="227" w:lineRule="exact"/>
        <w:rPr>
          <w:sz w:val="20"/>
          <w:szCs w:val="20"/>
          <w:color w:val="auto"/>
        </w:rPr>
      </w:pPr>
    </w:p>
    <w:p>
      <w:pPr>
        <w:ind w:right="160" w:firstLine="620"/>
        <w:spacing w:after="0" w:line="268" w:lineRule="auto"/>
        <w:rPr>
          <w:sz w:val="20"/>
          <w:szCs w:val="20"/>
          <w:color w:val="auto"/>
        </w:rPr>
      </w:pPr>
      <w:r>
        <w:rPr>
          <w:rFonts w:ascii="Arial" w:cs="Arial" w:eastAsia="Arial" w:hAnsi="Arial"/>
          <w:sz w:val="17"/>
          <w:szCs w:val="17"/>
          <w:color w:val="auto"/>
        </w:rPr>
        <w:t>Intangible assets with definite lives are amortized on a straight-line basis over their estimated useful lives. During the three and nine months ended September 30, 2021, respectively, intangible asset amortization expense was $5.8 million and $17.4 million, respectively, as compared to $5.8 million and $17.4 million for the three and nine months ended September 30, 2020, respectively.</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of September 30, 2021 estimated annual amortization for our intangible assets for each of the next five years is approximately (in thousands):</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07"/>
        </w:trPr>
        <w:tc>
          <w:tcPr>
            <w:tcW w:w="8160" w:type="dxa"/>
            <w:vAlign w:val="bottom"/>
            <w:gridSpan w:val="2"/>
          </w:tcPr>
          <w:p>
            <w:pPr>
              <w:ind w:left="3960"/>
              <w:spacing w:after="0"/>
              <w:rPr>
                <w:sz w:val="20"/>
                <w:szCs w:val="20"/>
                <w:color w:val="auto"/>
              </w:rPr>
            </w:pPr>
            <w:r>
              <w:rPr>
                <w:rFonts w:ascii="Arial" w:cs="Arial" w:eastAsia="Arial" w:hAnsi="Arial"/>
                <w:sz w:val="17"/>
                <w:szCs w:val="17"/>
                <w:b w:val="1"/>
                <w:bCs w:val="1"/>
                <w:color w:val="auto"/>
              </w:rPr>
              <w:t>ICU MEDICAL, INC. AND SUBSIDIARIES</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9020" w:type="dxa"/>
            <w:vAlign w:val="bottom"/>
            <w:gridSpan w:val="5"/>
          </w:tcPr>
          <w:p>
            <w:pPr>
              <w:ind w:left="2340"/>
              <w:spacing w:after="0"/>
              <w:rPr>
                <w:sz w:val="20"/>
                <w:szCs w:val="20"/>
                <w:color w:val="auto"/>
              </w:rPr>
            </w:pPr>
            <w:r>
              <w:rPr>
                <w:rFonts w:ascii="Arial" w:cs="Arial" w:eastAsia="Arial" w:hAnsi="Arial"/>
                <w:sz w:val="17"/>
                <w:szCs w:val="17"/>
                <w:b w:val="1"/>
                <w:bCs w:val="1"/>
                <w:color w:val="auto"/>
              </w:rPr>
              <w:t>NOTES TO CONDENSED CONSOLIDATED FINANCIAL STATEMENTS (Continued)</w:t>
            </w:r>
          </w:p>
        </w:tc>
        <w:tc>
          <w:tcPr>
            <w:tcW w:w="2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3"/>
        </w:trPr>
        <w:tc>
          <w:tcPr>
            <w:tcW w:w="62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6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Remainder of 2021</w:t>
            </w:r>
          </w:p>
        </w:tc>
        <w:tc>
          <w:tcPr>
            <w:tcW w:w="18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6,858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280" w:type="dxa"/>
            <w:vAlign w:val="bottom"/>
          </w:tcPr>
          <w:p>
            <w:pPr>
              <w:ind w:left="20"/>
              <w:spacing w:after="0"/>
              <w:rPr>
                <w:sz w:val="20"/>
                <w:szCs w:val="20"/>
                <w:color w:val="auto"/>
              </w:rPr>
            </w:pPr>
            <w:r>
              <w:rPr>
                <w:rFonts w:ascii="Arial" w:cs="Arial" w:eastAsia="Arial" w:hAnsi="Arial"/>
                <w:sz w:val="17"/>
                <w:szCs w:val="17"/>
                <w:color w:val="auto"/>
              </w:rPr>
              <w:t>2022</w:t>
            </w:r>
          </w:p>
        </w:tc>
        <w:tc>
          <w:tcPr>
            <w:tcW w:w="1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7"/>
                <w:szCs w:val="17"/>
                <w:color w:val="auto"/>
              </w:rPr>
              <w:t>25,311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2023</w:t>
            </w:r>
          </w:p>
        </w:tc>
        <w:tc>
          <w:tcPr>
            <w:tcW w:w="18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24,289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280" w:type="dxa"/>
            <w:vAlign w:val="bottom"/>
          </w:tcPr>
          <w:p>
            <w:pPr>
              <w:ind w:left="20"/>
              <w:spacing w:after="0"/>
              <w:rPr>
                <w:sz w:val="20"/>
                <w:szCs w:val="20"/>
                <w:color w:val="auto"/>
              </w:rPr>
            </w:pPr>
            <w:r>
              <w:rPr>
                <w:rFonts w:ascii="Arial" w:cs="Arial" w:eastAsia="Arial" w:hAnsi="Arial"/>
                <w:sz w:val="17"/>
                <w:szCs w:val="17"/>
                <w:color w:val="auto"/>
              </w:rPr>
              <w:t>2024</w:t>
            </w:r>
          </w:p>
        </w:tc>
        <w:tc>
          <w:tcPr>
            <w:tcW w:w="1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7"/>
                <w:szCs w:val="17"/>
                <w:color w:val="auto"/>
              </w:rPr>
              <w:t>23,607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2025</w:t>
            </w:r>
          </w:p>
        </w:tc>
        <w:tc>
          <w:tcPr>
            <w:tcW w:w="18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16,025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280" w:type="dxa"/>
            <w:vAlign w:val="bottom"/>
          </w:tcPr>
          <w:p>
            <w:pPr>
              <w:ind w:left="20"/>
              <w:spacing w:after="0"/>
              <w:rPr>
                <w:sz w:val="20"/>
                <w:szCs w:val="20"/>
                <w:color w:val="auto"/>
              </w:rPr>
            </w:pPr>
            <w:r>
              <w:rPr>
                <w:rFonts w:ascii="Arial" w:cs="Arial" w:eastAsia="Arial" w:hAnsi="Arial"/>
                <w:sz w:val="17"/>
                <w:szCs w:val="17"/>
                <w:color w:val="auto"/>
              </w:rPr>
              <w:t>2026</w:t>
            </w:r>
          </w:p>
        </w:tc>
        <w:tc>
          <w:tcPr>
            <w:tcW w:w="1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7"/>
                <w:szCs w:val="17"/>
                <w:color w:val="auto"/>
              </w:rPr>
              <w:t>15,255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Thereafter</w:t>
            </w:r>
          </w:p>
        </w:tc>
        <w:tc>
          <w:tcPr>
            <w:tcW w:w="18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57,809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280" w:type="dxa"/>
            <w:vAlign w:val="bottom"/>
          </w:tcPr>
          <w:p>
            <w:pPr>
              <w:ind w:left="140"/>
              <w:spacing w:after="0"/>
              <w:rPr>
                <w:sz w:val="20"/>
                <w:szCs w:val="20"/>
                <w:color w:val="auto"/>
              </w:rPr>
            </w:pPr>
            <w:r>
              <w:rPr>
                <w:rFonts w:ascii="Arial" w:cs="Arial" w:eastAsia="Arial" w:hAnsi="Arial"/>
                <w:sz w:val="17"/>
                <w:szCs w:val="17"/>
                <w:color w:val="auto"/>
              </w:rPr>
              <w:t>Total</w:t>
            </w:r>
          </w:p>
        </w:tc>
        <w:tc>
          <w:tcPr>
            <w:tcW w:w="1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169,154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spacing w:after="0"/>
              <w:rPr>
                <w:sz w:val="20"/>
                <w:szCs w:val="20"/>
                <w:color w:val="auto"/>
              </w:rPr>
            </w:pPr>
            <w:r>
              <w:rPr>
                <w:rFonts w:ascii="Arial" w:cs="Arial" w:eastAsia="Arial" w:hAnsi="Arial"/>
                <w:sz w:val="17"/>
                <w:szCs w:val="17"/>
                <w:b w:val="1"/>
                <w:bCs w:val="1"/>
                <w:color w:val="auto"/>
              </w:rPr>
              <w:t>Note 14:   Accrued Liabilities and Other Long-Term Liabilities</w:t>
            </w:r>
          </w:p>
        </w:tc>
        <w:tc>
          <w:tcPr>
            <w:tcW w:w="1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9"/>
        </w:trPr>
        <w:tc>
          <w:tcPr>
            <w:tcW w:w="6280" w:type="dxa"/>
            <w:vAlign w:val="bottom"/>
            <w:vMerge w:val="continue"/>
          </w:tcPr>
          <w:p>
            <w:pPr>
              <w:spacing w:after="0"/>
              <w:rPr>
                <w:sz w:val="24"/>
                <w:szCs w:val="24"/>
                <w:color w:val="auto"/>
              </w:rPr>
            </w:pPr>
          </w:p>
        </w:tc>
        <w:tc>
          <w:tcPr>
            <w:tcW w:w="1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6280" w:type="dxa"/>
            <w:vAlign w:val="bottom"/>
          </w:tcPr>
          <w:p>
            <w:pPr>
              <w:ind w:left="160"/>
              <w:spacing w:after="0"/>
              <w:rPr>
                <w:sz w:val="20"/>
                <w:szCs w:val="20"/>
                <w:color w:val="auto"/>
              </w:rPr>
            </w:pPr>
            <w:r>
              <w:rPr>
                <w:rFonts w:ascii="Arial" w:cs="Arial" w:eastAsia="Arial" w:hAnsi="Arial"/>
                <w:sz w:val="17"/>
                <w:szCs w:val="17"/>
                <w:color w:val="auto"/>
              </w:rPr>
              <w:t>Accrued liabilities consist of the following (in thousands):</w:t>
            </w:r>
          </w:p>
        </w:tc>
        <w:tc>
          <w:tcPr>
            <w:tcW w:w="1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6280" w:type="dxa"/>
            <w:vAlign w:val="bottom"/>
            <w:tcBorders>
              <w:bottom w:val="single" w:sz="8" w:color="CCEEFF"/>
            </w:tcBorders>
          </w:tcPr>
          <w:p>
            <w:pPr>
              <w:spacing w:after="0"/>
              <w:rPr>
                <w:sz w:val="24"/>
                <w:szCs w:val="24"/>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September 30, 2021</w:t>
            </w: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jc w:val="right"/>
              <w:ind w:right="454"/>
              <w:spacing w:after="0"/>
              <w:rPr>
                <w:sz w:val="20"/>
                <w:szCs w:val="20"/>
                <w:color w:val="auto"/>
              </w:rPr>
            </w:pPr>
            <w:r>
              <w:rPr>
                <w:rFonts w:ascii="Arial" w:cs="Arial" w:eastAsia="Arial" w:hAnsi="Arial"/>
                <w:sz w:val="16"/>
                <w:szCs w:val="16"/>
                <w:b w:val="1"/>
                <w:bCs w:val="1"/>
                <w:color w:val="auto"/>
                <w:w w:val="95"/>
              </w:rPr>
              <w:t>December 31, 2020</w:t>
            </w: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6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Salaries and benefits</w:t>
            </w:r>
          </w:p>
        </w:tc>
        <w:tc>
          <w:tcPr>
            <w:tcW w:w="1880" w:type="dxa"/>
            <w:vAlign w:val="bottom"/>
            <w:shd w:val="clear" w:color="auto" w:fill="CCEEFF"/>
          </w:tcPr>
          <w:p>
            <w:pPr>
              <w:jc w:val="right"/>
              <w:ind w:right="1697"/>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26,514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24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25,786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280" w:type="dxa"/>
            <w:vAlign w:val="bottom"/>
          </w:tcPr>
          <w:p>
            <w:pPr>
              <w:ind w:left="20"/>
              <w:spacing w:after="0"/>
              <w:rPr>
                <w:sz w:val="20"/>
                <w:szCs w:val="20"/>
                <w:color w:val="auto"/>
              </w:rPr>
            </w:pPr>
            <w:r>
              <w:rPr>
                <w:rFonts w:ascii="Arial" w:cs="Arial" w:eastAsia="Arial" w:hAnsi="Arial"/>
                <w:sz w:val="17"/>
                <w:szCs w:val="17"/>
                <w:color w:val="auto"/>
              </w:rPr>
              <w:t>Incentive compensation</w:t>
            </w:r>
          </w:p>
        </w:tc>
        <w:tc>
          <w:tcPr>
            <w:tcW w:w="1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w w:val="88"/>
              </w:rPr>
              <w:t>23,651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7"/>
                <w:szCs w:val="17"/>
                <w:color w:val="auto"/>
              </w:rPr>
              <w:t>27,023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liability-ST</w:t>
            </w:r>
          </w:p>
        </w:tc>
        <w:tc>
          <w:tcPr>
            <w:tcW w:w="1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8,740</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280" w:type="dxa"/>
            <w:vAlign w:val="bottom"/>
          </w:tcPr>
          <w:p>
            <w:pPr>
              <w:ind w:left="20"/>
              <w:spacing w:after="0"/>
              <w:rPr>
                <w:sz w:val="20"/>
                <w:szCs w:val="20"/>
                <w:color w:val="auto"/>
              </w:rPr>
            </w:pPr>
            <w:r>
              <w:rPr>
                <w:rFonts w:ascii="Arial" w:cs="Arial" w:eastAsia="Arial" w:hAnsi="Arial"/>
                <w:sz w:val="17"/>
                <w:szCs w:val="17"/>
                <w:color w:val="auto"/>
              </w:rPr>
              <w:t>Accrued sales taxes</w:t>
            </w:r>
          </w:p>
        </w:tc>
        <w:tc>
          <w:tcPr>
            <w:tcW w:w="1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2,704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7"/>
                <w:szCs w:val="17"/>
                <w:color w:val="auto"/>
              </w:rPr>
              <w:t>2,146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Restructuring accrual</w:t>
            </w:r>
          </w:p>
        </w:tc>
        <w:tc>
          <w:tcPr>
            <w:tcW w:w="1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3,421</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280" w:type="dxa"/>
            <w:vAlign w:val="bottom"/>
          </w:tcPr>
          <w:p>
            <w:pPr>
              <w:ind w:left="20"/>
              <w:spacing w:after="0"/>
              <w:rPr>
                <w:sz w:val="20"/>
                <w:szCs w:val="20"/>
                <w:color w:val="auto"/>
              </w:rPr>
            </w:pPr>
            <w:r>
              <w:rPr>
                <w:rFonts w:ascii="Arial" w:cs="Arial" w:eastAsia="Arial" w:hAnsi="Arial"/>
                <w:sz w:val="17"/>
                <w:szCs w:val="17"/>
                <w:color w:val="auto"/>
              </w:rPr>
              <w:t>Deferred revenue</w:t>
            </w:r>
          </w:p>
        </w:tc>
        <w:tc>
          <w:tcPr>
            <w:tcW w:w="1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5,539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7"/>
                <w:szCs w:val="17"/>
                <w:color w:val="auto"/>
              </w:rPr>
              <w:t>5,566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Accrued other taxes</w:t>
            </w:r>
          </w:p>
        </w:tc>
        <w:tc>
          <w:tcPr>
            <w:tcW w:w="1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3,540</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280" w:type="dxa"/>
            <w:vAlign w:val="bottom"/>
          </w:tcPr>
          <w:p>
            <w:pPr>
              <w:ind w:left="20"/>
              <w:spacing w:after="0"/>
              <w:rPr>
                <w:sz w:val="20"/>
                <w:szCs w:val="20"/>
                <w:color w:val="auto"/>
              </w:rPr>
            </w:pPr>
            <w:r>
              <w:rPr>
                <w:rFonts w:ascii="Arial" w:cs="Arial" w:eastAsia="Arial" w:hAnsi="Arial"/>
                <w:sz w:val="17"/>
                <w:szCs w:val="17"/>
                <w:color w:val="auto"/>
              </w:rPr>
              <w:t>Accrued professional fees</w:t>
            </w:r>
          </w:p>
        </w:tc>
        <w:tc>
          <w:tcPr>
            <w:tcW w:w="1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676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7"/>
                <w:szCs w:val="17"/>
                <w:color w:val="auto"/>
              </w:rPr>
              <w:t>1,273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Legal accrual</w:t>
            </w:r>
          </w:p>
        </w:tc>
        <w:tc>
          <w:tcPr>
            <w:tcW w:w="1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900</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280" w:type="dxa"/>
            <w:vAlign w:val="bottom"/>
          </w:tcPr>
          <w:p>
            <w:pPr>
              <w:ind w:left="20"/>
              <w:spacing w:after="0"/>
              <w:rPr>
                <w:sz w:val="20"/>
                <w:szCs w:val="20"/>
                <w:color w:val="auto"/>
              </w:rPr>
            </w:pPr>
            <w:r>
              <w:rPr>
                <w:rFonts w:ascii="Arial" w:cs="Arial" w:eastAsia="Arial" w:hAnsi="Arial"/>
                <w:sz w:val="17"/>
                <w:szCs w:val="17"/>
                <w:color w:val="auto"/>
              </w:rPr>
              <w:t>Distribution fees</w:t>
            </w:r>
          </w:p>
        </w:tc>
        <w:tc>
          <w:tcPr>
            <w:tcW w:w="1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5,555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7"/>
                <w:szCs w:val="17"/>
                <w:color w:val="auto"/>
              </w:rPr>
              <w:t>5,300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Warranties and returns</w:t>
            </w:r>
          </w:p>
        </w:tc>
        <w:tc>
          <w:tcPr>
            <w:tcW w:w="1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1,027</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280" w:type="dxa"/>
            <w:vAlign w:val="bottom"/>
          </w:tcPr>
          <w:p>
            <w:pPr>
              <w:ind w:left="20"/>
              <w:spacing w:after="0"/>
              <w:rPr>
                <w:sz w:val="20"/>
                <w:szCs w:val="20"/>
                <w:color w:val="auto"/>
              </w:rPr>
            </w:pPr>
            <w:r>
              <w:rPr>
                <w:rFonts w:ascii="Arial" w:cs="Arial" w:eastAsia="Arial" w:hAnsi="Arial"/>
                <w:sz w:val="17"/>
                <w:szCs w:val="17"/>
                <w:color w:val="auto"/>
              </w:rPr>
              <w:t>Accrued freight</w:t>
            </w:r>
          </w:p>
        </w:tc>
        <w:tc>
          <w:tcPr>
            <w:tcW w:w="1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8,384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7"/>
                <w:szCs w:val="17"/>
                <w:color w:val="auto"/>
              </w:rPr>
              <w:t>6,784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1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6,282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5,515</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280" w:type="dxa"/>
            <w:vAlign w:val="bottom"/>
          </w:tcPr>
          <w:p>
            <w:pPr>
              <w:spacing w:after="0"/>
              <w:rPr>
                <w:sz w:val="18"/>
                <w:szCs w:val="18"/>
                <w:color w:val="auto"/>
              </w:rPr>
            </w:pPr>
          </w:p>
        </w:tc>
        <w:tc>
          <w:tcPr>
            <w:tcW w:w="1880" w:type="dxa"/>
            <w:vAlign w:val="bottom"/>
            <w:tcBorders>
              <w:bottom w:val="single" w:sz="8" w:color="auto"/>
            </w:tcBorders>
          </w:tcPr>
          <w:p>
            <w:pPr>
              <w:jc w:val="right"/>
              <w:ind w:right="1697"/>
              <w:spacing w:after="0"/>
              <w:rPr>
                <w:sz w:val="20"/>
                <w:szCs w:val="20"/>
                <w:color w:val="auto"/>
              </w:rPr>
            </w:pPr>
            <w:r>
              <w:rPr>
                <w:rFonts w:ascii="Arial" w:cs="Arial" w:eastAsia="Arial" w:hAnsi="Arial"/>
                <w:sz w:val="17"/>
                <w:szCs w:val="17"/>
                <w:color w:val="auto"/>
                <w:w w:val="84"/>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8"/>
              </w:rPr>
              <w:t>94,133</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24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97,021</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ind w:left="620"/>
              <w:spacing w:after="0"/>
              <w:rPr>
                <w:sz w:val="20"/>
                <w:szCs w:val="20"/>
                <w:color w:val="auto"/>
              </w:rPr>
            </w:pPr>
            <w:r>
              <w:rPr>
                <w:rFonts w:ascii="Arial" w:cs="Arial" w:eastAsia="Arial" w:hAnsi="Arial"/>
                <w:sz w:val="17"/>
                <w:szCs w:val="17"/>
                <w:color w:val="auto"/>
              </w:rPr>
              <w:t>Other long-term liabilities consist of the following (in thousands):</w:t>
            </w:r>
          </w:p>
        </w:tc>
        <w:tc>
          <w:tcPr>
            <w:tcW w:w="1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2"/>
        </w:trPr>
        <w:tc>
          <w:tcPr>
            <w:tcW w:w="6280" w:type="dxa"/>
            <w:vAlign w:val="bottom"/>
            <w:vMerge w:val="continue"/>
          </w:tcPr>
          <w:p>
            <w:pPr>
              <w:spacing w:after="0"/>
              <w:rPr>
                <w:sz w:val="24"/>
                <w:szCs w:val="24"/>
                <w:color w:val="auto"/>
              </w:rPr>
            </w:pPr>
          </w:p>
        </w:tc>
        <w:tc>
          <w:tcPr>
            <w:tcW w:w="1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6280" w:type="dxa"/>
            <w:vAlign w:val="bottom"/>
            <w:tcBorders>
              <w:bottom w:val="single" w:sz="8" w:color="CCEEFF"/>
            </w:tcBorders>
          </w:tcPr>
          <w:p>
            <w:pPr>
              <w:spacing w:after="0"/>
              <w:rPr>
                <w:sz w:val="24"/>
                <w:szCs w:val="24"/>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September 30, 2021</w:t>
            </w: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jc w:val="right"/>
              <w:ind w:right="454"/>
              <w:spacing w:after="0"/>
              <w:rPr>
                <w:sz w:val="20"/>
                <w:szCs w:val="20"/>
                <w:color w:val="auto"/>
              </w:rPr>
            </w:pPr>
            <w:r>
              <w:rPr>
                <w:rFonts w:ascii="Arial" w:cs="Arial" w:eastAsia="Arial" w:hAnsi="Arial"/>
                <w:sz w:val="16"/>
                <w:szCs w:val="16"/>
                <w:b w:val="1"/>
                <w:bCs w:val="1"/>
                <w:color w:val="auto"/>
                <w:w w:val="95"/>
              </w:rPr>
              <w:t>December 31, 2020</w:t>
            </w: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6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liability-LT</w:t>
            </w:r>
          </w:p>
        </w:tc>
        <w:tc>
          <w:tcPr>
            <w:tcW w:w="1880" w:type="dxa"/>
            <w:vAlign w:val="bottom"/>
            <w:shd w:val="clear" w:color="auto" w:fill="CCEEFF"/>
          </w:tcPr>
          <w:p>
            <w:pPr>
              <w:jc w:val="right"/>
              <w:ind w:right="1697"/>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35,478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24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41,019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280" w:type="dxa"/>
            <w:vAlign w:val="bottom"/>
          </w:tcPr>
          <w:p>
            <w:pPr>
              <w:ind w:left="20"/>
              <w:spacing w:after="0"/>
              <w:rPr>
                <w:sz w:val="20"/>
                <w:szCs w:val="20"/>
                <w:color w:val="auto"/>
              </w:rPr>
            </w:pPr>
            <w:r>
              <w:rPr>
                <w:rFonts w:ascii="Arial" w:cs="Arial" w:eastAsia="Arial" w:hAnsi="Arial"/>
                <w:sz w:val="17"/>
                <w:szCs w:val="17"/>
                <w:color w:val="auto"/>
              </w:rPr>
              <w:t>Benefits</w:t>
            </w:r>
          </w:p>
        </w:tc>
        <w:tc>
          <w:tcPr>
            <w:tcW w:w="1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1,109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7"/>
                <w:szCs w:val="17"/>
                <w:color w:val="auto"/>
              </w:rPr>
              <w:t>1,183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Accrued rent</w:t>
            </w:r>
          </w:p>
        </w:tc>
        <w:tc>
          <w:tcPr>
            <w:tcW w:w="1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1,462</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280" w:type="dxa"/>
            <w:vAlign w:val="bottom"/>
          </w:tcPr>
          <w:p>
            <w:pPr>
              <w:ind w:left="20"/>
              <w:spacing w:after="0"/>
              <w:rPr>
                <w:sz w:val="20"/>
                <w:szCs w:val="20"/>
                <w:color w:val="auto"/>
              </w:rPr>
            </w:pPr>
            <w:r>
              <w:rPr>
                <w:rFonts w:ascii="Arial" w:cs="Arial" w:eastAsia="Arial" w:hAnsi="Arial"/>
                <w:sz w:val="17"/>
                <w:szCs w:val="17"/>
                <w:color w:val="auto"/>
              </w:rPr>
              <w:t>Contract liabilities-LT</w:t>
            </w:r>
          </w:p>
        </w:tc>
        <w:tc>
          <w:tcPr>
            <w:tcW w:w="1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236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7"/>
                <w:szCs w:val="17"/>
                <w:color w:val="auto"/>
              </w:rPr>
              <w:t>337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Financing lease liability-LT</w:t>
            </w:r>
          </w:p>
        </w:tc>
        <w:tc>
          <w:tcPr>
            <w:tcW w:w="1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2,388</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w:t>
            </w:r>
          </w:p>
        </w:tc>
        <w:tc>
          <w:tcPr>
            <w:tcW w:w="1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1,446</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628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auto"/>
            </w:tcBorders>
            <w:shd w:val="clear" w:color="auto" w:fill="CCEEFF"/>
          </w:tcPr>
          <w:p>
            <w:pPr>
              <w:jc w:val="right"/>
              <w:ind w:right="1697"/>
              <w:spacing w:after="0"/>
              <w:rPr>
                <w:sz w:val="20"/>
                <w:szCs w:val="20"/>
                <w:color w:val="auto"/>
              </w:rPr>
            </w:pPr>
            <w:r>
              <w:rPr>
                <w:rFonts w:ascii="Arial" w:cs="Arial" w:eastAsia="Arial" w:hAnsi="Arial"/>
                <w:sz w:val="17"/>
                <w:szCs w:val="17"/>
                <w:color w:val="auto"/>
                <w:w w:val="84"/>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40,853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240" w:type="dxa"/>
            <w:vAlign w:val="bottom"/>
            <w:tcBorders>
              <w:bottom w:val="single" w:sz="8" w:color="auto"/>
            </w:tcBorders>
            <w:shd w:val="clear" w:color="auto" w:fill="CCEEFF"/>
          </w:tcPr>
          <w:p>
            <w:pPr>
              <w:spacing w:after="0"/>
              <w:rPr>
                <w:sz w:val="20"/>
                <w:szCs w:val="20"/>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47,835</w:t>
            </w:r>
          </w:p>
        </w:tc>
        <w:tc>
          <w:tcPr>
            <w:tcW w:w="4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Note 15:</w:t>
      </w:r>
      <w:r>
        <w:rPr>
          <w:sz w:val="20"/>
          <w:szCs w:val="20"/>
          <w:color w:val="auto"/>
        </w:rPr>
        <w:tab/>
      </w:r>
      <w:r>
        <w:rPr>
          <w:rFonts w:ascii="Arial" w:cs="Arial" w:eastAsia="Arial" w:hAnsi="Arial"/>
          <w:sz w:val="15"/>
          <w:szCs w:val="15"/>
          <w:b w:val="1"/>
          <w:bCs w:val="1"/>
          <w:color w:val="auto"/>
        </w:rPr>
        <w:t>Income Taxes</w:t>
      </w:r>
    </w:p>
    <w:p>
      <w:pPr>
        <w:spacing w:after="0" w:line="224" w:lineRule="exact"/>
        <w:rPr>
          <w:sz w:val="20"/>
          <w:szCs w:val="20"/>
          <w:color w:val="auto"/>
        </w:rPr>
      </w:pPr>
    </w:p>
    <w:p>
      <w:pPr>
        <w:ind w:right="200" w:firstLine="620"/>
        <w:spacing w:after="0" w:line="283" w:lineRule="auto"/>
        <w:rPr>
          <w:sz w:val="20"/>
          <w:szCs w:val="20"/>
          <w:color w:val="auto"/>
        </w:rPr>
      </w:pPr>
      <w:r>
        <w:rPr>
          <w:rFonts w:ascii="Arial" w:cs="Arial" w:eastAsia="Arial" w:hAnsi="Arial"/>
          <w:sz w:val="17"/>
          <w:szCs w:val="17"/>
          <w:color w:val="auto"/>
        </w:rPr>
        <w:t>Income taxes were accrued at an estimated effective tax rate of 18% and 17% for the three and nine months ended September 30, 2021, respectively, as compared to 5% and 10% for the three and nine months ended September 30, 2020, respectively.</w:t>
      </w:r>
    </w:p>
    <w:p>
      <w:pPr>
        <w:spacing w:after="0" w:line="185" w:lineRule="exact"/>
        <w:rPr>
          <w:sz w:val="20"/>
          <w:szCs w:val="20"/>
          <w:color w:val="auto"/>
        </w:rPr>
      </w:pPr>
    </w:p>
    <w:p>
      <w:pPr>
        <w:jc w:val="both"/>
        <w:ind w:firstLine="169"/>
        <w:spacing w:after="0" w:line="268" w:lineRule="auto"/>
        <w:rPr>
          <w:sz w:val="20"/>
          <w:szCs w:val="20"/>
          <w:color w:val="auto"/>
        </w:rPr>
      </w:pPr>
      <w:r>
        <w:rPr>
          <w:rFonts w:ascii="Arial" w:cs="Arial" w:eastAsia="Arial" w:hAnsi="Arial"/>
          <w:sz w:val="17"/>
          <w:szCs w:val="17"/>
          <w:color w:val="auto"/>
        </w:rPr>
        <w:t>The effective tax rate for the three and nine months ended September 30, 2021 differs from the federal statutory rate of 21% principally because of the effect of the mix of U.S. and foreign incomes, state income taxes, global intangible low-taxed income ("GILTI"), foreign-derived intangible income ("FDII") and tax credits and the following discrete items recognized during the interim period:</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7"/>
          <w:szCs w:val="17"/>
          <w:b w:val="1"/>
          <w:bCs w:val="1"/>
          <w:color w:val="auto"/>
        </w:rPr>
        <w:t>ICU MEDICAL, INC. AND SUBSIDIARIES</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20" w:right="160" w:hanging="307"/>
        <w:spacing w:after="0" w:line="261" w:lineRule="auto"/>
        <w:tabs>
          <w:tab w:leader="none" w:pos="616" w:val="left"/>
        </w:tabs>
        <w:numPr>
          <w:ilvl w:val="0"/>
          <w:numId w:val="8"/>
        </w:numPr>
        <w:rPr>
          <w:rFonts w:ascii="Arial" w:cs="Arial" w:eastAsia="Arial" w:hAnsi="Arial"/>
          <w:sz w:val="17"/>
          <w:szCs w:val="17"/>
          <w:color w:val="auto"/>
        </w:rPr>
      </w:pPr>
      <w:r>
        <w:rPr>
          <w:rFonts w:ascii="Arial" w:cs="Arial" w:eastAsia="Arial" w:hAnsi="Arial"/>
          <w:sz w:val="17"/>
          <w:szCs w:val="17"/>
          <w:color w:val="auto"/>
        </w:rPr>
        <w:t>Excess tax benefits recognized on stock option exercises and the vesting of restricted stock units during the three and nine months ended September 30, 2021 of $1.1 million and $3.3 million, respectively.</w:t>
      </w:r>
    </w:p>
    <w:p>
      <w:pPr>
        <w:spacing w:after="0" w:line="1" w:lineRule="exact"/>
        <w:rPr>
          <w:rFonts w:ascii="Arial" w:cs="Arial" w:eastAsia="Arial" w:hAnsi="Arial"/>
          <w:sz w:val="17"/>
          <w:szCs w:val="17"/>
          <w:color w:val="auto"/>
        </w:rPr>
      </w:pPr>
    </w:p>
    <w:p>
      <w:pPr>
        <w:ind w:left="620" w:right="60" w:hanging="307"/>
        <w:spacing w:after="0" w:line="267" w:lineRule="auto"/>
        <w:tabs>
          <w:tab w:leader="none" w:pos="616" w:val="left"/>
        </w:tabs>
        <w:numPr>
          <w:ilvl w:val="0"/>
          <w:numId w:val="8"/>
        </w:numPr>
        <w:rPr>
          <w:rFonts w:ascii="Arial" w:cs="Arial" w:eastAsia="Arial" w:hAnsi="Arial"/>
          <w:sz w:val="17"/>
          <w:szCs w:val="17"/>
          <w:color w:val="auto"/>
        </w:rPr>
      </w:pPr>
      <w:r>
        <w:rPr>
          <w:rFonts w:ascii="Arial" w:cs="Arial" w:eastAsia="Arial" w:hAnsi="Arial"/>
          <w:sz w:val="17"/>
          <w:szCs w:val="17"/>
          <w:color w:val="auto"/>
        </w:rPr>
        <w:t>U.S. federal return-to-provision adjustments for the year ended December 31, 2020 primarily due to changes in estimates for GILTI, FDII, subpart F, and related foreign tax credits along with other prior period adjustments resulted in a tax provision of $1.1 million.</w:t>
      </w:r>
    </w:p>
    <w:p>
      <w:pPr>
        <w:spacing w:after="0" w:line="198" w:lineRule="exact"/>
        <w:rPr>
          <w:sz w:val="20"/>
          <w:szCs w:val="20"/>
          <w:color w:val="auto"/>
        </w:rPr>
      </w:pPr>
    </w:p>
    <w:p>
      <w:pPr>
        <w:ind w:right="60" w:firstLine="169"/>
        <w:spacing w:after="0" w:line="353" w:lineRule="auto"/>
        <w:rPr>
          <w:sz w:val="20"/>
          <w:szCs w:val="20"/>
          <w:color w:val="auto"/>
        </w:rPr>
      </w:pPr>
      <w:r>
        <w:rPr>
          <w:rFonts w:ascii="Arial" w:cs="Arial" w:eastAsia="Arial" w:hAnsi="Arial"/>
          <w:sz w:val="15"/>
          <w:szCs w:val="15"/>
          <w:color w:val="auto"/>
        </w:rPr>
        <w:t>The effective tax rate for the three and nine months ended September 30, 2020 differs from the federal statutory rate of 21% principally because of the effect of the mix of U.S. and foreign incomes, state income taxes, GILTI, FDII, tax credits and the following discrete items recognized during the interim periods:</w:t>
      </w:r>
    </w:p>
    <w:p>
      <w:pPr>
        <w:spacing w:after="0" w:line="139" w:lineRule="exact"/>
        <w:rPr>
          <w:sz w:val="20"/>
          <w:szCs w:val="20"/>
          <w:color w:val="auto"/>
        </w:rPr>
      </w:pPr>
    </w:p>
    <w:p>
      <w:pPr>
        <w:ind w:left="620" w:right="160" w:hanging="307"/>
        <w:spacing w:after="0" w:line="261" w:lineRule="auto"/>
        <w:tabs>
          <w:tab w:leader="none" w:pos="616" w:val="left"/>
        </w:tabs>
        <w:numPr>
          <w:ilvl w:val="0"/>
          <w:numId w:val="9"/>
        </w:numPr>
        <w:rPr>
          <w:rFonts w:ascii="Arial" w:cs="Arial" w:eastAsia="Arial" w:hAnsi="Arial"/>
          <w:sz w:val="17"/>
          <w:szCs w:val="17"/>
          <w:color w:val="auto"/>
        </w:rPr>
      </w:pPr>
      <w:r>
        <w:rPr>
          <w:rFonts w:ascii="Arial" w:cs="Arial" w:eastAsia="Arial" w:hAnsi="Arial"/>
          <w:sz w:val="17"/>
          <w:szCs w:val="17"/>
          <w:color w:val="auto"/>
        </w:rPr>
        <w:t>Excess tax benefits recognized on stock option exercises and the vesting of restricted stock units during the three and nine months ended September 30, 2020 of $0.1 million and $3.6 million, respectively.</w:t>
      </w:r>
    </w:p>
    <w:p>
      <w:pPr>
        <w:spacing w:after="0" w:line="1" w:lineRule="exact"/>
        <w:rPr>
          <w:rFonts w:ascii="Arial" w:cs="Arial" w:eastAsia="Arial" w:hAnsi="Arial"/>
          <w:sz w:val="17"/>
          <w:szCs w:val="17"/>
          <w:color w:val="auto"/>
        </w:rPr>
      </w:pPr>
    </w:p>
    <w:p>
      <w:pPr>
        <w:ind w:left="620" w:right="440" w:hanging="307"/>
        <w:spacing w:after="0" w:line="253" w:lineRule="auto"/>
        <w:tabs>
          <w:tab w:leader="none" w:pos="616"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revaluation of the contingent consideration during the three and nine months ended September 30, 2020, which resulted in a tax benefit of $0.7 million and $1.1 million, respectively.</w:t>
      </w:r>
    </w:p>
    <w:p>
      <w:pPr>
        <w:spacing w:after="0" w:line="1" w:lineRule="exact"/>
        <w:rPr>
          <w:rFonts w:ascii="Arial" w:cs="Arial" w:eastAsia="Arial" w:hAnsi="Arial"/>
          <w:sz w:val="17"/>
          <w:szCs w:val="17"/>
          <w:color w:val="auto"/>
        </w:rPr>
      </w:pPr>
    </w:p>
    <w:p>
      <w:pPr>
        <w:ind w:left="620" w:right="280" w:hanging="307"/>
        <w:spacing w:after="0" w:line="267" w:lineRule="auto"/>
        <w:tabs>
          <w:tab w:leader="none" w:pos="616" w:val="left"/>
        </w:tabs>
        <w:numPr>
          <w:ilvl w:val="0"/>
          <w:numId w:val="9"/>
        </w:numPr>
        <w:rPr>
          <w:rFonts w:ascii="Arial" w:cs="Arial" w:eastAsia="Arial" w:hAnsi="Arial"/>
          <w:sz w:val="17"/>
          <w:szCs w:val="17"/>
          <w:color w:val="auto"/>
        </w:rPr>
      </w:pPr>
      <w:r>
        <w:rPr>
          <w:rFonts w:ascii="Arial" w:cs="Arial" w:eastAsia="Arial" w:hAnsi="Arial"/>
          <w:sz w:val="17"/>
          <w:szCs w:val="17"/>
          <w:color w:val="auto"/>
        </w:rPr>
        <w:t>U.S. federal and state return-to-provision adjustments net of related reserve changes for the year ended December 31, 2019 resulted in a tax benefit of $3.8 million primarily due to changes in estimates for GILTI, FDII, and related foreign tax credits.</w:t>
      </w:r>
    </w:p>
    <w:p>
      <w:pPr>
        <w:spacing w:after="0" w:line="192"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Note 16:</w:t>
      </w:r>
      <w:r>
        <w:rPr>
          <w:sz w:val="20"/>
          <w:szCs w:val="20"/>
          <w:color w:val="auto"/>
        </w:rPr>
        <w:tab/>
      </w:r>
      <w:r>
        <w:rPr>
          <w:rFonts w:ascii="Arial" w:cs="Arial" w:eastAsia="Arial" w:hAnsi="Arial"/>
          <w:sz w:val="15"/>
          <w:szCs w:val="15"/>
          <w:b w:val="1"/>
          <w:bCs w:val="1"/>
          <w:color w:val="auto"/>
        </w:rPr>
        <w:t>Long-Term Obligations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Five-year Senior Secured Revolving Credit Facility ("Credit Facility")</w:t>
      </w:r>
    </w:p>
    <w:p>
      <w:pPr>
        <w:spacing w:after="0" w:line="244" w:lineRule="exact"/>
        <w:rPr>
          <w:sz w:val="20"/>
          <w:szCs w:val="20"/>
          <w:color w:val="auto"/>
        </w:rPr>
      </w:pPr>
    </w:p>
    <w:p>
      <w:pPr>
        <w:ind w:firstLine="172"/>
        <w:spacing w:after="0" w:line="263" w:lineRule="auto"/>
        <w:rPr>
          <w:sz w:val="20"/>
          <w:szCs w:val="20"/>
          <w:color w:val="auto"/>
        </w:rPr>
      </w:pPr>
      <w:r>
        <w:rPr>
          <w:rFonts w:ascii="Arial" w:cs="Arial" w:eastAsia="Arial" w:hAnsi="Arial"/>
          <w:sz w:val="17"/>
          <w:szCs w:val="17"/>
          <w:color w:val="auto"/>
        </w:rPr>
        <w:t>On November 8, 2017, we entered into a Credit Facility with various lenders for $150.0 million, with Wells Fargo Bank, N.A. as the administrative agent, swingline lender and issuing lender. During March 2020, as a result of market uncertainty caused by COVID-19, we preemptively borrowed $150.0 million on our Credit Facility as a conservative measure to manage any potential short-term liquidity risk. In September 2020, we fully repaid the borrowings under our Credit Facility.</w:t>
      </w:r>
    </w:p>
    <w:p>
      <w:pPr>
        <w:spacing w:after="0" w:line="203" w:lineRule="exact"/>
        <w:rPr>
          <w:sz w:val="20"/>
          <w:szCs w:val="20"/>
          <w:color w:val="auto"/>
        </w:rPr>
      </w:pPr>
    </w:p>
    <w:p>
      <w:pPr>
        <w:ind w:right="240" w:firstLine="163"/>
        <w:spacing w:after="0" w:line="263" w:lineRule="auto"/>
        <w:rPr>
          <w:sz w:val="20"/>
          <w:szCs w:val="20"/>
          <w:color w:val="auto"/>
        </w:rPr>
      </w:pPr>
      <w:r>
        <w:rPr>
          <w:rFonts w:ascii="Arial" w:cs="Arial" w:eastAsia="Arial" w:hAnsi="Arial"/>
          <w:sz w:val="17"/>
          <w:szCs w:val="17"/>
          <w:color w:val="auto"/>
        </w:rPr>
        <w:t>As of September 30, 2021, we had no borrowings and $150.0 million of availability under the Credit Facility. Principal payments on the revolving Credit Facility are made at our discretion with the unpaid amount due at maturity. The Credit Facility matures on November 8, 2022. Interest on borrowings under the Credit Facility, at our option, is based on the Base Rate plus applicable margin or the London Interbank Offered Rate ("LIBOR") plus applicable margin, see further details in Part II, Item 8, of our 2020 Annual Report on Form 10-K.</w:t>
      </w:r>
    </w:p>
    <w:p>
      <w:pPr>
        <w:spacing w:after="0" w:line="203" w:lineRule="exact"/>
        <w:rPr>
          <w:sz w:val="20"/>
          <w:szCs w:val="20"/>
          <w:color w:val="auto"/>
        </w:rPr>
      </w:pPr>
    </w:p>
    <w:p>
      <w:pPr>
        <w:ind w:firstLine="620"/>
        <w:spacing w:after="0" w:line="268" w:lineRule="auto"/>
        <w:rPr>
          <w:sz w:val="20"/>
          <w:szCs w:val="20"/>
          <w:color w:val="auto"/>
        </w:rPr>
      </w:pPr>
      <w:r>
        <w:rPr>
          <w:rFonts w:ascii="Arial" w:cs="Arial" w:eastAsia="Arial" w:hAnsi="Arial"/>
          <w:sz w:val="17"/>
          <w:szCs w:val="17"/>
          <w:color w:val="auto"/>
        </w:rPr>
        <w:t>We expect to refinance our Credit Facility in full in connection with the consummation of the Smiths acquisition which is expected to close in early 2022. We expect to enter into senior secured credit facilities totaling approximately $2.2 billion at or near the closing of the Smiths acquisition which we anticipate will include a new revolving credit facility of $500.0 million (see Note 20: Acquisitions).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Debt Covenants</w:t>
      </w:r>
    </w:p>
    <w:p>
      <w:pPr>
        <w:spacing w:after="0" w:line="244" w:lineRule="exact"/>
        <w:rPr>
          <w:sz w:val="20"/>
          <w:szCs w:val="20"/>
          <w:color w:val="auto"/>
        </w:rPr>
      </w:pPr>
    </w:p>
    <w:p>
      <w:pPr>
        <w:ind w:firstLine="169"/>
        <w:spacing w:after="0" w:line="281" w:lineRule="auto"/>
        <w:rPr>
          <w:sz w:val="20"/>
          <w:szCs w:val="20"/>
          <w:color w:val="auto"/>
        </w:rPr>
      </w:pPr>
      <w:r>
        <w:rPr>
          <w:rFonts w:ascii="Arial" w:cs="Arial" w:eastAsia="Arial" w:hAnsi="Arial"/>
          <w:sz w:val="16"/>
          <w:szCs w:val="16"/>
          <w:color w:val="auto"/>
        </w:rPr>
        <w:t>The Credit Facility contains certain financial covenants pertaining to Consolidated Fixed Charge Coverage and Consolidated Total Leverage Ratios. In addition, the Credit Facility has restrictions pertaining to limitations on debt, liens, negative pledges, loans, advances, acquisitions, other investments, dividends, distributions, redemptions, repurchases of equity interests, fundamental changes and asset sales and other dispositions, prepayments, redemptions and purchases of subordinated debt and other junior debt, transactions with affiliates, dividend and payment restrictions affecting subsidiaries, changes in line of business, fiscal year and accounting practices and amendment of organizational documents and junior debt documents.</w:t>
      </w:r>
    </w:p>
    <w:p>
      <w:pPr>
        <w:spacing w:after="0" w:line="189" w:lineRule="exact"/>
        <w:rPr>
          <w:sz w:val="20"/>
          <w:szCs w:val="20"/>
          <w:color w:val="auto"/>
        </w:rPr>
      </w:pPr>
    </w:p>
    <w:p>
      <w:pPr>
        <w:ind w:right="240" w:firstLine="169"/>
        <w:spacing w:after="0" w:line="268" w:lineRule="auto"/>
        <w:rPr>
          <w:sz w:val="20"/>
          <w:szCs w:val="20"/>
          <w:color w:val="auto"/>
        </w:rPr>
      </w:pPr>
      <w:r>
        <w:rPr>
          <w:rFonts w:ascii="Arial" w:cs="Arial" w:eastAsia="Arial" w:hAnsi="Arial"/>
          <w:sz w:val="17"/>
          <w:szCs w:val="17"/>
          <w:color w:val="auto"/>
        </w:rPr>
        <w:t>The Consolidated Leverage Ratio is defined as the ratio of Consolidated Total Funded Indebtedness on such date, to Consolidated Adjusted EBITDA, as defined under the Credit Facility Agreement, for the most recently completed four fiscal quarters. The maximum Consolidated Leverage Ratio is not more than 3.00 to 1.00.</w:t>
      </w:r>
    </w:p>
    <w:p>
      <w:pPr>
        <w:spacing w:after="0" w:line="198" w:lineRule="exact"/>
        <w:rPr>
          <w:sz w:val="20"/>
          <w:szCs w:val="20"/>
          <w:color w:val="auto"/>
        </w:rPr>
      </w:pPr>
    </w:p>
    <w:p>
      <w:pPr>
        <w:ind w:right="100" w:firstLine="169"/>
        <w:spacing w:after="0" w:line="320" w:lineRule="auto"/>
        <w:rPr>
          <w:sz w:val="20"/>
          <w:szCs w:val="20"/>
          <w:color w:val="auto"/>
        </w:rPr>
      </w:pPr>
      <w:r>
        <w:rPr>
          <w:rFonts w:ascii="Arial" w:cs="Arial" w:eastAsia="Arial" w:hAnsi="Arial"/>
          <w:sz w:val="15"/>
          <w:szCs w:val="15"/>
          <w:color w:val="auto"/>
        </w:rPr>
        <w:t>The Consolidated Fixed Charge Coverage Ratio is defined as the ratio of: (a) Consolidated Adjusted EBITDA less the sum of (i) capital expenditures, (ii) federal, state, local and foreign income taxes paid in cash and (iii) cash restricted payments made after the closing date, to (b) Consolidated Fixed Charges for the most recently completed four fiscal quarters, calculated on a pro forma basis. The minimum Consolidated Fixed Charge Coverage Ratio is 2.00 to 1.00.</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 w:name="page26"/>
    <w:bookmarkEnd w:id="25"/>
    <w:p>
      <w:pPr>
        <w:jc w:val="center"/>
        <w:spacing w:after="0"/>
        <w:rPr>
          <w:sz w:val="20"/>
          <w:szCs w:val="20"/>
          <w:color w:val="auto"/>
        </w:rPr>
      </w:pPr>
      <w:r>
        <w:rPr>
          <w:rFonts w:ascii="Arial" w:cs="Arial" w:eastAsia="Arial" w:hAnsi="Arial"/>
          <w:sz w:val="17"/>
          <w:szCs w:val="17"/>
          <w:b w:val="1"/>
          <w:bCs w:val="1"/>
          <w:color w:val="auto"/>
        </w:rPr>
        <w:t>ICU MEDICAL, INC. AND SUBSIDIARIES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00" w:lineRule="exact"/>
        <w:rPr>
          <w:sz w:val="20"/>
          <w:szCs w:val="20"/>
          <w:color w:val="auto"/>
        </w:rPr>
      </w:pPr>
    </w:p>
    <w:p>
      <w:pPr>
        <w:spacing w:after="0" w:line="315" w:lineRule="exact"/>
        <w:rPr>
          <w:sz w:val="20"/>
          <w:szCs w:val="20"/>
          <w:color w:val="auto"/>
        </w:rPr>
      </w:pPr>
    </w:p>
    <w:p>
      <w:pPr>
        <w:ind w:left="220"/>
        <w:spacing w:after="0"/>
        <w:rPr>
          <w:sz w:val="20"/>
          <w:szCs w:val="20"/>
          <w:color w:val="auto"/>
        </w:rPr>
      </w:pPr>
      <w:r>
        <w:rPr>
          <w:rFonts w:ascii="Arial" w:cs="Arial" w:eastAsia="Arial" w:hAnsi="Arial"/>
          <w:sz w:val="17"/>
          <w:szCs w:val="17"/>
          <w:color w:val="auto"/>
        </w:rPr>
        <w:t>We were in compliance with all financial covenants as of September 30, 2021.</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17: Stockholders' Equity</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Treasury Stock</w:t>
      </w:r>
    </w:p>
    <w:p>
      <w:pPr>
        <w:spacing w:after="0" w:line="244" w:lineRule="exact"/>
        <w:rPr>
          <w:sz w:val="20"/>
          <w:szCs w:val="20"/>
          <w:color w:val="auto"/>
        </w:rPr>
      </w:pPr>
    </w:p>
    <w:p>
      <w:pPr>
        <w:ind w:right="40" w:firstLine="172"/>
        <w:spacing w:after="0" w:line="285" w:lineRule="auto"/>
        <w:rPr>
          <w:sz w:val="20"/>
          <w:szCs w:val="20"/>
          <w:color w:val="auto"/>
        </w:rPr>
      </w:pPr>
      <w:r>
        <w:rPr>
          <w:rFonts w:ascii="Arial" w:cs="Arial" w:eastAsia="Arial" w:hAnsi="Arial"/>
          <w:sz w:val="16"/>
          <w:szCs w:val="16"/>
          <w:color w:val="auto"/>
        </w:rPr>
        <w:t>In August 2019, our Board of Directors approved a new share purchase plan to purchase up to $100.0 million of our common stock. This plan replaced our existing plan and has no expiration date. During the nine months ended September 30, 2021, we did not purchase any shares of our common stock under our stock purchase plans. As of September 30, 2021, all of the $100.0 million available for purchase was remaining under the plan. We are currently limited on share purchases in accordance with the terms and conditions of our Credit Facility (see Note 16: Long-Term Obligations).</w:t>
      </w:r>
    </w:p>
    <w:p>
      <w:pPr>
        <w:spacing w:after="0" w:line="186" w:lineRule="exact"/>
        <w:rPr>
          <w:sz w:val="20"/>
          <w:szCs w:val="20"/>
          <w:color w:val="auto"/>
        </w:rPr>
      </w:pPr>
    </w:p>
    <w:p>
      <w:pPr>
        <w:ind w:right="140" w:firstLine="172"/>
        <w:spacing w:after="0" w:line="261" w:lineRule="auto"/>
        <w:rPr>
          <w:sz w:val="20"/>
          <w:szCs w:val="20"/>
          <w:color w:val="auto"/>
        </w:rPr>
      </w:pPr>
      <w:r>
        <w:rPr>
          <w:rFonts w:ascii="Arial" w:cs="Arial" w:eastAsia="Arial" w:hAnsi="Arial"/>
          <w:sz w:val="17"/>
          <w:szCs w:val="17"/>
          <w:color w:val="auto"/>
        </w:rPr>
        <w:t>For the nine months ended September 30, 2021, we withheld 39,371 shares of our common stock from employee vested restricted stock units in consideration for $8.1 million in payments made on the employee's behalf for their minimum statutory income tax withholding obligations. For the nine months ended September 30, 2020, we withheld 66,749 shares of our common stock from employee vested restricted stock units in consideration for $12.8 million in payments made on the employee's behalf for their minimum statutory income tax withholding obligations. Treasury stock is used to issue shares for stock option exercises, restricted stock grants and employee stock purchase plan stock purchases.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Accumulated Other Comprehensive (Loss) Income</w:t>
      </w:r>
    </w:p>
    <w:p>
      <w:pPr>
        <w:spacing w:after="0" w:line="244"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components of accumulated other comprehensive (loss) income ("AOCI"), net of tax, were as follows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3"/>
              </w:rPr>
              <w:t>Foreign Currency</w:t>
            </w:r>
          </w:p>
        </w:tc>
        <w:tc>
          <w:tcPr>
            <w:tcW w:w="1680" w:type="dxa"/>
            <w:vAlign w:val="bottom"/>
            <w:gridSpan w:val="3"/>
            <w:vMerge w:val="restart"/>
          </w:tcPr>
          <w:p>
            <w:pPr>
              <w:ind w:left="40"/>
              <w:spacing w:after="0"/>
              <w:rPr>
                <w:sz w:val="20"/>
                <w:szCs w:val="20"/>
                <w:color w:val="auto"/>
              </w:rPr>
            </w:pPr>
            <w:r>
              <w:rPr>
                <w:rFonts w:ascii="Arial" w:cs="Arial" w:eastAsia="Arial" w:hAnsi="Arial"/>
                <w:sz w:val="17"/>
                <w:szCs w:val="17"/>
                <w:b w:val="1"/>
                <w:bCs w:val="1"/>
                <w:color w:val="auto"/>
                <w:w w:val="99"/>
              </w:rPr>
              <w:t>Unrealized Gains on</w:t>
            </w:r>
          </w:p>
        </w:tc>
        <w:tc>
          <w:tcPr>
            <w:tcW w:w="6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tcPr>
          <w:p>
            <w:pPr>
              <w:jc w:val="center"/>
              <w:ind w:right="240"/>
              <w:spacing w:after="0" w:line="168" w:lineRule="exact"/>
              <w:rPr>
                <w:sz w:val="20"/>
                <w:szCs w:val="20"/>
                <w:color w:val="auto"/>
              </w:rPr>
            </w:pPr>
            <w:r>
              <w:rPr>
                <w:rFonts w:ascii="Arial" w:cs="Arial" w:eastAsia="Arial" w:hAnsi="Arial"/>
                <w:sz w:val="17"/>
                <w:szCs w:val="17"/>
                <w:b w:val="1"/>
                <w:bCs w:val="1"/>
                <w:color w:val="auto"/>
                <w:w w:val="91"/>
              </w:rPr>
              <w:t>Translation</w:t>
            </w:r>
          </w:p>
        </w:tc>
        <w:tc>
          <w:tcPr>
            <w:tcW w:w="1680" w:type="dxa"/>
            <w:vAlign w:val="bottom"/>
            <w:gridSpan w:val="3"/>
            <w:vMerge w:val="continue"/>
          </w:tcPr>
          <w:p>
            <w:pPr>
              <w:spacing w:after="0"/>
              <w:rPr>
                <w:sz w:val="14"/>
                <w:szCs w:val="14"/>
                <w:color w:val="auto"/>
              </w:rPr>
            </w:pPr>
          </w:p>
        </w:tc>
        <w:tc>
          <w:tcPr>
            <w:tcW w:w="1680" w:type="dxa"/>
            <w:vAlign w:val="bottom"/>
            <w:gridSpan w:val="3"/>
            <w:vMerge w:val="restart"/>
          </w:tcPr>
          <w:p>
            <w:pPr>
              <w:ind w:left="80"/>
              <w:spacing w:after="0"/>
              <w:rPr>
                <w:sz w:val="20"/>
                <w:szCs w:val="20"/>
                <w:color w:val="auto"/>
              </w:rPr>
            </w:pPr>
            <w:r>
              <w:rPr>
                <w:rFonts w:ascii="Arial" w:cs="Arial" w:eastAsia="Arial" w:hAnsi="Arial"/>
                <w:sz w:val="17"/>
                <w:szCs w:val="17"/>
                <w:b w:val="1"/>
                <w:bCs w:val="1"/>
                <w:color w:val="auto"/>
              </w:rPr>
              <w:t>Other Adjustments</w:t>
            </w:r>
          </w:p>
        </w:tc>
        <w:tc>
          <w:tcPr>
            <w:tcW w:w="360" w:type="dxa"/>
            <w:vAlign w:val="bottom"/>
          </w:tcPr>
          <w:p>
            <w:pPr>
              <w:spacing w:after="0"/>
              <w:rPr>
                <w:sz w:val="14"/>
                <w:szCs w:val="14"/>
                <w:color w:val="auto"/>
              </w:rPr>
            </w:pPr>
          </w:p>
        </w:tc>
        <w:tc>
          <w:tcPr>
            <w:tcW w:w="1240" w:type="dxa"/>
            <w:vAlign w:val="bottom"/>
            <w:vMerge w:val="restart"/>
          </w:tcPr>
          <w:p>
            <w:pPr>
              <w:jc w:val="right"/>
              <w:ind w:right="534"/>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1"/>
              </w:rPr>
              <w:t>Adjustments</w:t>
            </w:r>
          </w:p>
        </w:tc>
        <w:tc>
          <w:tcPr>
            <w:tcW w:w="100" w:type="dxa"/>
            <w:vAlign w:val="bottom"/>
          </w:tcPr>
          <w:p>
            <w:pPr>
              <w:spacing w:after="0"/>
              <w:rPr>
                <w:sz w:val="19"/>
                <w:szCs w:val="19"/>
                <w:color w:val="auto"/>
              </w:rPr>
            </w:pPr>
          </w:p>
        </w:tc>
        <w:tc>
          <w:tcPr>
            <w:tcW w:w="1580" w:type="dxa"/>
            <w:vAlign w:val="bottom"/>
            <w:gridSpan w:val="2"/>
          </w:tcPr>
          <w:p>
            <w:pPr>
              <w:spacing w:after="0"/>
              <w:rPr>
                <w:sz w:val="20"/>
                <w:szCs w:val="20"/>
                <w:color w:val="auto"/>
              </w:rPr>
            </w:pPr>
            <w:r>
              <w:rPr>
                <w:rFonts w:ascii="Arial" w:cs="Arial" w:eastAsia="Arial" w:hAnsi="Arial"/>
                <w:sz w:val="17"/>
                <w:szCs w:val="17"/>
                <w:b w:val="1"/>
                <w:bCs w:val="1"/>
                <w:color w:val="auto"/>
              </w:rPr>
              <w:t>Cash Flow Hedges</w:t>
            </w:r>
          </w:p>
        </w:tc>
        <w:tc>
          <w:tcPr>
            <w:tcW w:w="1680" w:type="dxa"/>
            <w:vAlign w:val="bottom"/>
            <w:gridSpan w:val="3"/>
            <w:vMerge w:val="continue"/>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as of January 1, 2021</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(4,381)</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2,784</w:t>
            </w: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494"/>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(1,522)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580" w:type="dxa"/>
            <w:vAlign w:val="bottom"/>
          </w:tcPr>
          <w:p>
            <w:pPr>
              <w:ind w:left="20"/>
              <w:spacing w:after="0" w:line="168" w:lineRule="exact"/>
              <w:rPr>
                <w:sz w:val="20"/>
                <w:szCs w:val="20"/>
                <w:color w:val="auto"/>
              </w:rPr>
            </w:pPr>
            <w:r>
              <w:rPr>
                <w:rFonts w:ascii="Arial" w:cs="Arial" w:eastAsia="Arial" w:hAnsi="Arial"/>
                <w:sz w:val="17"/>
                <w:szCs w:val="17"/>
                <w:color w:val="auto"/>
              </w:rPr>
              <w:t>Other comprehensive (loss) income before</w:t>
            </w:r>
          </w:p>
        </w:tc>
        <w:tc>
          <w:tcPr>
            <w:tcW w:w="120" w:type="dxa"/>
            <w:vAlign w:val="bottom"/>
          </w:tcPr>
          <w:p>
            <w:pPr>
              <w:spacing w:after="0"/>
              <w:rPr>
                <w:sz w:val="14"/>
                <w:szCs w:val="14"/>
                <w:color w:val="auto"/>
              </w:rPr>
            </w:pPr>
          </w:p>
        </w:tc>
        <w:tc>
          <w:tcPr>
            <w:tcW w:w="1460" w:type="dxa"/>
            <w:vAlign w:val="bottom"/>
            <w:vMerge w:val="restart"/>
          </w:tcPr>
          <w:p>
            <w:pPr>
              <w:jc w:val="right"/>
              <w:spacing w:after="0"/>
              <w:rPr>
                <w:sz w:val="20"/>
                <w:szCs w:val="20"/>
                <w:color w:val="auto"/>
              </w:rPr>
            </w:pPr>
            <w:r>
              <w:rPr>
                <w:rFonts w:ascii="Arial" w:cs="Arial" w:eastAsia="Arial" w:hAnsi="Arial"/>
                <w:sz w:val="17"/>
                <w:szCs w:val="17"/>
                <w:color w:val="auto"/>
              </w:rPr>
              <w:t>(7,458)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vMerge w:val="restart"/>
          </w:tcPr>
          <w:p>
            <w:pPr>
              <w:jc w:val="right"/>
              <w:spacing w:after="0"/>
              <w:rPr>
                <w:sz w:val="20"/>
                <w:szCs w:val="20"/>
                <w:color w:val="auto"/>
              </w:rPr>
            </w:pPr>
            <w:r>
              <w:rPr>
                <w:rFonts w:ascii="Arial" w:cs="Arial" w:eastAsia="Arial" w:hAnsi="Arial"/>
                <w:sz w:val="17"/>
                <w:szCs w:val="17"/>
                <w:color w:val="auto"/>
              </w:rPr>
              <w:t>(306)</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Arial" w:cs="Arial" w:eastAsia="Arial" w:hAnsi="Arial"/>
                <w:sz w:val="17"/>
                <w:szCs w:val="17"/>
                <w:color w:val="auto"/>
              </w:rPr>
              <w:t>(7,752)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580" w:type="dxa"/>
            <w:vAlign w:val="bottom"/>
          </w:tcPr>
          <w:p>
            <w:pPr>
              <w:ind w:left="20"/>
              <w:spacing w:after="0"/>
              <w:rPr>
                <w:sz w:val="20"/>
                <w:szCs w:val="20"/>
                <w:color w:val="auto"/>
              </w:rPr>
            </w:pPr>
            <w:r>
              <w:rPr>
                <w:rFonts w:ascii="Arial" w:cs="Arial" w:eastAsia="Arial" w:hAnsi="Arial"/>
                <w:sz w:val="17"/>
                <w:szCs w:val="17"/>
                <w:color w:val="auto"/>
              </w:rPr>
              <w:t>reclassifications</w:t>
            </w:r>
          </w:p>
        </w:tc>
        <w:tc>
          <w:tcPr>
            <w:tcW w:w="120" w:type="dxa"/>
            <w:vAlign w:val="bottom"/>
          </w:tcPr>
          <w:p>
            <w:pPr>
              <w:spacing w:after="0"/>
              <w:rPr>
                <w:sz w:val="19"/>
                <w:szCs w:val="19"/>
                <w:color w:val="auto"/>
              </w:rPr>
            </w:pPr>
          </w:p>
        </w:tc>
        <w:tc>
          <w:tcPr>
            <w:tcW w:w="14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Amounts reclassified from AOCI</w:t>
            </w:r>
          </w:p>
        </w:tc>
        <w:tc>
          <w:tcPr>
            <w:tcW w:w="1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(639)</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comprehensive (loss) income</w:t>
            </w:r>
          </w:p>
        </w:tc>
        <w:tc>
          <w:tcPr>
            <w:tcW w:w="12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(7,458)</w:t>
            </w: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(945)</w:t>
            </w:r>
          </w:p>
        </w:tc>
        <w:tc>
          <w:tcPr>
            <w:tcW w:w="100" w:type="dxa"/>
            <w:vAlign w:val="bottom"/>
            <w:tcBorders>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w:t>
            </w:r>
          </w:p>
        </w:tc>
        <w:tc>
          <w:tcPr>
            <w:tcW w:w="10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(8,391)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as of March 31, 2021</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(11,839)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1,839</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9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(9,913)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580" w:type="dxa"/>
            <w:vAlign w:val="bottom"/>
          </w:tcPr>
          <w:p>
            <w:pPr>
              <w:ind w:left="20"/>
              <w:spacing w:after="0"/>
              <w:rPr>
                <w:sz w:val="20"/>
                <w:szCs w:val="20"/>
                <w:color w:val="auto"/>
              </w:rPr>
            </w:pPr>
            <w:r>
              <w:rPr>
                <w:rFonts w:ascii="Arial" w:cs="Arial" w:eastAsia="Arial" w:hAnsi="Arial"/>
                <w:sz w:val="17"/>
                <w:szCs w:val="17"/>
                <w:color w:val="auto"/>
              </w:rPr>
              <w:t>Other comprehensive income before reclassifications</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1,302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335</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1,649</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Amounts reclassified from AOCI</w:t>
            </w:r>
          </w:p>
        </w:tc>
        <w:tc>
          <w:tcPr>
            <w:tcW w:w="1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(687)</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comprehensive income</w:t>
            </w:r>
          </w:p>
        </w:tc>
        <w:tc>
          <w:tcPr>
            <w:tcW w:w="12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1,302</w:t>
            </w: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(352)</w:t>
            </w:r>
          </w:p>
        </w:tc>
        <w:tc>
          <w:tcPr>
            <w:tcW w:w="100" w:type="dxa"/>
            <w:vAlign w:val="bottom"/>
            <w:tcBorders>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w:t>
            </w:r>
          </w:p>
        </w:tc>
        <w:tc>
          <w:tcPr>
            <w:tcW w:w="10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962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as of June 30, 2021</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(10,537)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1,487</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9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(8,951)</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580" w:type="dxa"/>
            <w:vAlign w:val="bottom"/>
          </w:tcPr>
          <w:p>
            <w:pPr>
              <w:ind w:left="20"/>
              <w:spacing w:after="0"/>
              <w:rPr>
                <w:sz w:val="20"/>
                <w:szCs w:val="20"/>
                <w:color w:val="auto"/>
              </w:rPr>
            </w:pPr>
            <w:r>
              <w:rPr>
                <w:rFonts w:ascii="Arial" w:cs="Arial" w:eastAsia="Arial" w:hAnsi="Arial"/>
                <w:sz w:val="17"/>
                <w:szCs w:val="17"/>
                <w:color w:val="auto"/>
              </w:rPr>
              <w:t>Other comprehensive income before reclassifications</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(5,360)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(83)</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(5,431)</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Amounts reclassified from AOCI</w:t>
            </w:r>
          </w:p>
        </w:tc>
        <w:tc>
          <w:tcPr>
            <w:tcW w:w="1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(736)</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comprehensive income</w:t>
            </w:r>
          </w:p>
        </w:tc>
        <w:tc>
          <w:tcPr>
            <w:tcW w:w="12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(5,360)</w:t>
            </w: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(819)</w:t>
            </w:r>
          </w:p>
        </w:tc>
        <w:tc>
          <w:tcPr>
            <w:tcW w:w="100" w:type="dxa"/>
            <w:vAlign w:val="bottom"/>
            <w:tcBorders>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w:t>
            </w:r>
          </w:p>
        </w:tc>
        <w:tc>
          <w:tcPr>
            <w:tcW w:w="10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(6,167)</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as of September 30, 2021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(15,897)</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668</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ind w:right="49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(15,118)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5"/>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jc w:val="right"/>
              <w:ind w:right="374"/>
              <w:spacing w:after="0"/>
              <w:rPr>
                <w:sz w:val="20"/>
                <w:szCs w:val="20"/>
                <w:color w:val="auto"/>
              </w:rPr>
            </w:pPr>
            <w:r>
              <w:rPr>
                <w:rFonts w:ascii="Arial" w:cs="Arial" w:eastAsia="Arial" w:hAnsi="Arial"/>
                <w:sz w:val="17"/>
                <w:szCs w:val="17"/>
                <w:color w:val="auto"/>
              </w:rPr>
              <w:t>26</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20" w:type="dxa"/>
            <w:vAlign w:val="bottom"/>
            <w:tcBorders>
              <w:bottom w:val="single" w:sz="8" w:color="9A9A9A"/>
            </w:tcBorders>
          </w:tcPr>
          <w:p>
            <w:pPr>
              <w:spacing w:after="0"/>
              <w:rPr>
                <w:sz w:val="9"/>
                <w:szCs w:val="9"/>
                <w:color w:val="auto"/>
              </w:rPr>
            </w:pPr>
          </w:p>
        </w:tc>
        <w:tc>
          <w:tcPr>
            <w:tcW w:w="45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17"/>
          <w:szCs w:val="17"/>
          <w:b w:val="1"/>
          <w:bCs w:val="1"/>
          <w:color w:val="auto"/>
        </w:rPr>
        <w:t>ICU MEDICAL, INC. AND SUBSIDIARIES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00" w:lineRule="exact"/>
        <w:rPr>
          <w:sz w:val="20"/>
          <w:szCs w:val="20"/>
          <w:color w:val="auto"/>
        </w:rPr>
      </w:pPr>
    </w:p>
    <w:p>
      <w:pPr>
        <w:spacing w:after="0" w:line="326"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3"/>
              </w:rPr>
              <w:t>Foreign Currency</w:t>
            </w:r>
          </w:p>
        </w:tc>
        <w:tc>
          <w:tcPr>
            <w:tcW w:w="1680" w:type="dxa"/>
            <w:vAlign w:val="bottom"/>
            <w:gridSpan w:val="3"/>
            <w:vMerge w:val="restart"/>
          </w:tcPr>
          <w:p>
            <w:pPr>
              <w:ind w:left="40"/>
              <w:spacing w:after="0"/>
              <w:rPr>
                <w:sz w:val="20"/>
                <w:szCs w:val="20"/>
                <w:color w:val="auto"/>
              </w:rPr>
            </w:pPr>
            <w:r>
              <w:rPr>
                <w:rFonts w:ascii="Arial" w:cs="Arial" w:eastAsia="Arial" w:hAnsi="Arial"/>
                <w:sz w:val="17"/>
                <w:szCs w:val="17"/>
                <w:b w:val="1"/>
                <w:bCs w:val="1"/>
                <w:color w:val="auto"/>
                <w:w w:val="99"/>
              </w:rPr>
              <w:t>Unrealized Gains on</w:t>
            </w:r>
          </w:p>
        </w:tc>
        <w:tc>
          <w:tcPr>
            <w:tcW w:w="6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tcPr>
          <w:p>
            <w:pPr>
              <w:jc w:val="center"/>
              <w:ind w:right="240"/>
              <w:spacing w:after="0" w:line="168" w:lineRule="exact"/>
              <w:rPr>
                <w:sz w:val="20"/>
                <w:szCs w:val="20"/>
                <w:color w:val="auto"/>
              </w:rPr>
            </w:pPr>
            <w:r>
              <w:rPr>
                <w:rFonts w:ascii="Arial" w:cs="Arial" w:eastAsia="Arial" w:hAnsi="Arial"/>
                <w:sz w:val="17"/>
                <w:szCs w:val="17"/>
                <w:b w:val="1"/>
                <w:bCs w:val="1"/>
                <w:color w:val="auto"/>
                <w:w w:val="91"/>
              </w:rPr>
              <w:t>Translation</w:t>
            </w:r>
          </w:p>
        </w:tc>
        <w:tc>
          <w:tcPr>
            <w:tcW w:w="1680" w:type="dxa"/>
            <w:vAlign w:val="bottom"/>
            <w:gridSpan w:val="3"/>
            <w:vMerge w:val="continue"/>
          </w:tcPr>
          <w:p>
            <w:pPr>
              <w:spacing w:after="0"/>
              <w:rPr>
                <w:sz w:val="14"/>
                <w:szCs w:val="14"/>
                <w:color w:val="auto"/>
              </w:rPr>
            </w:pPr>
          </w:p>
        </w:tc>
        <w:tc>
          <w:tcPr>
            <w:tcW w:w="1680" w:type="dxa"/>
            <w:vAlign w:val="bottom"/>
            <w:gridSpan w:val="3"/>
            <w:vMerge w:val="restart"/>
          </w:tcPr>
          <w:p>
            <w:pPr>
              <w:ind w:left="80"/>
              <w:spacing w:after="0"/>
              <w:rPr>
                <w:sz w:val="20"/>
                <w:szCs w:val="20"/>
                <w:color w:val="auto"/>
              </w:rPr>
            </w:pPr>
            <w:r>
              <w:rPr>
                <w:rFonts w:ascii="Arial" w:cs="Arial" w:eastAsia="Arial" w:hAnsi="Arial"/>
                <w:sz w:val="17"/>
                <w:szCs w:val="17"/>
                <w:b w:val="1"/>
                <w:bCs w:val="1"/>
                <w:color w:val="auto"/>
              </w:rPr>
              <w:t>Other Adjustments</w:t>
            </w:r>
          </w:p>
        </w:tc>
        <w:tc>
          <w:tcPr>
            <w:tcW w:w="360" w:type="dxa"/>
            <w:vAlign w:val="bottom"/>
          </w:tcPr>
          <w:p>
            <w:pPr>
              <w:spacing w:after="0"/>
              <w:rPr>
                <w:sz w:val="14"/>
                <w:szCs w:val="14"/>
                <w:color w:val="auto"/>
              </w:rPr>
            </w:pPr>
          </w:p>
        </w:tc>
        <w:tc>
          <w:tcPr>
            <w:tcW w:w="1240" w:type="dxa"/>
            <w:vAlign w:val="bottom"/>
            <w:vMerge w:val="restart"/>
          </w:tcPr>
          <w:p>
            <w:pPr>
              <w:jc w:val="right"/>
              <w:ind w:right="534"/>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20"/>
        </w:trPr>
        <w:tc>
          <w:tcPr>
            <w:tcW w:w="4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1"/>
              </w:rPr>
              <w:t>Adjustments</w:t>
            </w:r>
          </w:p>
        </w:tc>
        <w:tc>
          <w:tcPr>
            <w:tcW w:w="100" w:type="dxa"/>
            <w:vAlign w:val="bottom"/>
          </w:tcPr>
          <w:p>
            <w:pPr>
              <w:spacing w:after="0"/>
              <w:rPr>
                <w:sz w:val="19"/>
                <w:szCs w:val="19"/>
                <w:color w:val="auto"/>
              </w:rPr>
            </w:pPr>
          </w:p>
        </w:tc>
        <w:tc>
          <w:tcPr>
            <w:tcW w:w="1580" w:type="dxa"/>
            <w:vAlign w:val="bottom"/>
            <w:gridSpan w:val="2"/>
          </w:tcPr>
          <w:p>
            <w:pPr>
              <w:spacing w:after="0"/>
              <w:rPr>
                <w:sz w:val="20"/>
                <w:szCs w:val="20"/>
                <w:color w:val="auto"/>
              </w:rPr>
            </w:pPr>
            <w:r>
              <w:rPr>
                <w:rFonts w:ascii="Arial" w:cs="Arial" w:eastAsia="Arial" w:hAnsi="Arial"/>
                <w:sz w:val="17"/>
                <w:szCs w:val="17"/>
                <w:b w:val="1"/>
                <w:bCs w:val="1"/>
                <w:color w:val="auto"/>
              </w:rPr>
              <w:t>Cash Flow Hedges</w:t>
            </w:r>
          </w:p>
        </w:tc>
        <w:tc>
          <w:tcPr>
            <w:tcW w:w="1680" w:type="dxa"/>
            <w:vAlign w:val="bottom"/>
            <w:gridSpan w:val="3"/>
            <w:vMerge w:val="continue"/>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as of January 1, 2020</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(17,310)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1,880</w:t>
            </w: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494"/>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(15,402)</w:t>
            </w:r>
          </w:p>
        </w:tc>
        <w:tc>
          <w:tcPr>
            <w:tcW w:w="0" w:type="dxa"/>
            <w:vAlign w:val="bottom"/>
          </w:tcPr>
          <w:p>
            <w:pPr>
              <w:spacing w:after="0"/>
              <w:rPr>
                <w:sz w:val="1"/>
                <w:szCs w:val="1"/>
                <w:color w:val="auto"/>
              </w:rPr>
            </w:pPr>
          </w:p>
        </w:tc>
      </w:tr>
      <w:tr>
        <w:trPr>
          <w:trHeight w:val="220"/>
        </w:trPr>
        <w:tc>
          <w:tcPr>
            <w:tcW w:w="4580" w:type="dxa"/>
            <w:vAlign w:val="bottom"/>
          </w:tcPr>
          <w:p>
            <w:pPr>
              <w:ind w:left="20"/>
              <w:spacing w:after="0"/>
              <w:rPr>
                <w:sz w:val="20"/>
                <w:szCs w:val="20"/>
                <w:color w:val="auto"/>
              </w:rPr>
            </w:pPr>
            <w:r>
              <w:rPr>
                <w:rFonts w:ascii="Arial" w:cs="Arial" w:eastAsia="Arial" w:hAnsi="Arial"/>
                <w:sz w:val="17"/>
                <w:szCs w:val="17"/>
                <w:color w:val="auto"/>
              </w:rPr>
              <w:t>Other comprehensive loss before reclassifications</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(10,477)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(2,426)</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(81)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(12,984)</w:t>
            </w:r>
          </w:p>
        </w:tc>
        <w:tc>
          <w:tcPr>
            <w:tcW w:w="0" w:type="dxa"/>
            <w:vAlign w:val="bottom"/>
          </w:tcPr>
          <w:p>
            <w:pPr>
              <w:spacing w:after="0"/>
              <w:rPr>
                <w:sz w:val="1"/>
                <w:szCs w:val="1"/>
                <w:color w:val="auto"/>
              </w:rPr>
            </w:pPr>
          </w:p>
        </w:tc>
      </w:tr>
      <w:tr>
        <w:trPr>
          <w:trHeight w:val="220"/>
        </w:trPr>
        <w:tc>
          <w:tcPr>
            <w:tcW w:w="4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Amounts reclassified from AOCI</w:t>
            </w:r>
          </w:p>
        </w:tc>
        <w:tc>
          <w:tcPr>
            <w:tcW w:w="1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(526)</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(526)</w:t>
            </w:r>
          </w:p>
        </w:tc>
        <w:tc>
          <w:tcPr>
            <w:tcW w:w="0" w:type="dxa"/>
            <w:vAlign w:val="bottom"/>
          </w:tcPr>
          <w:p>
            <w:pPr>
              <w:spacing w:after="0"/>
              <w:rPr>
                <w:sz w:val="1"/>
                <w:szCs w:val="1"/>
                <w:color w:val="auto"/>
              </w:rPr>
            </w:pPr>
          </w:p>
        </w:tc>
      </w:tr>
      <w:tr>
        <w:trPr>
          <w:trHeight w:val="213"/>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comprehensive loss</w:t>
            </w:r>
          </w:p>
        </w:tc>
        <w:tc>
          <w:tcPr>
            <w:tcW w:w="12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(10,477)</w:t>
            </w: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(2,952)</w:t>
            </w:r>
          </w:p>
        </w:tc>
        <w:tc>
          <w:tcPr>
            <w:tcW w:w="100" w:type="dxa"/>
            <w:vAlign w:val="bottom"/>
            <w:tcBorders>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(81)</w:t>
            </w:r>
          </w:p>
        </w:tc>
        <w:tc>
          <w:tcPr>
            <w:tcW w:w="10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(13,510)</w:t>
            </w:r>
          </w:p>
        </w:tc>
        <w:tc>
          <w:tcPr>
            <w:tcW w:w="0" w:type="dxa"/>
            <w:vAlign w:val="bottom"/>
          </w:tcPr>
          <w:p>
            <w:pPr>
              <w:spacing w:after="0"/>
              <w:rPr>
                <w:sz w:val="1"/>
                <w:szCs w:val="1"/>
                <w:color w:val="auto"/>
              </w:rPr>
            </w:pPr>
          </w:p>
        </w:tc>
      </w:tr>
      <w:tr>
        <w:trPr>
          <w:trHeight w:val="213"/>
        </w:trPr>
        <w:tc>
          <w:tcPr>
            <w:tcW w:w="4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as of March 31, 2020</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(27,787)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(1,072)</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9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(28,912)</w:t>
            </w:r>
          </w:p>
        </w:tc>
        <w:tc>
          <w:tcPr>
            <w:tcW w:w="0" w:type="dxa"/>
            <w:vAlign w:val="bottom"/>
          </w:tcPr>
          <w:p>
            <w:pPr>
              <w:spacing w:after="0"/>
              <w:rPr>
                <w:sz w:val="1"/>
                <w:szCs w:val="1"/>
                <w:color w:val="auto"/>
              </w:rPr>
            </w:pPr>
          </w:p>
        </w:tc>
      </w:tr>
      <w:tr>
        <w:trPr>
          <w:trHeight w:val="220"/>
        </w:trPr>
        <w:tc>
          <w:tcPr>
            <w:tcW w:w="4580" w:type="dxa"/>
            <w:vAlign w:val="bottom"/>
          </w:tcPr>
          <w:p>
            <w:pPr>
              <w:ind w:left="20"/>
              <w:spacing w:after="0"/>
              <w:rPr>
                <w:sz w:val="20"/>
                <w:szCs w:val="20"/>
                <w:color w:val="auto"/>
              </w:rPr>
            </w:pPr>
            <w:r>
              <w:rPr>
                <w:rFonts w:ascii="Arial" w:cs="Arial" w:eastAsia="Arial" w:hAnsi="Arial"/>
                <w:sz w:val="17"/>
                <w:szCs w:val="17"/>
                <w:color w:val="auto"/>
              </w:rPr>
              <w:t>Other comprehensive income before reclassifications</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4,604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960</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5,568</w:t>
            </w:r>
          </w:p>
        </w:tc>
        <w:tc>
          <w:tcPr>
            <w:tcW w:w="0" w:type="dxa"/>
            <w:vAlign w:val="bottom"/>
          </w:tcPr>
          <w:p>
            <w:pPr>
              <w:spacing w:after="0"/>
              <w:rPr>
                <w:sz w:val="1"/>
                <w:szCs w:val="1"/>
                <w:color w:val="auto"/>
              </w:rPr>
            </w:pPr>
          </w:p>
        </w:tc>
      </w:tr>
      <w:tr>
        <w:trPr>
          <w:trHeight w:val="220"/>
        </w:trPr>
        <w:tc>
          <w:tcPr>
            <w:tcW w:w="4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Amounts reclassified from AOCI</w:t>
            </w:r>
          </w:p>
        </w:tc>
        <w:tc>
          <w:tcPr>
            <w:tcW w:w="1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w:t>
            </w:r>
          </w:p>
        </w:tc>
        <w:tc>
          <w:tcPr>
            <w:tcW w:w="0" w:type="dxa"/>
            <w:vAlign w:val="bottom"/>
          </w:tcPr>
          <w:p>
            <w:pPr>
              <w:spacing w:after="0"/>
              <w:rPr>
                <w:sz w:val="1"/>
                <w:szCs w:val="1"/>
                <w:color w:val="auto"/>
              </w:rPr>
            </w:pPr>
          </w:p>
        </w:tc>
      </w:tr>
      <w:tr>
        <w:trPr>
          <w:trHeight w:val="213"/>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comprehensive income</w:t>
            </w:r>
          </w:p>
        </w:tc>
        <w:tc>
          <w:tcPr>
            <w:tcW w:w="12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4,604</w:t>
            </w: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1,126</w:t>
            </w:r>
          </w:p>
        </w:tc>
        <w:tc>
          <w:tcPr>
            <w:tcW w:w="100" w:type="dxa"/>
            <w:vAlign w:val="bottom"/>
            <w:tcBorders>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w:t>
            </w:r>
          </w:p>
        </w:tc>
        <w:tc>
          <w:tcPr>
            <w:tcW w:w="10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5,734</w:t>
            </w:r>
          </w:p>
        </w:tc>
        <w:tc>
          <w:tcPr>
            <w:tcW w:w="0" w:type="dxa"/>
            <w:vAlign w:val="bottom"/>
          </w:tcPr>
          <w:p>
            <w:pPr>
              <w:spacing w:after="0"/>
              <w:rPr>
                <w:sz w:val="1"/>
                <w:szCs w:val="1"/>
                <w:color w:val="auto"/>
              </w:rPr>
            </w:pPr>
          </w:p>
        </w:tc>
      </w:tr>
      <w:tr>
        <w:trPr>
          <w:trHeight w:val="238"/>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as of June 30, 2020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(23,183)</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ind w:right="49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(23,178)</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Other comprehensive income before reclassifications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5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jc w:val="right"/>
              <w:spacing w:after="0" w:line="191" w:lineRule="exact"/>
              <w:rPr>
                <w:sz w:val="20"/>
                <w:szCs w:val="20"/>
                <w:color w:val="auto"/>
              </w:rPr>
            </w:pPr>
            <w:r>
              <w:rPr>
                <w:rFonts w:ascii="Arial" w:cs="Arial" w:eastAsia="Arial" w:hAnsi="Arial"/>
                <w:sz w:val="17"/>
                <w:szCs w:val="17"/>
                <w:color w:val="auto"/>
              </w:rPr>
              <w:t>6,626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right"/>
              <w:spacing w:after="0" w:line="191" w:lineRule="exact"/>
              <w:rPr>
                <w:sz w:val="20"/>
                <w:szCs w:val="20"/>
                <w:color w:val="auto"/>
              </w:rPr>
            </w:pPr>
            <w:r>
              <w:rPr>
                <w:rFonts w:ascii="Arial" w:cs="Arial" w:eastAsia="Arial" w:hAnsi="Arial"/>
                <w:sz w:val="17"/>
                <w:szCs w:val="17"/>
                <w:color w:val="auto"/>
              </w:rPr>
              <w:t>978</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Arial" w:cs="Arial" w:eastAsia="Arial" w:hAnsi="Arial"/>
                <w:sz w:val="17"/>
                <w:szCs w:val="17"/>
                <w:color w:val="auto"/>
              </w:rPr>
              <w:t>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jc w:val="right"/>
              <w:spacing w:after="0" w:line="191" w:lineRule="exact"/>
              <w:rPr>
                <w:sz w:val="20"/>
                <w:szCs w:val="20"/>
                <w:color w:val="auto"/>
              </w:rPr>
            </w:pPr>
            <w:r>
              <w:rPr>
                <w:rFonts w:ascii="Arial" w:cs="Arial" w:eastAsia="Arial" w:hAnsi="Arial"/>
                <w:sz w:val="17"/>
                <w:szCs w:val="17"/>
                <w:color w:val="auto"/>
              </w:rPr>
              <w:t>7,607</w:t>
            </w:r>
          </w:p>
        </w:tc>
        <w:tc>
          <w:tcPr>
            <w:tcW w:w="0" w:type="dxa"/>
            <w:vAlign w:val="bottom"/>
          </w:tcPr>
          <w:p>
            <w:pPr>
              <w:spacing w:after="0"/>
              <w:rPr>
                <w:sz w:val="1"/>
                <w:szCs w:val="1"/>
                <w:color w:val="auto"/>
              </w:rPr>
            </w:pPr>
          </w:p>
        </w:tc>
      </w:tr>
      <w:tr>
        <w:trPr>
          <w:trHeight w:val="220"/>
        </w:trPr>
        <w:tc>
          <w:tcPr>
            <w:tcW w:w="4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Amounts reclassified from AOCI</w:t>
            </w:r>
          </w:p>
        </w:tc>
        <w:tc>
          <w:tcPr>
            <w:tcW w:w="1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0" w:type="dxa"/>
            <w:vAlign w:val="bottom"/>
          </w:tcPr>
          <w:p>
            <w:pPr>
              <w:spacing w:after="0"/>
              <w:rPr>
                <w:sz w:val="1"/>
                <w:szCs w:val="1"/>
                <w:color w:val="auto"/>
              </w:rPr>
            </w:pPr>
          </w:p>
        </w:tc>
      </w:tr>
      <w:tr>
        <w:trPr>
          <w:trHeight w:val="213"/>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comprehensive income</w:t>
            </w:r>
          </w:p>
        </w:tc>
        <w:tc>
          <w:tcPr>
            <w:tcW w:w="12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6,626</w:t>
            </w: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1,016</w:t>
            </w:r>
          </w:p>
        </w:tc>
        <w:tc>
          <w:tcPr>
            <w:tcW w:w="100" w:type="dxa"/>
            <w:vAlign w:val="bottom"/>
            <w:tcBorders>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10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7,645</w:t>
            </w:r>
          </w:p>
        </w:tc>
        <w:tc>
          <w:tcPr>
            <w:tcW w:w="0" w:type="dxa"/>
            <w:vAlign w:val="bottom"/>
          </w:tcPr>
          <w:p>
            <w:pPr>
              <w:spacing w:after="0"/>
              <w:rPr>
                <w:sz w:val="1"/>
                <w:szCs w:val="1"/>
                <w:color w:val="auto"/>
              </w:rPr>
            </w:pPr>
          </w:p>
        </w:tc>
      </w:tr>
      <w:tr>
        <w:trPr>
          <w:trHeight w:val="238"/>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as of September 30, 2020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(16,557)</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1,070</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ind w:right="49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(15,533)</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18: Commitments and Contingencies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Legal Proceedings</w:t>
      </w:r>
    </w:p>
    <w:p>
      <w:pPr>
        <w:spacing w:after="0" w:line="244" w:lineRule="exact"/>
        <w:rPr>
          <w:sz w:val="20"/>
          <w:szCs w:val="20"/>
          <w:color w:val="auto"/>
        </w:rPr>
      </w:pPr>
    </w:p>
    <w:p>
      <w:pPr>
        <w:ind w:right="100" w:firstLine="620"/>
        <w:spacing w:after="0" w:line="268" w:lineRule="auto"/>
        <w:rPr>
          <w:sz w:val="20"/>
          <w:szCs w:val="20"/>
          <w:color w:val="auto"/>
        </w:rPr>
      </w:pPr>
      <w:r>
        <w:rPr>
          <w:rFonts w:ascii="Arial" w:cs="Arial" w:eastAsia="Arial" w:hAnsi="Arial"/>
          <w:sz w:val="17"/>
          <w:szCs w:val="17"/>
          <w:color w:val="auto"/>
        </w:rPr>
        <w:t>From time to time, we are involved in various legal proceedings, most of which are routine litigation, in the normal course of business. Our management does not believe that the resolution of the unsettled legal proceedings that we are involved with will have a material adverse impact on our financial position or 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Off-Balance Sheet Arrangements</w:t>
      </w:r>
    </w:p>
    <w:p>
      <w:pPr>
        <w:spacing w:after="0" w:line="218" w:lineRule="exact"/>
        <w:rPr>
          <w:sz w:val="20"/>
          <w:szCs w:val="20"/>
          <w:color w:val="auto"/>
        </w:rPr>
      </w:pPr>
    </w:p>
    <w:p>
      <w:pPr>
        <w:ind w:right="60" w:firstLine="172"/>
        <w:spacing w:after="0" w:line="259" w:lineRule="auto"/>
        <w:rPr>
          <w:sz w:val="20"/>
          <w:szCs w:val="20"/>
          <w:color w:val="auto"/>
        </w:rPr>
      </w:pPr>
      <w:r>
        <w:rPr>
          <w:rFonts w:ascii="Arial" w:cs="Arial" w:eastAsia="Arial" w:hAnsi="Arial"/>
          <w:sz w:val="17"/>
          <w:szCs w:val="17"/>
          <w:color w:val="auto"/>
        </w:rPr>
        <w:t>In the normal course of business, we have agreed to indemnify our officers and directors to the maximum extent permitted under Delaware law and to indemnify customers as to certain intellectual property matters or other matters related to sales of our products. There is no maximum limit on the indemnification that may be required under these agreements.</w:t>
      </w:r>
    </w:p>
    <w:p>
      <w:pPr>
        <w:spacing w:after="0"/>
        <w:rPr>
          <w:sz w:val="20"/>
          <w:szCs w:val="20"/>
          <w:color w:val="auto"/>
        </w:rPr>
      </w:pPr>
      <w:r>
        <w:rPr>
          <w:rFonts w:ascii="Arial" w:cs="Arial" w:eastAsia="Arial" w:hAnsi="Arial"/>
          <w:sz w:val="17"/>
          <w:szCs w:val="17"/>
          <w:color w:val="auto"/>
        </w:rPr>
        <w:t>Although we can provide no assurances, we have never incurred, nor do we expect to incur, any material liability for indemnification.</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Contingencies</w:t>
      </w:r>
    </w:p>
    <w:p>
      <w:pPr>
        <w:spacing w:after="0" w:line="244" w:lineRule="exact"/>
        <w:rPr>
          <w:sz w:val="20"/>
          <w:szCs w:val="20"/>
          <w:color w:val="auto"/>
        </w:rPr>
      </w:pPr>
    </w:p>
    <w:p>
      <w:pPr>
        <w:ind w:right="60" w:firstLine="620"/>
        <w:spacing w:after="0" w:line="281" w:lineRule="auto"/>
        <w:rPr>
          <w:sz w:val="20"/>
          <w:szCs w:val="20"/>
          <w:color w:val="auto"/>
        </w:rPr>
      </w:pPr>
      <w:r>
        <w:rPr>
          <w:rFonts w:ascii="Arial" w:cs="Arial" w:eastAsia="Arial" w:hAnsi="Arial"/>
          <w:sz w:val="16"/>
          <w:szCs w:val="16"/>
          <w:color w:val="auto"/>
        </w:rPr>
        <w:t>In August 2021, we entered into an agreement with one of our international distributors whereby that distributor would not compete with us in a specific territory for a three-year period that will end in September 2024. The terms of the agreement include a contingent earn-out payment. The contingent earn-out shall not exceed $6.0 million, which will be earned based on certain revenue targets over a twelve-month measurement period determined by the highest four consecutive quarters commencing over a two-year period starting on the closing date of the agreement and provided that the distributor is in compliance with its obligations under the agreement. As of September 30, 2021, the fair value of the contingent earn-out is estimated at $3.1 million.</w:t>
      </w:r>
    </w:p>
    <w:p>
      <w:pPr>
        <w:spacing w:after="0" w:line="189" w:lineRule="exact"/>
        <w:rPr>
          <w:sz w:val="20"/>
          <w:szCs w:val="20"/>
          <w:color w:val="auto"/>
        </w:rPr>
      </w:pPr>
    </w:p>
    <w:p>
      <w:pPr>
        <w:jc w:val="both"/>
        <w:ind w:right="120" w:firstLine="172"/>
        <w:spacing w:after="0" w:line="309" w:lineRule="auto"/>
        <w:rPr>
          <w:sz w:val="20"/>
          <w:szCs w:val="20"/>
          <w:color w:val="auto"/>
        </w:rPr>
      </w:pPr>
      <w:r>
        <w:rPr>
          <w:rFonts w:ascii="Arial" w:cs="Arial" w:eastAsia="Arial" w:hAnsi="Arial"/>
          <w:sz w:val="15"/>
          <w:szCs w:val="15"/>
          <w:color w:val="auto"/>
        </w:rPr>
        <w:t>During November 2019, we acquired Pursuit. Total consideration for the acquisition included a potential contractual earn-out of up to $50.0 million, to be paid to former Pursuit equity holders, calculated based upon the achievement of certain performance targets during the earn-out period. As of June 30, 2021, the earn-out measurement period had ended and based on the actual sales and gross profit achieved during the measurement period we calculated the actual earn-out to be $26.3 million. In October 2021, the $26.3 million earn-out was finalized and paid to the former Pursuit equity holders (see Note 8: Fair Value Measurement).</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jc w:val="center"/>
        <w:ind w:right="-59"/>
        <w:spacing w:after="0"/>
        <w:rPr>
          <w:sz w:val="20"/>
          <w:szCs w:val="20"/>
          <w:color w:val="auto"/>
        </w:rPr>
      </w:pPr>
      <w:r>
        <w:rPr>
          <w:rFonts w:ascii="Arial" w:cs="Arial" w:eastAsia="Arial" w:hAnsi="Arial"/>
          <w:sz w:val="17"/>
          <w:szCs w:val="17"/>
          <w:b w:val="1"/>
          <w:bCs w:val="1"/>
          <w:color w:val="auto"/>
        </w:rPr>
        <w:t>ICU MEDICAL, INC. AND SUBSIDIARIES</w:t>
      </w:r>
    </w:p>
    <w:p>
      <w:pPr>
        <w:spacing w:after="0" w:line="30"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00" w:lineRule="exact"/>
        <w:rPr>
          <w:sz w:val="20"/>
          <w:szCs w:val="20"/>
          <w:color w:val="auto"/>
        </w:rPr>
      </w:pPr>
    </w:p>
    <w:p>
      <w:pPr>
        <w:spacing w:after="0" w:line="31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In 2017, we recognized an earn-out liability upon the acquisition of HIS from Pfizer. Pfizer was entitled to receive between $191.3 million and</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$225.0 million in additional cash consideration based on the achievement of certain performance targets for the combined company for the three years ending</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2019. As of December 31, 2019 we determined we did not meet the necessary performance targets that would require payout of any of the HIS</w:t>
      </w: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color w:val="auto"/>
        </w:rPr>
        <w:t>earn-out liability. Pfizer disputed our determination that the performance targets requiring payout of the HIS earn-out liability were not met, therefore the dispute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entered into binding arbitration. In August 2021, the arbitrator concluded that the necessary performance targets that would require payout of the HIS earn-out</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were not met, and as a result Pfizer is not entitled to any payments in connection with the HIS earn-out liability.</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Commitments</w:t>
      </w:r>
    </w:p>
    <w:p>
      <w:pPr>
        <w:spacing w:after="0" w:line="24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We have non-cancellable operating lease agreements where we are contractually obligated to pay certain lease payment amounts (see Note 5: Leases).</w:t>
      </w:r>
    </w:p>
    <w:p>
      <w:pPr>
        <w:spacing w:after="0" w:line="249"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Note 19:</w:t>
      </w:r>
      <w:r>
        <w:rPr>
          <w:sz w:val="20"/>
          <w:szCs w:val="20"/>
          <w:color w:val="auto"/>
        </w:rPr>
        <w:tab/>
      </w:r>
      <w:r>
        <w:rPr>
          <w:rFonts w:ascii="Arial" w:cs="Arial" w:eastAsia="Arial" w:hAnsi="Arial"/>
          <w:sz w:val="15"/>
          <w:szCs w:val="15"/>
          <w:b w:val="1"/>
          <w:bCs w:val="1"/>
          <w:color w:val="auto"/>
        </w:rPr>
        <w:t>Collaborative and Other Arrangements</w:t>
      </w:r>
    </w:p>
    <w:p>
      <w:pPr>
        <w:spacing w:after="0" w:line="224" w:lineRule="exact"/>
        <w:rPr>
          <w:sz w:val="20"/>
          <w:szCs w:val="20"/>
          <w:color w:val="auto"/>
        </w:rPr>
      </w:pPr>
    </w:p>
    <w:p>
      <w:pPr>
        <w:ind w:right="20" w:firstLine="172"/>
        <w:spacing w:after="0" w:line="290" w:lineRule="auto"/>
        <w:rPr>
          <w:sz w:val="20"/>
          <w:szCs w:val="20"/>
          <w:color w:val="auto"/>
        </w:rPr>
      </w:pPr>
      <w:r>
        <w:rPr>
          <w:rFonts w:ascii="Arial" w:cs="Arial" w:eastAsia="Arial" w:hAnsi="Arial"/>
          <w:sz w:val="15"/>
          <w:szCs w:val="15"/>
          <w:color w:val="auto"/>
        </w:rPr>
        <w:t>On February 3, 2017, we entered into two Manufacturing and Supply Agreements ("MSAs"), (i) whereby Pfizer will manufacture and supply us with certain agreed upon products for an initial five-year term with a one-time two-year option to extend and (ii) whereby we will manufacture and supply Pfizer certain agreed upon products for a term of five or ten years depending on the product, also with a one-time two-year option to extend. The MSAs provide each party with mutually beneficial interests and both of the MSAs are to be jointly managed by both Pfizer and ICU. The initial supply price, which will be annually updated, is in full consideration for all costs associated with the manufacture, documentation, packaging and certification of the products. On January 1, 2021, we amended our MSA with Pfizer, whereby we manufacture and supply certain agreed upon products to Pfizer. The amendments included a change to the term of the agreement to end on December 31, 2024 with Pfizer's unilateral election to extend through December 31, 2025. Other changes to the terms of the MSA included</w:t>
      </w:r>
    </w:p>
    <w:p>
      <w:pPr>
        <w:spacing w:after="0" w:line="1" w:lineRule="exact"/>
        <w:rPr>
          <w:sz w:val="20"/>
          <w:szCs w:val="20"/>
          <w:color w:val="auto"/>
        </w:rPr>
      </w:pPr>
    </w:p>
    <w:p>
      <w:pPr>
        <w:ind w:right="260" w:firstLine="3"/>
        <w:spacing w:after="0" w:line="267" w:lineRule="auto"/>
        <w:tabs>
          <w:tab w:leader="none" w:pos="206" w:val="left"/>
        </w:tabs>
        <w:numPr>
          <w:ilvl w:val="0"/>
          <w:numId w:val="10"/>
        </w:numPr>
        <w:rPr>
          <w:rFonts w:ascii="Arial" w:cs="Arial" w:eastAsia="Arial" w:hAnsi="Arial"/>
          <w:sz w:val="17"/>
          <w:szCs w:val="17"/>
          <w:color w:val="auto"/>
        </w:rPr>
      </w:pPr>
      <w:r>
        <w:rPr>
          <w:rFonts w:ascii="Arial" w:cs="Arial" w:eastAsia="Arial" w:hAnsi="Arial"/>
          <w:sz w:val="17"/>
          <w:szCs w:val="17"/>
          <w:color w:val="auto"/>
        </w:rPr>
        <w:t>amendments to our level of supply of products to Pfizer, (ii) certain changes to our manufacturing lines, (iii) updates to our supply price with added volume price tiers for annual periods and (iv) certain minimum purchase requirements for certain products.</w:t>
      </w:r>
    </w:p>
    <w:p>
      <w:pPr>
        <w:spacing w:after="0" w:line="167"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Note 20:</w:t>
      </w:r>
      <w:r>
        <w:rPr>
          <w:sz w:val="20"/>
          <w:szCs w:val="20"/>
          <w:color w:val="auto"/>
        </w:rPr>
        <w:tab/>
      </w:r>
      <w:r>
        <w:rPr>
          <w:rFonts w:ascii="Arial" w:cs="Arial" w:eastAsia="Arial" w:hAnsi="Arial"/>
          <w:sz w:val="14"/>
          <w:szCs w:val="14"/>
          <w:b w:val="1"/>
          <w:bCs w:val="1"/>
          <w:color w:val="auto"/>
        </w:rPr>
        <w:t>Acquisitions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Definitive Agreement to Purchase Smiths Medical 2020 Limited</w:t>
      </w:r>
    </w:p>
    <w:p>
      <w:pPr>
        <w:spacing w:after="0" w:line="244" w:lineRule="exact"/>
        <w:rPr>
          <w:sz w:val="20"/>
          <w:szCs w:val="20"/>
          <w:color w:val="auto"/>
        </w:rPr>
      </w:pPr>
    </w:p>
    <w:p>
      <w:pPr>
        <w:ind w:right="20" w:firstLine="620"/>
        <w:spacing w:after="0" w:line="258" w:lineRule="auto"/>
        <w:rPr>
          <w:sz w:val="20"/>
          <w:szCs w:val="20"/>
          <w:color w:val="auto"/>
        </w:rPr>
      </w:pPr>
      <w:r>
        <w:rPr>
          <w:rFonts w:ascii="Arial" w:cs="Arial" w:eastAsia="Arial" w:hAnsi="Arial"/>
          <w:sz w:val="17"/>
          <w:szCs w:val="17"/>
          <w:color w:val="auto"/>
        </w:rPr>
        <w:t>During September 2021, we entered into a definitive agreement to acquire Smiths Medical 2020 Limited ("Smiths"), the holding company of Smiths Group plc's global medical device business ("Smiths Group"). In accordance with the Share Sale and Purchase Agreement (the "Purchase Agreement") we will purchase the entire issued share capital of Smiths for approximately $1.9 billion in cash, the issuance of 2.5 million fully paid and non-assessable shares of our common stock, par value $0.10 per share and a potential contingent earn-out of $100.0 million in cash, which is to be based upon our common stock achieving a certain volume weighted average price for certain periods from closing to the third or fourth anniversary of closing. The transaction is anticipated to close in early 2022, however closing under the Purchase Agreement is conditional upon the approval of the shareholders of Smiths Group plc, certain antitrust conditions and foreign direct investment conditions, and the termination in accordance with its terms of the sale and purchase agreement between Smiths Group plc and Trulli Bidco Limited.</w:t>
      </w:r>
    </w:p>
    <w:p>
      <w:pPr>
        <w:spacing w:after="0" w:line="192" w:lineRule="exact"/>
        <w:rPr>
          <w:sz w:val="20"/>
          <w:szCs w:val="20"/>
          <w:color w:val="auto"/>
        </w:rPr>
      </w:pPr>
    </w:p>
    <w:p>
      <w:pPr>
        <w:ind w:firstLine="620"/>
        <w:spacing w:after="0" w:line="229" w:lineRule="auto"/>
        <w:rPr>
          <w:sz w:val="20"/>
          <w:szCs w:val="20"/>
          <w:color w:val="auto"/>
        </w:rPr>
      </w:pPr>
      <w:r>
        <w:rPr>
          <w:rFonts w:ascii="Arial" w:cs="Arial" w:eastAsia="Arial" w:hAnsi="Arial"/>
          <w:sz w:val="17"/>
          <w:szCs w:val="17"/>
          <w:color w:val="auto"/>
        </w:rPr>
        <w:t>In connection with entering into the Purchase Agreement, in September 2021, we entered into a debt commitment letter with Wells Fargo Bank, National Association, Wells Fargo Securities, LLC and Barclays Bank PLC (the “Committed Parties”), pursuant to which, among other things, the Committed Parties will provide to us, at or near closing of the transaction, with senior secured credit facilities of up to $2.0 billion consisting of a term loan A facility of $850.0 million, a term loan B facility of $850 million and a revolving credit facility of $300.0 million. In October 2021, the debt commitment related to the term loan A and revolving credit facility was syndicated to a broader group of Committed Parties. As part of the syndication process, the size of the revolving credit facility was increased from $300.0 million to $500.0 million.</w:t>
      </w:r>
    </w:p>
    <w:p>
      <w:pPr>
        <w:spacing w:after="0" w:line="212" w:lineRule="exact"/>
        <w:rPr>
          <w:sz w:val="20"/>
          <w:szCs w:val="20"/>
          <w:color w:val="auto"/>
        </w:rPr>
      </w:pPr>
    </w:p>
    <w:p>
      <w:pPr>
        <w:ind w:right="100" w:firstLine="620"/>
        <w:spacing w:after="0" w:line="281" w:lineRule="auto"/>
        <w:rPr>
          <w:sz w:val="20"/>
          <w:szCs w:val="20"/>
          <w:color w:val="auto"/>
        </w:rPr>
      </w:pPr>
      <w:r>
        <w:rPr>
          <w:rFonts w:ascii="Arial" w:cs="Arial" w:eastAsia="Arial" w:hAnsi="Arial"/>
          <w:sz w:val="16"/>
          <w:szCs w:val="16"/>
          <w:color w:val="auto"/>
        </w:rPr>
        <w:t>In connection with the issuance of the stock consideration to Smiths, we will at closing enter into a Shareholders Agreement (the “Shareholders Agreement”). The Shareholders Agreement will impose certain restrictions on Smiths including prohibiting certain transfers of the shares of our Stock issued (i) for 6 months following the closing of the transactions contemplated by the Purchase Agreement and (ii) to certain of our competitors and certain other parties, as well as customary standstill limitations. Under the Shareholders Agreement, Smiths will have the right to designate one individual for election to our board of directors so long as Smiths beneficially owns at least 5% of the total outstanding shares of our common stock.</w:t>
      </w:r>
    </w:p>
    <w:p>
      <w:pPr>
        <w:spacing w:after="0" w:line="200" w:lineRule="exact"/>
        <w:rPr>
          <w:sz w:val="20"/>
          <w:szCs w:val="20"/>
          <w:color w:val="auto"/>
        </w:rPr>
      </w:pPr>
    </w:p>
    <w:p>
      <w:pPr>
        <w:spacing w:after="0" w:line="32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8" w:name="page29"/>
    <w:bookmarkEnd w:id="28"/>
    <w:p>
      <w:pPr>
        <w:jc w:val="center"/>
        <w:ind w:right="-79"/>
        <w:spacing w:after="0"/>
        <w:rPr>
          <w:sz w:val="20"/>
          <w:szCs w:val="20"/>
          <w:color w:val="auto"/>
        </w:rPr>
      </w:pPr>
      <w:r>
        <w:rPr>
          <w:rFonts w:ascii="Arial" w:cs="Arial" w:eastAsia="Arial" w:hAnsi="Arial"/>
          <w:sz w:val="17"/>
          <w:szCs w:val="17"/>
          <w:b w:val="1"/>
          <w:bCs w:val="1"/>
          <w:color w:val="auto"/>
        </w:rPr>
        <w:t>ICU MEDICAL, INC. AND SUBSIDIARIES</w:t>
      </w:r>
    </w:p>
    <w:p>
      <w:pPr>
        <w:spacing w:after="0" w:line="30"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Item 2. Management’s Discussion and Analysis of Financial Condition and Results of Operations</w:t>
      </w:r>
    </w:p>
    <w:p>
      <w:pPr>
        <w:spacing w:after="0" w:line="224" w:lineRule="exact"/>
        <w:rPr>
          <w:sz w:val="20"/>
          <w:szCs w:val="20"/>
          <w:color w:val="auto"/>
        </w:rPr>
      </w:pPr>
    </w:p>
    <w:p>
      <w:pPr>
        <w:ind w:firstLine="169"/>
        <w:spacing w:after="0" w:line="353" w:lineRule="auto"/>
        <w:rPr>
          <w:sz w:val="20"/>
          <w:szCs w:val="20"/>
          <w:color w:val="auto"/>
        </w:rPr>
      </w:pPr>
      <w:r>
        <w:rPr>
          <w:rFonts w:ascii="Arial" w:cs="Arial" w:eastAsia="Arial" w:hAnsi="Arial"/>
          <w:sz w:val="15"/>
          <w:szCs w:val="15"/>
          <w:color w:val="auto"/>
        </w:rPr>
        <w:t>The following information should be read in conjunction with the condensed consolidated financial statements and accompanying notes in this Form 10-Q, as well as the audited consolidated financial statements and related notes for the fiscal year ended December 31, 2020 included in our Annual Report on Form 10-K.</w:t>
      </w:r>
    </w:p>
    <w:p>
      <w:pPr>
        <w:spacing w:after="0" w:line="113" w:lineRule="exact"/>
        <w:rPr>
          <w:sz w:val="20"/>
          <w:szCs w:val="20"/>
          <w:color w:val="auto"/>
        </w:rPr>
      </w:pPr>
    </w:p>
    <w:p>
      <w:pPr>
        <w:ind w:right="500" w:firstLine="169"/>
        <w:spacing w:after="0" w:line="283" w:lineRule="auto"/>
        <w:rPr>
          <w:sz w:val="20"/>
          <w:szCs w:val="20"/>
          <w:color w:val="auto"/>
        </w:rPr>
      </w:pPr>
      <w:r>
        <w:rPr>
          <w:rFonts w:ascii="Arial" w:cs="Arial" w:eastAsia="Arial" w:hAnsi="Arial"/>
          <w:sz w:val="17"/>
          <w:szCs w:val="17"/>
          <w:color w:val="auto"/>
        </w:rPr>
        <w:t>When used in this report, the terms “we,” “us,” and “our” refer to ICU Medical, Inc ("ICU") and its subsidiaries included in our condensed consolidated financial statements unless context requires otherwise.</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Overview</w:t>
      </w:r>
    </w:p>
    <w:p>
      <w:pPr>
        <w:spacing w:after="0" w:line="250" w:lineRule="exact"/>
        <w:rPr>
          <w:sz w:val="20"/>
          <w:szCs w:val="20"/>
          <w:color w:val="auto"/>
        </w:rPr>
      </w:pPr>
    </w:p>
    <w:p>
      <w:pPr>
        <w:ind w:right="20" w:firstLine="169"/>
        <w:spacing w:after="0" w:line="285" w:lineRule="auto"/>
        <w:rPr>
          <w:sz w:val="20"/>
          <w:szCs w:val="20"/>
          <w:color w:val="auto"/>
        </w:rPr>
      </w:pPr>
      <w:r>
        <w:rPr>
          <w:rFonts w:ascii="Arial" w:cs="Arial" w:eastAsia="Arial" w:hAnsi="Arial"/>
          <w:sz w:val="16"/>
          <w:szCs w:val="16"/>
          <w:color w:val="auto"/>
        </w:rPr>
        <w:t>We are one of the world's leading pure-play infusion therapy companies with global operations and a wide-ranging product portfolio that includes IV solutions, IV smart pumps with pain management and safety software technology, dedicated and non-dedicated IV sets and needlefree connectors designed to help meet clinical, safety and workflow goals. In addition, we manufacture automated pharmacy IV compounding systems with workflow technology, closed systems transfer devices for preparing and administering hazardous IV drugs, and cardiac monitoring systems for critically ill patients.</w:t>
      </w:r>
    </w:p>
    <w:p>
      <w:pPr>
        <w:spacing w:after="0" w:line="186" w:lineRule="exact"/>
        <w:rPr>
          <w:sz w:val="20"/>
          <w:szCs w:val="20"/>
          <w:color w:val="auto"/>
        </w:rPr>
      </w:pPr>
    </w:p>
    <w:p>
      <w:pPr>
        <w:ind w:right="160" w:firstLine="620"/>
        <w:spacing w:after="0" w:line="283" w:lineRule="auto"/>
        <w:rPr>
          <w:sz w:val="20"/>
          <w:szCs w:val="20"/>
          <w:color w:val="auto"/>
        </w:rPr>
      </w:pPr>
      <w:r>
        <w:rPr>
          <w:rFonts w:ascii="Arial" w:cs="Arial" w:eastAsia="Arial" w:hAnsi="Arial"/>
          <w:sz w:val="17"/>
          <w:szCs w:val="17"/>
          <w:color w:val="auto"/>
        </w:rPr>
        <w:t>Our primary customers are acute care hospitals, wholesalers, ambulatory clinics and alternate site facilities, such as clinics, home health care providers and long-term care facilities. We sell our products in more than 90 countries throughout the world.</w:t>
      </w:r>
    </w:p>
    <w:p>
      <w:pPr>
        <w:spacing w:after="0" w:line="185" w:lineRule="exact"/>
        <w:rPr>
          <w:sz w:val="20"/>
          <w:szCs w:val="20"/>
          <w:color w:val="auto"/>
        </w:rPr>
      </w:pPr>
    </w:p>
    <w:p>
      <w:pPr>
        <w:ind w:right="380" w:firstLine="169"/>
        <w:spacing w:after="0" w:line="283" w:lineRule="auto"/>
        <w:rPr>
          <w:sz w:val="20"/>
          <w:szCs w:val="20"/>
          <w:color w:val="auto"/>
        </w:rPr>
      </w:pPr>
      <w:r>
        <w:rPr>
          <w:rFonts w:ascii="Arial" w:cs="Arial" w:eastAsia="Arial" w:hAnsi="Arial"/>
          <w:sz w:val="17"/>
          <w:szCs w:val="17"/>
          <w:color w:val="auto"/>
        </w:rPr>
        <w:t>We categorize our products into four main product lines: Infusion Consumables, Infusion Systems, IV Solutions and Critical Care. We have presented our financial results in accordance with these product lines, with our primary products in each line listed below.</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Definitive Agreement to Purchase Smiths Medical 2020 Limited</w:t>
      </w:r>
    </w:p>
    <w:p>
      <w:pPr>
        <w:spacing w:after="0" w:line="231" w:lineRule="exact"/>
        <w:rPr>
          <w:sz w:val="20"/>
          <w:szCs w:val="20"/>
          <w:color w:val="auto"/>
        </w:rPr>
      </w:pPr>
    </w:p>
    <w:p>
      <w:pPr>
        <w:ind w:firstLine="620"/>
        <w:spacing w:after="0" w:line="241" w:lineRule="auto"/>
        <w:rPr>
          <w:sz w:val="20"/>
          <w:szCs w:val="20"/>
          <w:color w:val="auto"/>
        </w:rPr>
      </w:pPr>
      <w:r>
        <w:rPr>
          <w:rFonts w:ascii="Arial" w:cs="Arial" w:eastAsia="Arial" w:hAnsi="Arial"/>
          <w:sz w:val="16"/>
          <w:szCs w:val="16"/>
          <w:color w:val="auto"/>
        </w:rPr>
        <w:t>In September 2021, we entered into a Share Sale and Purchase Agreement (the "Purchase Agreement") with Smiths Medical 2020 Limited ("Smiths"), the holding company of Smiths Group plc's global medical device business. We will purchase the entire issued share capital of Smiths Medical 2020 Limited for approximately $1.9 billion in cash, a potential contingent earn-out of $100.0 million and the issuance of 2.5 million fully paid and non-assessable shares of our common stock, par value $0.10 per share. In connection with entering into the Purchase Agreement, in September 2021, we entered into a debt commitment letter with Wells Fargo Bank, National Association, Wells Fargo Securities, LLC and Barclays Bank PLC (the “Committed Parties”), pursuant to which, among other things, the Committed Parties will provide to us, at or near closing of the transaction, with senior secured credit facilities of up to $2.0 billion consisting of a term loan A facility of $850.0 million, a term loan B facility of $850.0 million and a revolving credit facility of $300.0 million. In October 2021, the debt commitment related to the term loan A and revolving credit facility was syndicated to a broader group of Committed Parties. As part of the syndication process, the size of the revolving credit facility was increased from $300.0 million to $500.0 million.</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Operations Overview</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COVID-19</w:t>
      </w:r>
    </w:p>
    <w:p>
      <w:pPr>
        <w:spacing w:after="0" w:line="244" w:lineRule="exact"/>
        <w:rPr>
          <w:sz w:val="20"/>
          <w:szCs w:val="20"/>
          <w:color w:val="auto"/>
        </w:rPr>
      </w:pPr>
    </w:p>
    <w:p>
      <w:pPr>
        <w:ind w:right="280" w:firstLine="169"/>
        <w:spacing w:after="0" w:line="285" w:lineRule="auto"/>
        <w:rPr>
          <w:sz w:val="20"/>
          <w:szCs w:val="20"/>
          <w:color w:val="auto"/>
        </w:rPr>
      </w:pPr>
      <w:r>
        <w:rPr>
          <w:rFonts w:ascii="Arial" w:cs="Arial" w:eastAsia="Arial" w:hAnsi="Arial"/>
          <w:sz w:val="16"/>
          <w:szCs w:val="16"/>
          <w:color w:val="auto"/>
        </w:rPr>
        <w:t>The novel coronavirus and its variants (“COVID-19”) continues to have an impact on our business operations. Our manufacturing, distribution and pump service facilities continue to operate under our business continuity plan and our precautionary safety measures implemented to maximize the safety of our employees and mitigate disruption of our business are still in effect. For greater detail on the above mentioned safety measures and a discussion of how future results may potentially be impacted by COVID-19 see Part II, Item 7, of our 2020 Annual Report on Form 10-K.</w:t>
      </w:r>
    </w:p>
    <w:p>
      <w:pPr>
        <w:spacing w:after="0" w:line="186" w:lineRule="exact"/>
        <w:rPr>
          <w:sz w:val="20"/>
          <w:szCs w:val="20"/>
          <w:color w:val="auto"/>
        </w:rPr>
      </w:pPr>
    </w:p>
    <w:p>
      <w:pPr>
        <w:ind w:firstLine="620"/>
        <w:spacing w:after="0" w:line="263" w:lineRule="auto"/>
        <w:rPr>
          <w:sz w:val="20"/>
          <w:szCs w:val="20"/>
          <w:color w:val="auto"/>
        </w:rPr>
      </w:pPr>
      <w:r>
        <w:rPr>
          <w:rFonts w:ascii="Arial" w:cs="Arial" w:eastAsia="Arial" w:hAnsi="Arial"/>
          <w:sz w:val="17"/>
          <w:szCs w:val="17"/>
          <w:color w:val="auto"/>
        </w:rPr>
        <w:t>While we continually monitor the ongoing and evolving impact of the effect of the COVID-19 pandemic on our operations the overall impact will not be fully reflected in our results of operations until future periods. The duration and extent of the impact from the COVID-19 pandemic depends on future developments that cannot be fully predicted at this time, as such, the impact of the pandemic on our overall financial performance remain uncertain and cannot as yet be quantified.</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Infusion Consumables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29" w:name="page30"/>
    <w:bookmarkEnd w:id="2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right="260" w:firstLine="620"/>
        <w:spacing w:after="0" w:line="283" w:lineRule="auto"/>
        <w:rPr>
          <w:sz w:val="20"/>
          <w:szCs w:val="20"/>
          <w:color w:val="auto"/>
        </w:rPr>
      </w:pPr>
      <w:r>
        <w:rPr>
          <w:rFonts w:ascii="Arial" w:cs="Arial" w:eastAsia="Arial" w:hAnsi="Arial"/>
          <w:sz w:val="17"/>
          <w:szCs w:val="17"/>
          <w:color w:val="auto"/>
        </w:rPr>
        <w:t>Infusion therapy sets, used in hospitals and ambulatory clinics, consist of a tube running from a bottle or plastic bag containing a solution to a catheter inserted in a patient’s vein, that may or may not be used with an IV pump. Our primary Infusion Consumable products are:</w:t>
      </w:r>
    </w:p>
    <w:p>
      <w:pPr>
        <w:spacing w:after="0" w:line="185" w:lineRule="exact"/>
        <w:rPr>
          <w:sz w:val="20"/>
          <w:szCs w:val="20"/>
          <w:color w:val="auto"/>
        </w:rPr>
      </w:pPr>
    </w:p>
    <w:p>
      <w:pPr>
        <w:ind w:left="1240" w:right="220" w:hanging="306"/>
        <w:spacing w:after="0" w:line="268" w:lineRule="auto"/>
        <w:tabs>
          <w:tab w:leader="none" w:pos="1236" w:val="left"/>
        </w:tabs>
        <w:numPr>
          <w:ilvl w:val="0"/>
          <w:numId w:val="11"/>
        </w:numPr>
        <w:rPr>
          <w:rFonts w:ascii="Arial" w:cs="Arial" w:eastAsia="Arial" w:hAnsi="Arial"/>
          <w:sz w:val="17"/>
          <w:szCs w:val="17"/>
          <w:i w:val="1"/>
          <w:iCs w:val="1"/>
          <w:color w:val="auto"/>
        </w:rPr>
      </w:pPr>
      <w:r>
        <w:rPr>
          <w:rFonts w:ascii="Arial" w:cs="Arial" w:eastAsia="Arial" w:hAnsi="Arial"/>
          <w:sz w:val="17"/>
          <w:szCs w:val="17"/>
          <w:i w:val="1"/>
          <w:iCs w:val="1"/>
          <w:color w:val="auto"/>
        </w:rPr>
        <w:t>Clave™ needlefree products</w:t>
      </w:r>
      <w:r>
        <w:rPr>
          <w:rFonts w:ascii="Arial" w:cs="Arial" w:eastAsia="Arial" w:hAnsi="Arial"/>
          <w:sz w:val="17"/>
          <w:szCs w:val="17"/>
          <w:color w:val="auto"/>
        </w:rPr>
        <w:t>, including the MicroClave, MicroClave Clear, and NanoClave™ brand of connectors, accessories, extension and</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administration sets used for the administration of IV fluids and medications and the Neutron catheter patency device, used to help maintain patency of central venous catheters;</w:t>
      </w:r>
    </w:p>
    <w:p>
      <w:pPr>
        <w:spacing w:after="0" w:line="197" w:lineRule="exact"/>
        <w:rPr>
          <w:rFonts w:ascii="Arial" w:cs="Arial" w:eastAsia="Arial" w:hAnsi="Arial"/>
          <w:sz w:val="17"/>
          <w:szCs w:val="17"/>
          <w:i w:val="1"/>
          <w:iCs w:val="1"/>
          <w:color w:val="auto"/>
        </w:rPr>
      </w:pPr>
    </w:p>
    <w:p>
      <w:pPr>
        <w:ind w:left="1240" w:hanging="306"/>
        <w:spacing w:after="0"/>
        <w:tabs>
          <w:tab w:leader="none" w:pos="1240"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 xml:space="preserve">SwabCap </w:t>
      </w:r>
      <w:r>
        <w:rPr>
          <w:rFonts w:ascii="Arial" w:cs="Arial" w:eastAsia="Arial" w:hAnsi="Arial"/>
          <w:sz w:val="17"/>
          <w:szCs w:val="17"/>
          <w:color w:val="auto"/>
        </w:rPr>
        <w:t>disinfecting cap, used to protect and disinfect any needlefree connector, including competitive brands of connectors;</w:t>
      </w:r>
    </w:p>
    <w:p>
      <w:pPr>
        <w:spacing w:after="0" w:line="243" w:lineRule="exact"/>
        <w:rPr>
          <w:rFonts w:ascii="Arial" w:cs="Arial" w:eastAsia="Arial" w:hAnsi="Arial"/>
          <w:sz w:val="17"/>
          <w:szCs w:val="17"/>
          <w:color w:val="auto"/>
        </w:rPr>
      </w:pPr>
    </w:p>
    <w:p>
      <w:pPr>
        <w:ind w:left="1240" w:hanging="306"/>
        <w:spacing w:after="0"/>
        <w:tabs>
          <w:tab w:leader="none" w:pos="1240"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 xml:space="preserve">ClearGuard HD </w:t>
      </w:r>
      <w:r>
        <w:rPr>
          <w:rFonts w:ascii="Arial" w:cs="Arial" w:eastAsia="Arial" w:hAnsi="Arial"/>
          <w:sz w:val="17"/>
          <w:szCs w:val="17"/>
          <w:color w:val="auto"/>
        </w:rPr>
        <w:t>antimicrobial barrier caps for hemodialysis catheters; and</w:t>
      </w:r>
    </w:p>
    <w:p>
      <w:pPr>
        <w:spacing w:after="0" w:line="236" w:lineRule="exact"/>
        <w:rPr>
          <w:rFonts w:ascii="Arial" w:cs="Arial" w:eastAsia="Arial" w:hAnsi="Arial"/>
          <w:sz w:val="17"/>
          <w:szCs w:val="17"/>
          <w:color w:val="auto"/>
        </w:rPr>
      </w:pPr>
    </w:p>
    <w:p>
      <w:pPr>
        <w:ind w:left="1240" w:hanging="306"/>
        <w:spacing w:after="0"/>
        <w:tabs>
          <w:tab w:leader="none" w:pos="1240"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Tego</w:t>
      </w:r>
      <w:r>
        <w:rPr>
          <w:rFonts w:ascii="Arial" w:cs="Arial" w:eastAsia="Arial" w:hAnsi="Arial"/>
          <w:sz w:val="22"/>
          <w:szCs w:val="22"/>
          <w:i w:val="1"/>
          <w:iCs w:val="1"/>
          <w:color w:val="auto"/>
          <w:vertAlign w:val="superscript"/>
        </w:rPr>
        <w:t>TM</w:t>
      </w:r>
      <w:r>
        <w:rPr>
          <w:rFonts w:ascii="Arial" w:cs="Arial" w:eastAsia="Arial" w:hAnsi="Arial"/>
          <w:sz w:val="17"/>
          <w:szCs w:val="17"/>
          <w:i w:val="1"/>
          <w:iCs w:val="1"/>
          <w:color w:val="auto"/>
        </w:rPr>
        <w:t xml:space="preserve"> </w:t>
      </w:r>
      <w:r>
        <w:rPr>
          <w:rFonts w:ascii="Arial" w:cs="Arial" w:eastAsia="Arial" w:hAnsi="Arial"/>
          <w:sz w:val="17"/>
          <w:szCs w:val="17"/>
          <w:color w:val="auto"/>
        </w:rPr>
        <w:t>hemodialysis connector used to cap and protect hemodialysis central venous catheter hubs;</w:t>
      </w:r>
    </w:p>
    <w:p>
      <w:pPr>
        <w:spacing w:after="0" w:line="193" w:lineRule="exact"/>
        <w:rPr>
          <w:sz w:val="20"/>
          <w:szCs w:val="20"/>
          <w:color w:val="auto"/>
        </w:rPr>
      </w:pPr>
    </w:p>
    <w:p>
      <w:pPr>
        <w:ind w:right="180" w:firstLine="172"/>
        <w:spacing w:after="0" w:line="315" w:lineRule="auto"/>
        <w:rPr>
          <w:sz w:val="20"/>
          <w:szCs w:val="20"/>
          <w:color w:val="auto"/>
        </w:rPr>
      </w:pPr>
      <w:r>
        <w:rPr>
          <w:rFonts w:ascii="Arial" w:cs="Arial" w:eastAsia="Arial" w:hAnsi="Arial"/>
          <w:sz w:val="16"/>
          <w:szCs w:val="16"/>
          <w:i w:val="1"/>
          <w:iCs w:val="1"/>
          <w:color w:val="auto"/>
        </w:rPr>
        <w:t xml:space="preserve">Closed System Transfer Devices ("CSTD") and hazardous drug compounding systems </w:t>
      </w:r>
      <w:r>
        <w:rPr>
          <w:rFonts w:ascii="Arial" w:cs="Arial" w:eastAsia="Arial" w:hAnsi="Arial"/>
          <w:sz w:val="16"/>
          <w:szCs w:val="16"/>
          <w:color w:val="auto"/>
        </w:rPr>
        <w:t>are used to prepare and deliver hazardous IV medications such as those</w:t>
      </w:r>
      <w:r>
        <w:rPr>
          <w:rFonts w:ascii="Arial" w:cs="Arial" w:eastAsia="Arial" w:hAnsi="Arial"/>
          <w:sz w:val="16"/>
          <w:szCs w:val="16"/>
          <w:i w:val="1"/>
          <w:iCs w:val="1"/>
          <w:color w:val="auto"/>
        </w:rPr>
        <w:t xml:space="preserve"> </w:t>
      </w:r>
      <w:r>
        <w:rPr>
          <w:rFonts w:ascii="Arial" w:cs="Arial" w:eastAsia="Arial" w:hAnsi="Arial"/>
          <w:sz w:val="16"/>
          <w:szCs w:val="16"/>
          <w:color w:val="auto"/>
        </w:rPr>
        <w:t>used in chemotherapy, which, if released, can have harmful effects on the healthcare worker and environment. Our products are:</w:t>
      </w:r>
    </w:p>
    <w:p>
      <w:pPr>
        <w:spacing w:after="0" w:line="156" w:lineRule="exact"/>
        <w:rPr>
          <w:sz w:val="20"/>
          <w:szCs w:val="20"/>
          <w:color w:val="auto"/>
        </w:rPr>
      </w:pPr>
    </w:p>
    <w:p>
      <w:pPr>
        <w:ind w:left="1240" w:right="100" w:hanging="306"/>
        <w:spacing w:after="0" w:line="238" w:lineRule="auto"/>
        <w:tabs>
          <w:tab w:leader="none" w:pos="1236"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ChemoLock</w:t>
      </w:r>
      <w:r>
        <w:rPr>
          <w:rFonts w:ascii="Arial" w:cs="Arial" w:eastAsia="Arial" w:hAnsi="Arial"/>
          <w:sz w:val="22"/>
          <w:szCs w:val="22"/>
          <w:i w:val="1"/>
          <w:iCs w:val="1"/>
          <w:color w:val="auto"/>
          <w:vertAlign w:val="superscript"/>
        </w:rPr>
        <w:t>TM</w:t>
      </w:r>
      <w:r>
        <w:rPr>
          <w:rFonts w:ascii="Arial" w:cs="Arial" w:eastAsia="Arial" w:hAnsi="Arial"/>
          <w:sz w:val="17"/>
          <w:szCs w:val="17"/>
          <w:i w:val="1"/>
          <w:iCs w:val="1"/>
          <w:color w:val="auto"/>
        </w:rPr>
        <w:t xml:space="preserve"> </w:t>
      </w:r>
      <w:r>
        <w:rPr>
          <w:rFonts w:ascii="Arial" w:cs="Arial" w:eastAsia="Arial" w:hAnsi="Arial"/>
          <w:sz w:val="17"/>
          <w:szCs w:val="17"/>
          <w:color w:val="auto"/>
        </w:rPr>
        <w:t>CSTD which utilizes a proprietary needlefree connection method, is used for the preparation and administration of hazardous</w:t>
      </w:r>
      <w:r>
        <w:rPr>
          <w:rFonts w:ascii="Arial" w:cs="Arial" w:eastAsia="Arial" w:hAnsi="Arial"/>
          <w:sz w:val="17"/>
          <w:szCs w:val="17"/>
          <w:i w:val="1"/>
          <w:iCs w:val="1"/>
          <w:color w:val="auto"/>
        </w:rPr>
        <w:t xml:space="preserve"> </w:t>
      </w:r>
      <w:r>
        <w:rPr>
          <w:rFonts w:ascii="Arial" w:cs="Arial" w:eastAsia="Arial" w:hAnsi="Arial"/>
          <w:sz w:val="17"/>
          <w:szCs w:val="17"/>
          <w:color w:val="auto"/>
        </w:rPr>
        <w:t>drugs. ChemoLock is used to limit the escape of hazardous drug or vapor concentrations, block the transfer of environmental contaminants into the system, and eliminates the risk of needlestick injury;</w:t>
      </w:r>
    </w:p>
    <w:p>
      <w:pPr>
        <w:spacing w:after="0" w:line="214" w:lineRule="exact"/>
        <w:rPr>
          <w:rFonts w:ascii="Arial" w:cs="Arial" w:eastAsia="Arial" w:hAnsi="Arial"/>
          <w:sz w:val="17"/>
          <w:szCs w:val="17"/>
          <w:color w:val="auto"/>
        </w:rPr>
      </w:pPr>
    </w:p>
    <w:p>
      <w:pPr>
        <w:ind w:left="1240" w:right="100" w:hanging="306"/>
        <w:spacing w:after="0" w:line="242" w:lineRule="auto"/>
        <w:tabs>
          <w:tab w:leader="none" w:pos="1236"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ChemoClave</w:t>
      </w:r>
      <w:r>
        <w:rPr>
          <w:rFonts w:ascii="Arial" w:cs="Arial" w:eastAsia="Arial" w:hAnsi="Arial"/>
          <w:sz w:val="22"/>
          <w:szCs w:val="22"/>
          <w:i w:val="1"/>
          <w:iCs w:val="1"/>
          <w:color w:val="auto"/>
          <w:vertAlign w:val="superscript"/>
        </w:rPr>
        <w:t>TM</w:t>
      </w:r>
      <w:r>
        <w:rPr>
          <w:rFonts w:ascii="Arial" w:cs="Arial" w:eastAsia="Arial" w:hAnsi="Arial"/>
          <w:sz w:val="17"/>
          <w:szCs w:val="17"/>
          <w:color w:val="auto"/>
        </w:rPr>
        <w:t>, an ISO Connection standard and universally compatible CSTD used for the preparation and administration of hazardous drugs.</w:t>
      </w:r>
      <w:r>
        <w:rPr>
          <w:rFonts w:ascii="Arial" w:cs="Arial" w:eastAsia="Arial" w:hAnsi="Arial"/>
          <w:sz w:val="17"/>
          <w:szCs w:val="17"/>
          <w:i w:val="1"/>
          <w:iCs w:val="1"/>
          <w:color w:val="auto"/>
        </w:rPr>
        <w:t xml:space="preserve"> </w:t>
      </w:r>
      <w:r>
        <w:rPr>
          <w:rFonts w:ascii="Arial" w:cs="Arial" w:eastAsia="Arial" w:hAnsi="Arial"/>
          <w:sz w:val="17"/>
          <w:szCs w:val="17"/>
          <w:color w:val="auto"/>
        </w:rPr>
        <w:t>ChemoClave utilizes standard ISO luer locking connections, making it compatible with all brands of needlefree connectors and pump delivery systems. ChemoClave also is used to limit the escape of hazardous drug or vapor concentrations, block the transfer of environmental contaminants into the system, and eliminate the risk of needlestick injury; and</w:t>
      </w:r>
    </w:p>
    <w:p>
      <w:pPr>
        <w:spacing w:after="0" w:line="213" w:lineRule="exact"/>
        <w:rPr>
          <w:rFonts w:ascii="Arial" w:cs="Arial" w:eastAsia="Arial" w:hAnsi="Arial"/>
          <w:sz w:val="17"/>
          <w:szCs w:val="17"/>
          <w:color w:val="auto"/>
        </w:rPr>
      </w:pPr>
    </w:p>
    <w:p>
      <w:pPr>
        <w:ind w:left="1240" w:hanging="306"/>
        <w:spacing w:after="0" w:line="242" w:lineRule="auto"/>
        <w:tabs>
          <w:tab w:leader="none" w:pos="1236"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Diana</w:t>
      </w:r>
      <w:r>
        <w:rPr>
          <w:rFonts w:ascii="Arial" w:cs="Arial" w:eastAsia="Arial" w:hAnsi="Arial"/>
          <w:sz w:val="22"/>
          <w:szCs w:val="22"/>
          <w:i w:val="1"/>
          <w:iCs w:val="1"/>
          <w:color w:val="auto"/>
          <w:vertAlign w:val="superscript"/>
        </w:rPr>
        <w:t>TM</w:t>
      </w:r>
      <w:r>
        <w:rPr>
          <w:rFonts w:ascii="Arial" w:cs="Arial" w:eastAsia="Arial" w:hAnsi="Arial"/>
          <w:sz w:val="17"/>
          <w:szCs w:val="17"/>
          <w:i w:val="1"/>
          <w:iCs w:val="1"/>
          <w:color w:val="auto"/>
        </w:rPr>
        <w:t xml:space="preserve"> </w:t>
      </w:r>
      <w:r>
        <w:rPr>
          <w:rFonts w:ascii="Arial" w:cs="Arial" w:eastAsia="Arial" w:hAnsi="Arial"/>
          <w:sz w:val="17"/>
          <w:szCs w:val="17"/>
          <w:color w:val="auto"/>
        </w:rPr>
        <w:t>hazardous drug compounding system, an automated sterile compounding system that incorporates ChemoClave and ChemoLock CSTD</w:t>
      </w:r>
      <w:r>
        <w:rPr>
          <w:rFonts w:ascii="Arial" w:cs="Arial" w:eastAsia="Arial" w:hAnsi="Arial"/>
          <w:sz w:val="17"/>
          <w:szCs w:val="17"/>
          <w:i w:val="1"/>
          <w:iCs w:val="1"/>
          <w:color w:val="auto"/>
        </w:rPr>
        <w:t xml:space="preserve"> </w:t>
      </w:r>
      <w:r>
        <w:rPr>
          <w:rFonts w:ascii="Arial" w:cs="Arial" w:eastAsia="Arial" w:hAnsi="Arial"/>
          <w:sz w:val="17"/>
          <w:szCs w:val="17"/>
          <w:color w:val="auto"/>
        </w:rPr>
        <w:t>consumables and IV workflow technology for the accurate, safe, and efficient preparation of hazardous drugs. It is a user-controlled automated system that provides repeatable accuracy of drug mixes and minimizes clinician exposure to hazardous drugs while helping to maintain the sterility of the drugs being mixed.</w:t>
      </w:r>
    </w:p>
    <w:p>
      <w:pPr>
        <w:spacing w:after="0" w:line="220" w:lineRule="exact"/>
        <w:rPr>
          <w:sz w:val="20"/>
          <w:szCs w:val="20"/>
          <w:color w:val="auto"/>
        </w:rPr>
      </w:pPr>
    </w:p>
    <w:p>
      <w:pPr>
        <w:ind w:right="40" w:firstLine="620"/>
        <w:spacing w:after="0" w:line="292" w:lineRule="auto"/>
        <w:rPr>
          <w:sz w:val="20"/>
          <w:szCs w:val="20"/>
          <w:color w:val="auto"/>
        </w:rPr>
      </w:pPr>
      <w:r>
        <w:rPr>
          <w:rFonts w:ascii="Arial" w:cs="Arial" w:eastAsia="Arial" w:hAnsi="Arial"/>
          <w:sz w:val="16"/>
          <w:szCs w:val="16"/>
          <w:color w:val="auto"/>
        </w:rPr>
        <w:t>The preparation of hazardous drugs typically takes place in a pharmacy where drugs are removed from vials and prepared for delivery to a patient. Those prepared drugs are then transferred to a nursing unit where the chemotherapy is administered via an infusion pump set to a patient. Components of the ChemoClave and ChemoLock product lines are used both in pharmacies and on the nursing floors for the preparation and administration of hazardous drugs.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Infusion Systems</w:t>
      </w:r>
    </w:p>
    <w:p>
      <w:pPr>
        <w:spacing w:after="0" w:line="24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We offer a wide range of infusion pumps, dedicated IV sets and software. Our primary Infusion System products are dedicated IV sets and the following:</w:t>
      </w:r>
    </w:p>
    <w:p>
      <w:pPr>
        <w:spacing w:after="0" w:line="255"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Infusion Pump Hardware:</w:t>
      </w:r>
    </w:p>
    <w:p>
      <w:pPr>
        <w:spacing w:after="0" w:line="244" w:lineRule="exact"/>
        <w:rPr>
          <w:sz w:val="20"/>
          <w:szCs w:val="20"/>
          <w:color w:val="auto"/>
        </w:rPr>
      </w:pPr>
    </w:p>
    <w:p>
      <w:pPr>
        <w:ind w:left="1240" w:right="160" w:hanging="306"/>
        <w:spacing w:after="0" w:line="263" w:lineRule="auto"/>
        <w:tabs>
          <w:tab w:leader="none" w:pos="1236"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Plum 360™</w:t>
      </w:r>
      <w:r>
        <w:rPr>
          <w:rFonts w:ascii="Arial" w:cs="Arial" w:eastAsia="Arial" w:hAnsi="Arial"/>
          <w:sz w:val="17"/>
          <w:szCs w:val="17"/>
          <w:color w:val="auto"/>
        </w:rPr>
        <w:t>: The Plum 360™ infusion pump is an ICU Medical MedNet™ ready large volume infusion pump with an extensive drug library</w:t>
      </w:r>
      <w:r>
        <w:rPr>
          <w:rFonts w:ascii="Arial" w:cs="Arial" w:eastAsia="Arial" w:hAnsi="Arial"/>
          <w:sz w:val="17"/>
          <w:szCs w:val="17"/>
          <w:i w:val="1"/>
          <w:iCs w:val="1"/>
          <w:color w:val="auto"/>
        </w:rPr>
        <w:t xml:space="preserve"> </w:t>
      </w:r>
      <w:r>
        <w:rPr>
          <w:rFonts w:ascii="Arial" w:cs="Arial" w:eastAsia="Arial" w:hAnsi="Arial"/>
          <w:sz w:val="17"/>
          <w:szCs w:val="17"/>
          <w:color w:val="auto"/>
        </w:rPr>
        <w:t>and wireless capability. Plum 360 was named the 2018, 2019 and 2020 Best in KLAS winner as top-performing IV smart pump and is the first medical device to be awarded UL Cybersecurity Assurance Program Certification. Also, in 2021, the Plum 360 won the first ever award as the top-performing Smart Pump EMR-Integrated; and</w:t>
      </w:r>
    </w:p>
    <w:p>
      <w:pPr>
        <w:spacing w:after="0" w:line="202" w:lineRule="exact"/>
        <w:rPr>
          <w:rFonts w:ascii="Arial" w:cs="Arial" w:eastAsia="Arial" w:hAnsi="Arial"/>
          <w:sz w:val="17"/>
          <w:szCs w:val="17"/>
          <w:color w:val="auto"/>
        </w:rPr>
      </w:pPr>
    </w:p>
    <w:p>
      <w:pPr>
        <w:ind w:left="1240" w:right="120" w:hanging="306"/>
        <w:spacing w:after="0" w:line="283" w:lineRule="auto"/>
        <w:tabs>
          <w:tab w:leader="none" w:pos="1236"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LifeCare PCA™</w:t>
      </w:r>
      <w:r>
        <w:rPr>
          <w:rFonts w:ascii="Arial" w:cs="Arial" w:eastAsia="Arial" w:hAnsi="Arial"/>
          <w:sz w:val="17"/>
          <w:szCs w:val="17"/>
          <w:color w:val="auto"/>
        </w:rPr>
        <w:t>: The LifeCare PCA infusion pump is an ICU Medical MedNet™ ready patient-controlled analgesia pump ("PCA"), providing</w:t>
      </w:r>
      <w:r>
        <w:rPr>
          <w:rFonts w:ascii="Arial" w:cs="Arial" w:eastAsia="Arial" w:hAnsi="Arial"/>
          <w:sz w:val="17"/>
          <w:szCs w:val="17"/>
          <w:i w:val="1"/>
          <w:iCs w:val="1"/>
          <w:color w:val="auto"/>
        </w:rPr>
        <w:t xml:space="preserve"> </w:t>
      </w:r>
      <w:r>
        <w:rPr>
          <w:rFonts w:ascii="Arial" w:cs="Arial" w:eastAsia="Arial" w:hAnsi="Arial"/>
          <w:sz w:val="17"/>
          <w:szCs w:val="17"/>
          <w:color w:val="auto"/>
        </w:rPr>
        <w:t>complete IV-EHR interoperability since 2016.</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30" w:name="page31"/>
    <w:bookmarkEnd w:id="3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80"/>
        <w:spacing w:after="0"/>
        <w:rPr>
          <w:sz w:val="20"/>
          <w:szCs w:val="20"/>
          <w:color w:val="auto"/>
        </w:rPr>
      </w:pPr>
      <w:r>
        <w:rPr>
          <w:rFonts w:ascii="Arial" w:cs="Arial" w:eastAsia="Arial" w:hAnsi="Arial"/>
          <w:sz w:val="17"/>
          <w:szCs w:val="17"/>
          <w:i w:val="1"/>
          <w:iCs w:val="1"/>
          <w:color w:val="auto"/>
        </w:rPr>
        <w:t>IV Mediation Safety Software:</w:t>
      </w:r>
    </w:p>
    <w:p>
      <w:pPr>
        <w:spacing w:after="0" w:line="244" w:lineRule="exact"/>
        <w:rPr>
          <w:sz w:val="20"/>
          <w:szCs w:val="20"/>
          <w:color w:val="auto"/>
        </w:rPr>
      </w:pPr>
    </w:p>
    <w:p>
      <w:pPr>
        <w:ind w:left="1240" w:hanging="306"/>
        <w:spacing w:after="0" w:line="263" w:lineRule="auto"/>
        <w:tabs>
          <w:tab w:leader="none" w:pos="1236" w:val="left"/>
        </w:tabs>
        <w:numPr>
          <w:ilvl w:val="0"/>
          <w:numId w:val="14"/>
        </w:numPr>
        <w:rPr>
          <w:rFonts w:ascii="Arial" w:cs="Arial" w:eastAsia="Arial" w:hAnsi="Arial"/>
          <w:sz w:val="17"/>
          <w:szCs w:val="17"/>
          <w:color w:val="auto"/>
        </w:rPr>
      </w:pPr>
      <w:r>
        <w:rPr>
          <w:rFonts w:ascii="Arial" w:cs="Arial" w:eastAsia="Arial" w:hAnsi="Arial"/>
          <w:sz w:val="17"/>
          <w:szCs w:val="17"/>
          <w:i w:val="1"/>
          <w:iCs w:val="1"/>
          <w:color w:val="auto"/>
        </w:rPr>
        <w:t>ICU Medical MedNet</w:t>
      </w:r>
      <w:r>
        <w:rPr>
          <w:rFonts w:ascii="Arial" w:cs="Arial" w:eastAsia="Arial" w:hAnsi="Arial"/>
          <w:sz w:val="17"/>
          <w:szCs w:val="17"/>
          <w:color w:val="auto"/>
        </w:rPr>
        <w:t>™: ICU Medical MedNet is an enterprise-class medication management platform for any sized healthcare system that can</w:t>
      </w:r>
      <w:r>
        <w:rPr>
          <w:rFonts w:ascii="Arial" w:cs="Arial" w:eastAsia="Arial" w:hAnsi="Arial"/>
          <w:sz w:val="17"/>
          <w:szCs w:val="17"/>
          <w:i w:val="1"/>
          <w:iCs w:val="1"/>
          <w:color w:val="auto"/>
        </w:rPr>
        <w:t xml:space="preserve"> </w:t>
      </w:r>
      <w:r>
        <w:rPr>
          <w:rFonts w:ascii="Arial" w:cs="Arial" w:eastAsia="Arial" w:hAnsi="Arial"/>
          <w:sz w:val="17"/>
          <w:szCs w:val="17"/>
          <w:color w:val="auto"/>
        </w:rPr>
        <w:t>help reduce medication errors, improve quality of care, streamline workflows and maximize revenue capture. ICU Medical MedNet connects our industry-leading smart pumps to a hospital’s Electronic Health Records ("EHR"), asset tracking systems, and alarm notification platforms with the largest array of integration partners.</w:t>
      </w:r>
    </w:p>
    <w:p>
      <w:pPr>
        <w:spacing w:after="0" w:line="203"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Professional Services:</w:t>
      </w:r>
    </w:p>
    <w:p>
      <w:pPr>
        <w:spacing w:after="0" w:line="244" w:lineRule="exact"/>
        <w:rPr>
          <w:sz w:val="20"/>
          <w:szCs w:val="20"/>
          <w:color w:val="auto"/>
        </w:rPr>
      </w:pPr>
    </w:p>
    <w:p>
      <w:pPr>
        <w:ind w:left="1240" w:right="520" w:hanging="306"/>
        <w:spacing w:after="0" w:line="268" w:lineRule="auto"/>
        <w:tabs>
          <w:tab w:leader="none" w:pos="1236"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 addition to the products above, our teams of clinical, information technology, and professional services experts work with customers to develop and deliver safe and efficient infusion systems, providing customized and personalized configuration, implementation, and data analytics services to complement our infusion hardware and software.</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IV Solutions</w:t>
      </w:r>
    </w:p>
    <w:p>
      <w:pPr>
        <w:spacing w:after="0" w:line="244" w:lineRule="exact"/>
        <w:rPr>
          <w:sz w:val="20"/>
          <w:szCs w:val="20"/>
          <w:color w:val="auto"/>
        </w:rPr>
      </w:pPr>
    </w:p>
    <w:p>
      <w:pPr>
        <w:ind w:right="140" w:firstLine="169"/>
        <w:spacing w:after="0" w:line="283" w:lineRule="auto"/>
        <w:rPr>
          <w:sz w:val="20"/>
          <w:szCs w:val="20"/>
          <w:color w:val="auto"/>
        </w:rPr>
      </w:pPr>
      <w:r>
        <w:rPr>
          <w:rFonts w:ascii="Arial" w:cs="Arial" w:eastAsia="Arial" w:hAnsi="Arial"/>
          <w:sz w:val="17"/>
          <w:szCs w:val="17"/>
          <w:color w:val="auto"/>
        </w:rPr>
        <w:t>We provide a broad portfolio of IV solutions to meet our customers’ clinical needs, providing a consistent supply of IV solutions, irrigation, and nutritionals to help provide safe and effective patient care. Our primary IV Solutions products are:</w:t>
      </w:r>
    </w:p>
    <w:p>
      <w:pPr>
        <w:spacing w:after="0" w:line="159" w:lineRule="exact"/>
        <w:rPr>
          <w:sz w:val="20"/>
          <w:szCs w:val="20"/>
          <w:color w:val="auto"/>
        </w:rPr>
      </w:pPr>
    </w:p>
    <w:p>
      <w:pPr>
        <w:ind w:left="180"/>
        <w:spacing w:after="0"/>
        <w:rPr>
          <w:sz w:val="20"/>
          <w:szCs w:val="20"/>
          <w:color w:val="auto"/>
        </w:rPr>
      </w:pPr>
      <w:r>
        <w:rPr>
          <w:rFonts w:ascii="Arial" w:cs="Arial" w:eastAsia="Arial" w:hAnsi="Arial"/>
          <w:sz w:val="17"/>
          <w:szCs w:val="17"/>
          <w:i w:val="1"/>
          <w:iCs w:val="1"/>
          <w:color w:val="auto"/>
        </w:rPr>
        <w:t>IV Therapy and Diluents:</w:t>
      </w:r>
    </w:p>
    <w:p>
      <w:pPr>
        <w:spacing w:after="0" w:line="244" w:lineRule="exact"/>
        <w:rPr>
          <w:sz w:val="20"/>
          <w:szCs w:val="20"/>
          <w:color w:val="auto"/>
        </w:rPr>
      </w:pPr>
    </w:p>
    <w:p>
      <w:pPr>
        <w:ind w:left="1240" w:right="300" w:hanging="306"/>
        <w:spacing w:after="0" w:line="283" w:lineRule="auto"/>
        <w:tabs>
          <w:tab w:leader="none" w:pos="1236"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Including Sodium Chloride, Dextrose, Balanced Electrolyte Solutions, Lactated Ringer's, Ringer's, Mannitol, Sodium Chloride/Dextrose and Sterile Water.</w:t>
      </w:r>
    </w:p>
    <w:p>
      <w:pPr>
        <w:spacing w:after="0" w:line="185"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Irrigation:</w:t>
      </w:r>
    </w:p>
    <w:p>
      <w:pPr>
        <w:spacing w:after="0" w:line="244" w:lineRule="exact"/>
        <w:rPr>
          <w:sz w:val="20"/>
          <w:szCs w:val="20"/>
          <w:color w:val="auto"/>
        </w:rPr>
      </w:pPr>
    </w:p>
    <w:p>
      <w:pPr>
        <w:ind w:left="1240" w:right="560" w:hanging="306"/>
        <w:spacing w:after="0" w:line="283" w:lineRule="auto"/>
        <w:tabs>
          <w:tab w:leader="none" w:pos="1236"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Including Sodium Chloride Irrigation, Sterile Water Irrigation, Physiologic Solutions, Ringer's Irrigation, Acetic Acid Irrigation, Glycine Irrigation, Sorbitol-Mannitol Irrigation, Flexible Containers and Pour Bottle Options.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Critical Care</w:t>
      </w:r>
    </w:p>
    <w:p>
      <w:pPr>
        <w:spacing w:after="0" w:line="244" w:lineRule="exact"/>
        <w:rPr>
          <w:sz w:val="20"/>
          <w:szCs w:val="20"/>
          <w:color w:val="auto"/>
        </w:rPr>
      </w:pPr>
    </w:p>
    <w:p>
      <w:pPr>
        <w:ind w:right="180" w:firstLine="172"/>
        <w:spacing w:after="0" w:line="268" w:lineRule="auto"/>
        <w:rPr>
          <w:sz w:val="20"/>
          <w:szCs w:val="20"/>
          <w:color w:val="auto"/>
        </w:rPr>
      </w:pPr>
      <w:r>
        <w:rPr>
          <w:rFonts w:ascii="Arial" w:cs="Arial" w:eastAsia="Arial" w:hAnsi="Arial"/>
          <w:sz w:val="17"/>
          <w:szCs w:val="17"/>
          <w:color w:val="auto"/>
        </w:rPr>
        <w:t>Our Critical Care products help clinicians get accurate real-time access to patients’ hemodynamic and cardiac status with an extensive portfolio of monitoring systems and advanced sensors &amp; catheters. Measurements provided by our systems help clinicians determine how well the heart is pumping blood and how efficiently oxygen from the blood is being used by the tissues. Our primary Critical Care products are:</w:t>
      </w:r>
    </w:p>
    <w:p>
      <w:pPr>
        <w:spacing w:after="0" w:line="198" w:lineRule="exact"/>
        <w:rPr>
          <w:sz w:val="20"/>
          <w:szCs w:val="20"/>
          <w:color w:val="auto"/>
        </w:rPr>
      </w:pPr>
    </w:p>
    <w:p>
      <w:pPr>
        <w:ind w:left="1240" w:hanging="306"/>
        <w:spacing w:after="0"/>
        <w:tabs>
          <w:tab w:leader="none" w:pos="12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Cogent™ 2-in-1 hemodynamic monitoring system;</w:t>
      </w:r>
    </w:p>
    <w:p>
      <w:pPr>
        <w:spacing w:after="0" w:line="23" w:lineRule="exact"/>
        <w:rPr>
          <w:rFonts w:ascii="Arial" w:cs="Arial" w:eastAsia="Arial" w:hAnsi="Arial"/>
          <w:sz w:val="17"/>
          <w:szCs w:val="17"/>
          <w:color w:val="auto"/>
        </w:rPr>
      </w:pPr>
    </w:p>
    <w:p>
      <w:pPr>
        <w:ind w:left="1240" w:hanging="306"/>
        <w:spacing w:after="0"/>
        <w:tabs>
          <w:tab w:leader="none" w:pos="12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CardioFlo™ hemodynamic monitoring system;</w:t>
      </w:r>
    </w:p>
    <w:p>
      <w:pPr>
        <w:spacing w:after="0" w:line="11" w:lineRule="exact"/>
        <w:rPr>
          <w:rFonts w:ascii="Arial" w:cs="Arial" w:eastAsia="Arial" w:hAnsi="Arial"/>
          <w:sz w:val="17"/>
          <w:szCs w:val="17"/>
          <w:color w:val="auto"/>
        </w:rPr>
      </w:pPr>
    </w:p>
    <w:p>
      <w:pPr>
        <w:ind w:left="1240" w:hanging="306"/>
        <w:spacing w:after="0"/>
        <w:tabs>
          <w:tab w:leader="none" w:pos="12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TDQ™ and OptiQ™ cardiac output monitoring catheters;</w:t>
      </w:r>
    </w:p>
    <w:p>
      <w:pPr>
        <w:spacing w:after="0" w:line="11" w:lineRule="exact"/>
        <w:rPr>
          <w:rFonts w:ascii="Arial" w:cs="Arial" w:eastAsia="Arial" w:hAnsi="Arial"/>
          <w:sz w:val="17"/>
          <w:szCs w:val="17"/>
          <w:color w:val="auto"/>
        </w:rPr>
      </w:pPr>
    </w:p>
    <w:p>
      <w:pPr>
        <w:ind w:left="1240" w:hanging="306"/>
        <w:spacing w:after="0" w:line="197" w:lineRule="auto"/>
        <w:tabs>
          <w:tab w:leader="none" w:pos="12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TriOx</w:t>
      </w:r>
      <w:r>
        <w:rPr>
          <w:rFonts w:ascii="Arial" w:cs="Arial" w:eastAsia="Arial" w:hAnsi="Arial"/>
          <w:sz w:val="22"/>
          <w:szCs w:val="22"/>
          <w:color w:val="auto"/>
          <w:vertAlign w:val="superscript"/>
        </w:rPr>
        <w:t>TM</w:t>
      </w:r>
      <w:r>
        <w:rPr>
          <w:rFonts w:ascii="Arial" w:cs="Arial" w:eastAsia="Arial" w:hAnsi="Arial"/>
          <w:sz w:val="17"/>
          <w:szCs w:val="17"/>
          <w:color w:val="auto"/>
        </w:rPr>
        <w:t xml:space="preserve"> venous oximetry catheters;</w:t>
      </w:r>
    </w:p>
    <w:p>
      <w:pPr>
        <w:ind w:left="1240" w:hanging="306"/>
        <w:spacing w:after="0"/>
        <w:tabs>
          <w:tab w:leader="none" w:pos="12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Transpac™ blood pressure transducers; and</w:t>
      </w:r>
    </w:p>
    <w:p>
      <w:pPr>
        <w:spacing w:after="0" w:line="9" w:lineRule="exact"/>
        <w:rPr>
          <w:rFonts w:ascii="Arial" w:cs="Arial" w:eastAsia="Arial" w:hAnsi="Arial"/>
          <w:sz w:val="17"/>
          <w:szCs w:val="17"/>
          <w:color w:val="auto"/>
        </w:rPr>
      </w:pPr>
    </w:p>
    <w:p>
      <w:pPr>
        <w:ind w:left="1240" w:hanging="306"/>
        <w:spacing w:after="0"/>
        <w:tabs>
          <w:tab w:leader="none" w:pos="12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SafeSet™ closed blood sampling and conservation system.</w:t>
      </w:r>
    </w:p>
    <w:p>
      <w:pPr>
        <w:spacing w:after="0" w:line="205" w:lineRule="exact"/>
        <w:rPr>
          <w:sz w:val="20"/>
          <w:szCs w:val="20"/>
          <w:color w:val="auto"/>
        </w:rPr>
      </w:pPr>
    </w:p>
    <w:p>
      <w:pPr>
        <w:ind w:right="20" w:firstLine="169"/>
        <w:spacing w:after="0" w:line="283" w:lineRule="auto"/>
        <w:rPr>
          <w:sz w:val="20"/>
          <w:szCs w:val="20"/>
          <w:color w:val="auto"/>
        </w:rPr>
      </w:pPr>
      <w:r>
        <w:rPr>
          <w:rFonts w:ascii="Arial" w:cs="Arial" w:eastAsia="Arial" w:hAnsi="Arial"/>
          <w:sz w:val="17"/>
          <w:szCs w:val="17"/>
          <w:color w:val="auto"/>
        </w:rPr>
        <w:t>The following table summarizes our total worldwide revenue by domestic and international markets by amount and as a percentage of total revenue (in millions, except percentages):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60" w:type="dxa"/>
            <w:vAlign w:val="bottom"/>
            <w:gridSpan w:val="4"/>
          </w:tcPr>
          <w:p>
            <w:pPr>
              <w:jc w:val="right"/>
              <w:ind w:right="296"/>
              <w:spacing w:after="0"/>
              <w:rPr>
                <w:sz w:val="20"/>
                <w:szCs w:val="20"/>
                <w:color w:val="auto"/>
              </w:rPr>
            </w:pPr>
            <w:r>
              <w:rPr>
                <w:rFonts w:ascii="Arial" w:cs="Arial" w:eastAsia="Arial" w:hAnsi="Arial"/>
                <w:sz w:val="16"/>
                <w:szCs w:val="16"/>
                <w:b w:val="1"/>
                <w:bCs w:val="1"/>
                <w:color w:val="auto"/>
              </w:rPr>
              <w:t>Three months ended</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80" w:type="dxa"/>
            <w:vAlign w:val="bottom"/>
            <w:gridSpan w:val="4"/>
          </w:tcPr>
          <w:p>
            <w:pPr>
              <w:jc w:val="right"/>
              <w:ind w:right="316"/>
              <w:spacing w:after="0"/>
              <w:rPr>
                <w:sz w:val="20"/>
                <w:szCs w:val="20"/>
                <w:color w:val="auto"/>
              </w:rPr>
            </w:pPr>
            <w:r>
              <w:rPr>
                <w:rFonts w:ascii="Arial" w:cs="Arial" w:eastAsia="Arial" w:hAnsi="Arial"/>
                <w:sz w:val="16"/>
                <w:szCs w:val="16"/>
                <w:b w:val="1"/>
                <w:bCs w:val="1"/>
                <w:color w:val="auto"/>
              </w:rPr>
              <w:t>Nine months ended</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04"/>
        </w:trPr>
        <w:tc>
          <w:tcPr>
            <w:tcW w:w="17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5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5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r>
      <w:tr>
        <w:trPr>
          <w:trHeight w:val="200"/>
        </w:trPr>
        <w:tc>
          <w:tcPr>
            <w:tcW w:w="17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right"/>
              <w:ind w:right="920"/>
              <w:spacing w:after="0"/>
              <w:rPr>
                <w:sz w:val="20"/>
                <w:szCs w:val="20"/>
                <w:color w:val="auto"/>
              </w:rPr>
            </w:pPr>
            <w:r>
              <w:rPr>
                <w:rFonts w:ascii="Arial" w:cs="Arial" w:eastAsia="Arial" w:hAnsi="Arial"/>
                <w:sz w:val="16"/>
                <w:szCs w:val="16"/>
                <w:b w:val="1"/>
                <w:bCs w:val="1"/>
                <w:color w:val="auto"/>
                <w:w w:val="89"/>
              </w:rPr>
              <w:t>2021</w:t>
            </w: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jc w:val="right"/>
              <w:ind w:right="918"/>
              <w:spacing w:after="0"/>
              <w:rPr>
                <w:sz w:val="20"/>
                <w:szCs w:val="20"/>
                <w:color w:val="auto"/>
              </w:rPr>
            </w:pPr>
            <w:r>
              <w:rPr>
                <w:rFonts w:ascii="Arial" w:cs="Arial" w:eastAsia="Arial" w:hAnsi="Arial"/>
                <w:sz w:val="16"/>
                <w:szCs w:val="16"/>
                <w:b w:val="1"/>
                <w:bCs w:val="1"/>
                <w:color w:val="auto"/>
                <w:w w:val="84"/>
              </w:rPr>
              <w:t>2020</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right"/>
              <w:ind w:right="920"/>
              <w:spacing w:after="0"/>
              <w:rPr>
                <w:sz w:val="20"/>
                <w:szCs w:val="20"/>
                <w:color w:val="auto"/>
              </w:rPr>
            </w:pPr>
            <w:r>
              <w:rPr>
                <w:rFonts w:ascii="Arial" w:cs="Arial" w:eastAsia="Arial" w:hAnsi="Arial"/>
                <w:sz w:val="16"/>
                <w:szCs w:val="16"/>
                <w:b w:val="1"/>
                <w:bCs w:val="1"/>
                <w:color w:val="auto"/>
                <w:w w:val="89"/>
              </w:rPr>
              <w:t>2021</w:t>
            </w: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right"/>
              <w:ind w:right="918"/>
              <w:spacing w:after="0"/>
              <w:rPr>
                <w:sz w:val="20"/>
                <w:szCs w:val="20"/>
                <w:color w:val="auto"/>
              </w:rPr>
            </w:pPr>
            <w:r>
              <w:rPr>
                <w:rFonts w:ascii="Arial" w:cs="Arial" w:eastAsia="Arial" w:hAnsi="Arial"/>
                <w:sz w:val="16"/>
                <w:szCs w:val="16"/>
                <w:b w:val="1"/>
                <w:bCs w:val="1"/>
                <w:color w:val="auto"/>
                <w:w w:val="89"/>
              </w:rPr>
              <w:t>2020</w:t>
            </w:r>
          </w:p>
        </w:tc>
      </w:tr>
      <w:tr>
        <w:trPr>
          <w:trHeight w:val="200"/>
        </w:trPr>
        <w:tc>
          <w:tcPr>
            <w:tcW w:w="17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336"/>
              <w:spacing w:after="0"/>
              <w:rPr>
                <w:sz w:val="20"/>
                <w:szCs w:val="20"/>
                <w:color w:val="auto"/>
              </w:rPr>
            </w:pPr>
            <w:r>
              <w:rPr>
                <w:rFonts w:ascii="Arial" w:cs="Arial" w:eastAsia="Arial" w:hAnsi="Arial"/>
                <w:sz w:val="16"/>
                <w:szCs w:val="16"/>
                <w:b w:val="1"/>
                <w:bCs w:val="1"/>
                <w:color w:val="auto"/>
              </w:rPr>
              <w:t>$</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w w:val="99"/>
              </w:rPr>
              <w:t>% of Revenue</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356"/>
              <w:spacing w:after="0"/>
              <w:rPr>
                <w:sz w:val="20"/>
                <w:szCs w:val="20"/>
                <w:color w:val="auto"/>
              </w:rPr>
            </w:pPr>
            <w:r>
              <w:rPr>
                <w:rFonts w:ascii="Arial" w:cs="Arial" w:eastAsia="Arial" w:hAnsi="Arial"/>
                <w:sz w:val="16"/>
                <w:szCs w:val="16"/>
                <w:b w:val="1"/>
                <w:bCs w:val="1"/>
                <w:color w:val="auto"/>
                <w:w w:val="89"/>
              </w:rPr>
              <w:t>$</w:t>
            </w: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b w:val="1"/>
                <w:bCs w:val="1"/>
                <w:color w:val="auto"/>
                <w:w w:val="99"/>
              </w:rPr>
              <w:t>% of Revenue</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336"/>
              <w:spacing w:after="0"/>
              <w:rPr>
                <w:sz w:val="20"/>
                <w:szCs w:val="20"/>
                <w:color w:val="auto"/>
              </w:rPr>
            </w:pPr>
            <w:r>
              <w:rPr>
                <w:rFonts w:ascii="Arial" w:cs="Arial" w:eastAsia="Arial" w:hAnsi="Arial"/>
                <w:sz w:val="16"/>
                <w:szCs w:val="16"/>
                <w:b w:val="1"/>
                <w:bCs w:val="1"/>
                <w:color w:val="auto"/>
              </w:rPr>
              <w:t>$</w:t>
            </w: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w w:val="99"/>
              </w:rPr>
              <w:t>% of Revenue</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336"/>
              <w:spacing w:after="0"/>
              <w:rPr>
                <w:sz w:val="20"/>
                <w:szCs w:val="20"/>
                <w:color w:val="auto"/>
              </w:rPr>
            </w:pPr>
            <w:r>
              <w:rPr>
                <w:rFonts w:ascii="Arial" w:cs="Arial" w:eastAsia="Arial" w:hAnsi="Arial"/>
                <w:sz w:val="16"/>
                <w:szCs w:val="16"/>
                <w:b w:val="1"/>
                <w:bCs w:val="1"/>
                <w:color w:val="auto"/>
                <w:w w:val="89"/>
              </w:rPr>
              <w:t>$</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b w:val="1"/>
                <w:bCs w:val="1"/>
                <w:color w:val="auto"/>
                <w:w w:val="99"/>
              </w:rPr>
              <w:t>% of Revenue</w:t>
            </w:r>
          </w:p>
        </w:tc>
      </w:tr>
      <w:tr>
        <w:trPr>
          <w:trHeight w:val="215"/>
        </w:trPr>
        <w:tc>
          <w:tcPr>
            <w:tcW w:w="1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Domestic</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245.3</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73 %</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237.4</w:t>
            </w: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75 %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697.3</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71 %</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675.8</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71 %</w:t>
            </w:r>
          </w:p>
        </w:tc>
      </w:tr>
      <w:tr>
        <w:trPr>
          <w:trHeight w:val="220"/>
        </w:trPr>
        <w:tc>
          <w:tcPr>
            <w:tcW w:w="17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International</w:t>
            </w: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90.8</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27 %</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81.2</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25 %</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278.5</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29 %</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274.8</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29 %</w:t>
            </w:r>
          </w:p>
        </w:tc>
      </w:tr>
      <w:tr>
        <w:trPr>
          <w:trHeight w:val="233"/>
        </w:trPr>
        <w:tc>
          <w:tcPr>
            <w:tcW w:w="17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Total Revenue</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336.1</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100 %</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318.6</w:t>
            </w: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100 %</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975.8</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100 %</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950.6</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100 %</w:t>
            </w:r>
          </w:p>
        </w:tc>
      </w:tr>
      <w:tr>
        <w:trPr>
          <w:trHeight w:val="20"/>
        </w:trPr>
        <w:tc>
          <w:tcPr>
            <w:tcW w:w="1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825"/>
        </w:trPr>
        <w:tc>
          <w:tcPr>
            <w:tcW w:w="1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20" w:type="dxa"/>
            <w:vAlign w:val="bottom"/>
            <w:gridSpan w:val="3"/>
          </w:tcPr>
          <w:p>
            <w:pPr>
              <w:jc w:val="right"/>
              <w:ind w:right="598"/>
              <w:spacing w:after="0"/>
              <w:rPr>
                <w:sz w:val="20"/>
                <w:szCs w:val="20"/>
                <w:color w:val="auto"/>
              </w:rPr>
            </w:pPr>
            <w:r>
              <w:rPr>
                <w:rFonts w:ascii="Arial" w:cs="Arial" w:eastAsia="Arial" w:hAnsi="Arial"/>
                <w:sz w:val="17"/>
                <w:szCs w:val="17"/>
                <w:color w:val="auto"/>
              </w:rPr>
              <w:t>31</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09"/>
        </w:trPr>
        <w:tc>
          <w:tcPr>
            <w:tcW w:w="17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1" w:name="page32"/>
    <w:bookmarkEnd w:id="3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sets forth, for the periods indicated, total revenue by product line as a percentage of total revenue:</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80" w:type="dxa"/>
            <w:vAlign w:val="bottom"/>
          </w:tcPr>
          <w:p>
            <w:pPr>
              <w:spacing w:after="0"/>
              <w:rPr>
                <w:sz w:val="16"/>
                <w:szCs w:val="16"/>
                <w:color w:val="auto"/>
              </w:rPr>
            </w:pPr>
          </w:p>
        </w:tc>
        <w:tc>
          <w:tcPr>
            <w:tcW w:w="2460" w:type="dxa"/>
            <w:vAlign w:val="bottom"/>
            <w:gridSpan w:val="4"/>
          </w:tcPr>
          <w:p>
            <w:pPr>
              <w:jc w:val="center"/>
              <w:ind w:left="422"/>
              <w:spacing w:after="0"/>
              <w:rPr>
                <w:sz w:val="20"/>
                <w:szCs w:val="20"/>
                <w:color w:val="auto"/>
              </w:rPr>
            </w:pPr>
            <w:r>
              <w:rPr>
                <w:rFonts w:ascii="Arial" w:cs="Arial" w:eastAsia="Arial" w:hAnsi="Arial"/>
                <w:sz w:val="16"/>
                <w:szCs w:val="16"/>
                <w:b w:val="1"/>
                <w:bCs w:val="1"/>
                <w:color w:val="auto"/>
                <w:w w:val="86"/>
              </w:rPr>
              <w:t>Three months ended</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80" w:type="dxa"/>
            <w:vAlign w:val="bottom"/>
            <w:gridSpan w:val="4"/>
          </w:tcPr>
          <w:p>
            <w:pPr>
              <w:jc w:val="center"/>
              <w:spacing w:after="0"/>
              <w:rPr>
                <w:sz w:val="20"/>
                <w:szCs w:val="20"/>
                <w:color w:val="auto"/>
              </w:rPr>
            </w:pPr>
            <w:r>
              <w:rPr>
                <w:rFonts w:ascii="Arial" w:cs="Arial" w:eastAsia="Arial" w:hAnsi="Arial"/>
                <w:sz w:val="16"/>
                <w:szCs w:val="16"/>
                <w:b w:val="1"/>
                <w:bCs w:val="1"/>
                <w:color w:val="auto"/>
                <w:w w:val="86"/>
              </w:rPr>
              <w:t>Nine months ended</w:t>
            </w:r>
          </w:p>
        </w:tc>
      </w:tr>
      <w:tr>
        <w:trPr>
          <w:trHeight w:val="202"/>
        </w:trPr>
        <w:tc>
          <w:tcPr>
            <w:tcW w:w="518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3"/>
          </w:tcPr>
          <w:p>
            <w:pPr>
              <w:jc w:val="center"/>
              <w:ind w:right="400"/>
              <w:spacing w:after="0"/>
              <w:rPr>
                <w:sz w:val="20"/>
                <w:szCs w:val="20"/>
                <w:color w:val="auto"/>
              </w:rPr>
            </w:pPr>
            <w:r>
              <w:rPr>
                <w:rFonts w:ascii="Arial" w:cs="Arial" w:eastAsia="Arial" w:hAnsi="Arial"/>
                <w:sz w:val="16"/>
                <w:szCs w:val="16"/>
                <w:b w:val="1"/>
                <w:bCs w:val="1"/>
                <w:color w:val="auto"/>
                <w:w w:val="85"/>
              </w:rPr>
              <w:t>September 30,</w:t>
            </w:r>
          </w:p>
        </w:tc>
        <w:tc>
          <w:tcPr>
            <w:tcW w:w="5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40" w:type="dxa"/>
            <w:vAlign w:val="bottom"/>
            <w:tcBorders>
              <w:bottom w:val="single" w:sz="8" w:color="auto"/>
            </w:tcBorders>
            <w:gridSpan w:val="3"/>
          </w:tcPr>
          <w:p>
            <w:pPr>
              <w:jc w:val="center"/>
              <w:ind w:left="857"/>
              <w:spacing w:after="0"/>
              <w:rPr>
                <w:sz w:val="20"/>
                <w:szCs w:val="20"/>
                <w:color w:val="auto"/>
              </w:rPr>
            </w:pPr>
            <w:r>
              <w:rPr>
                <w:rFonts w:ascii="Arial" w:cs="Arial" w:eastAsia="Arial" w:hAnsi="Arial"/>
                <w:sz w:val="16"/>
                <w:szCs w:val="16"/>
                <w:b w:val="1"/>
                <w:bCs w:val="1"/>
                <w:color w:val="auto"/>
                <w:w w:val="85"/>
              </w:rPr>
              <w:t>September 30,</w:t>
            </w:r>
          </w:p>
        </w:tc>
        <w:tc>
          <w:tcPr>
            <w:tcW w:w="940" w:type="dxa"/>
            <w:vAlign w:val="bottom"/>
            <w:tcBorders>
              <w:bottom w:val="single" w:sz="8" w:color="auto"/>
            </w:tcBorders>
          </w:tcPr>
          <w:p>
            <w:pPr>
              <w:spacing w:after="0"/>
              <w:rPr>
                <w:sz w:val="17"/>
                <w:szCs w:val="17"/>
                <w:color w:val="auto"/>
              </w:rPr>
            </w:pPr>
          </w:p>
        </w:tc>
      </w:tr>
      <w:tr>
        <w:trPr>
          <w:trHeight w:val="202"/>
        </w:trPr>
        <w:tc>
          <w:tcPr>
            <w:tcW w:w="5180" w:type="dxa"/>
            <w:vAlign w:val="bottom"/>
          </w:tcPr>
          <w:p>
            <w:pPr>
              <w:ind w:left="20"/>
              <w:spacing w:after="0"/>
              <w:rPr>
                <w:sz w:val="20"/>
                <w:szCs w:val="20"/>
                <w:color w:val="auto"/>
              </w:rPr>
            </w:pPr>
            <w:r>
              <w:rPr>
                <w:rFonts w:ascii="Arial" w:cs="Arial" w:eastAsia="Arial" w:hAnsi="Arial"/>
                <w:sz w:val="16"/>
                <w:szCs w:val="16"/>
                <w:b w:val="1"/>
                <w:bCs w:val="1"/>
                <w:color w:val="auto"/>
              </w:rPr>
              <w:t>Product line</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2021</w:t>
            </w:r>
          </w:p>
        </w:tc>
        <w:tc>
          <w:tcPr>
            <w:tcW w:w="1540" w:type="dxa"/>
            <w:vAlign w:val="bottom"/>
            <w:gridSpan w:val="3"/>
          </w:tcPr>
          <w:p>
            <w:pPr>
              <w:jc w:val="right"/>
              <w:ind w:right="40"/>
              <w:spacing w:after="0"/>
              <w:rPr>
                <w:sz w:val="20"/>
                <w:szCs w:val="20"/>
                <w:color w:val="auto"/>
              </w:rPr>
            </w:pPr>
            <w:r>
              <w:rPr>
                <w:rFonts w:ascii="Arial" w:cs="Arial" w:eastAsia="Arial" w:hAnsi="Arial"/>
                <w:sz w:val="16"/>
                <w:szCs w:val="16"/>
                <w:b w:val="1"/>
                <w:bCs w:val="1"/>
                <w:color w:val="auto"/>
              </w:rPr>
              <w:t>2020</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jc w:val="right"/>
              <w:ind w:right="477"/>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jc w:val="right"/>
              <w:ind w:right="475"/>
              <w:spacing w:after="0"/>
              <w:rPr>
                <w:sz w:val="20"/>
                <w:szCs w:val="20"/>
                <w:color w:val="auto"/>
              </w:rPr>
            </w:pPr>
            <w:r>
              <w:rPr>
                <w:rFonts w:ascii="Arial" w:cs="Arial" w:eastAsia="Arial" w:hAnsi="Arial"/>
                <w:sz w:val="16"/>
                <w:szCs w:val="16"/>
                <w:b w:val="1"/>
                <w:bCs w:val="1"/>
                <w:color w:val="auto"/>
              </w:rPr>
              <w:t>2020</w:t>
            </w:r>
          </w:p>
        </w:tc>
      </w:tr>
      <w:tr>
        <w:trPr>
          <w:trHeight w:val="215"/>
        </w:trPr>
        <w:tc>
          <w:tcPr>
            <w:tcW w:w="5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Infusion Consumables</w:t>
            </w:r>
          </w:p>
        </w:tc>
        <w:tc>
          <w:tcPr>
            <w:tcW w:w="9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43 %</w:t>
            </w: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36 %</w:t>
            </w: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42 %</w:t>
            </w: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37 %</w:t>
            </w:r>
          </w:p>
        </w:tc>
      </w:tr>
      <w:tr>
        <w:trPr>
          <w:trHeight w:val="220"/>
        </w:trPr>
        <w:tc>
          <w:tcPr>
            <w:tcW w:w="5180" w:type="dxa"/>
            <w:vAlign w:val="bottom"/>
          </w:tcPr>
          <w:p>
            <w:pPr>
              <w:ind w:left="20"/>
              <w:spacing w:after="0"/>
              <w:rPr>
                <w:sz w:val="20"/>
                <w:szCs w:val="20"/>
                <w:color w:val="auto"/>
              </w:rPr>
            </w:pPr>
            <w:r>
              <w:rPr>
                <w:rFonts w:ascii="Arial" w:cs="Arial" w:eastAsia="Arial" w:hAnsi="Arial"/>
                <w:sz w:val="17"/>
                <w:szCs w:val="17"/>
                <w:color w:val="auto"/>
              </w:rPr>
              <w:t>Infusion Systems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27 %</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28 %</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27 %</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28 %</w:t>
            </w:r>
          </w:p>
        </w:tc>
      </w:tr>
      <w:tr>
        <w:trPr>
          <w:trHeight w:val="220"/>
        </w:trPr>
        <w:tc>
          <w:tcPr>
            <w:tcW w:w="5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IV Solutions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27 %</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28 %</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31 %</w:t>
            </w:r>
          </w:p>
        </w:tc>
      </w:tr>
      <w:tr>
        <w:trPr>
          <w:trHeight w:val="220"/>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Critical Care</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3 %</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4 %</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3 %</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4 %</w:t>
            </w:r>
          </w:p>
        </w:tc>
      </w:tr>
      <w:tr>
        <w:trPr>
          <w:trHeight w:val="238"/>
        </w:trPr>
        <w:tc>
          <w:tcPr>
            <w:tcW w:w="5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100 %</w:t>
            </w: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100 %</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100 %</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100 %</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72" w:lineRule="exact"/>
        <w:rPr>
          <w:sz w:val="20"/>
          <w:szCs w:val="20"/>
          <w:color w:val="auto"/>
        </w:rPr>
      </w:pPr>
    </w:p>
    <w:p>
      <w:pPr>
        <w:ind w:right="220" w:firstLine="620"/>
        <w:spacing w:after="0" w:line="263" w:lineRule="auto"/>
        <w:rPr>
          <w:sz w:val="20"/>
          <w:szCs w:val="20"/>
          <w:color w:val="auto"/>
        </w:rPr>
      </w:pPr>
      <w:r>
        <w:rPr>
          <w:rFonts w:ascii="Arial" w:cs="Arial" w:eastAsia="Arial" w:hAnsi="Arial"/>
          <w:sz w:val="17"/>
          <w:szCs w:val="17"/>
          <w:color w:val="auto"/>
        </w:rPr>
        <w:t>We manage our product distribution in the U.S. through a network of two owned and one leased distribution facilities in combination with independent distributors and third-party fulfillment and logistics providers. Our end customers, which include healthcare providers and original equipment manufacturer suppliers, may order and receive our products directly from us or through an independent full-line distributor. Internationally, we manage distribution utilizing international regional hubs and through independent distributors.</w:t>
      </w:r>
    </w:p>
    <w:p>
      <w:pPr>
        <w:spacing w:after="0" w:line="203" w:lineRule="exact"/>
        <w:rPr>
          <w:sz w:val="20"/>
          <w:szCs w:val="20"/>
          <w:color w:val="auto"/>
        </w:rPr>
      </w:pPr>
    </w:p>
    <w:p>
      <w:pPr>
        <w:ind w:right="40" w:firstLine="620"/>
        <w:spacing w:after="0" w:line="281" w:lineRule="auto"/>
        <w:rPr>
          <w:sz w:val="20"/>
          <w:szCs w:val="20"/>
          <w:color w:val="auto"/>
        </w:rPr>
      </w:pPr>
      <w:r>
        <w:rPr>
          <w:rFonts w:ascii="Arial" w:cs="Arial" w:eastAsia="Arial" w:hAnsi="Arial"/>
          <w:sz w:val="16"/>
          <w:szCs w:val="16"/>
          <w:color w:val="auto"/>
        </w:rPr>
        <w:t>In the U.S. a substantial amount of our products are sold to group purchasing organization member hospitals. We believe that as healthcare providers continue to either consolidate or join major buying organizations, the success of our products will depend, in part, on our ability, either independently or through strategic relationships to secure long-term contracts with large healthcare providers and major buying organizations. Although we believe that we are not dependent on any single distributor, large healthcare provider or major buying organization for distribution of our products, the loss of a strategic relationship with any one of these organizations or a decline in the demand for our products could have a material adverse effect on our operating results.</w:t>
      </w:r>
    </w:p>
    <w:p>
      <w:pPr>
        <w:spacing w:after="0" w:line="163" w:lineRule="exact"/>
        <w:rPr>
          <w:sz w:val="20"/>
          <w:szCs w:val="20"/>
          <w:color w:val="auto"/>
        </w:rPr>
      </w:pPr>
    </w:p>
    <w:p>
      <w:pPr>
        <w:ind w:right="20" w:firstLine="620"/>
        <w:spacing w:after="0" w:line="304" w:lineRule="auto"/>
        <w:rPr>
          <w:sz w:val="20"/>
          <w:szCs w:val="20"/>
          <w:color w:val="auto"/>
        </w:rPr>
      </w:pPr>
      <w:r>
        <w:rPr>
          <w:rFonts w:ascii="Arial" w:cs="Arial" w:eastAsia="Arial" w:hAnsi="Arial"/>
          <w:sz w:val="15"/>
          <w:szCs w:val="15"/>
          <w:color w:val="auto"/>
        </w:rPr>
        <w:t>We believe that achievement of our growth objectives worldwide will require increased efforts by us in sales and marketing and product acquisition and development; however, there is no assurance that we will be successful in implementing our growth strategy. Product development or acquisition efforts may not succeed, and even if we do develop or acquire additional products, there is no assurance that we will achieve profitable sales of such products. Increased expenditures for sales and marketing and product acquisition and development may not yield desired results when expected, or at all. While we have taken steps to control these risks, there are certain risks that may be outside of our control, and there is no assurance that steps we have taken will succeed.</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Seasonality/Quarterly Results</w:t>
      </w:r>
    </w:p>
    <w:p>
      <w:pPr>
        <w:spacing w:after="0" w:line="250" w:lineRule="exact"/>
        <w:rPr>
          <w:sz w:val="20"/>
          <w:szCs w:val="20"/>
          <w:color w:val="auto"/>
        </w:rPr>
      </w:pPr>
    </w:p>
    <w:p>
      <w:pPr>
        <w:ind w:right="140" w:firstLine="169"/>
        <w:spacing w:after="0" w:line="292" w:lineRule="auto"/>
        <w:rPr>
          <w:sz w:val="20"/>
          <w:szCs w:val="20"/>
          <w:color w:val="auto"/>
        </w:rPr>
      </w:pPr>
      <w:r>
        <w:rPr>
          <w:rFonts w:ascii="Arial" w:cs="Arial" w:eastAsia="Arial" w:hAnsi="Arial"/>
          <w:sz w:val="16"/>
          <w:szCs w:val="16"/>
          <w:color w:val="auto"/>
        </w:rPr>
        <w:t>There are no significant seasonal aspects to our business. We may experience fluctuations in net sales as a result of variations in the ordering patterns of our largest customers, which may be driven more by production scheduling and their inventory levels, rather than by seasonality. Our expenses often do not fluctuate in the same manner as net sales, which may cause fluctuations in operating income that are disproportionate to fluctuations in our revenue.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Results of Operations</w:t>
      </w:r>
    </w:p>
    <w:p>
      <w:pPr>
        <w:spacing w:after="0" w:line="250" w:lineRule="exact"/>
        <w:rPr>
          <w:sz w:val="20"/>
          <w:szCs w:val="20"/>
          <w:color w:val="auto"/>
        </w:rPr>
      </w:pPr>
    </w:p>
    <w:p>
      <w:pPr>
        <w:ind w:right="100" w:firstLine="169"/>
        <w:spacing w:after="0" w:line="283" w:lineRule="auto"/>
        <w:rPr>
          <w:sz w:val="20"/>
          <w:szCs w:val="20"/>
          <w:color w:val="auto"/>
        </w:rPr>
      </w:pPr>
      <w:r>
        <w:rPr>
          <w:rFonts w:ascii="Arial" w:cs="Arial" w:eastAsia="Arial" w:hAnsi="Arial"/>
          <w:sz w:val="17"/>
          <w:szCs w:val="17"/>
          <w:color w:val="auto"/>
        </w:rPr>
        <w:t>We present income statement data in Part I, Item 1 - Financial Statements. The following table shows, for the three and nine months ended September 30, 2021 and 2020, the percentages of each income statement caption in relation to total revenue: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2" w:name="page33"/>
    <w:bookmarkEnd w:id="3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80" w:type="dxa"/>
            <w:vAlign w:val="bottom"/>
          </w:tcPr>
          <w:p>
            <w:pPr>
              <w:spacing w:after="0"/>
              <w:rPr>
                <w:sz w:val="16"/>
                <w:szCs w:val="16"/>
                <w:color w:val="auto"/>
              </w:rPr>
            </w:pPr>
          </w:p>
        </w:tc>
        <w:tc>
          <w:tcPr>
            <w:tcW w:w="2460" w:type="dxa"/>
            <w:vAlign w:val="bottom"/>
            <w:gridSpan w:val="4"/>
          </w:tcPr>
          <w:p>
            <w:pPr>
              <w:jc w:val="center"/>
              <w:ind w:left="394"/>
              <w:spacing w:after="0"/>
              <w:rPr>
                <w:sz w:val="20"/>
                <w:szCs w:val="20"/>
                <w:color w:val="auto"/>
              </w:rPr>
            </w:pPr>
            <w:r>
              <w:rPr>
                <w:rFonts w:ascii="Arial" w:cs="Arial" w:eastAsia="Arial" w:hAnsi="Arial"/>
                <w:sz w:val="17"/>
                <w:szCs w:val="17"/>
                <w:b w:val="1"/>
                <w:bCs w:val="1"/>
                <w:color w:val="auto"/>
                <w:w w:val="89"/>
              </w:rPr>
              <w:t>Three months ended</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80" w:type="dxa"/>
            <w:vAlign w:val="bottom"/>
            <w:gridSpan w:val="4"/>
          </w:tcPr>
          <w:p>
            <w:pPr>
              <w:jc w:val="center"/>
              <w:spacing w:after="0"/>
              <w:rPr>
                <w:sz w:val="20"/>
                <w:szCs w:val="20"/>
                <w:color w:val="auto"/>
              </w:rPr>
            </w:pPr>
            <w:r>
              <w:rPr>
                <w:rFonts w:ascii="Arial" w:cs="Arial" w:eastAsia="Arial" w:hAnsi="Arial"/>
                <w:sz w:val="17"/>
                <w:szCs w:val="17"/>
                <w:b w:val="1"/>
                <w:bCs w:val="1"/>
                <w:color w:val="auto"/>
                <w:w w:val="89"/>
              </w:rPr>
              <w:t>Nine months ended</w:t>
            </w:r>
          </w:p>
        </w:tc>
      </w:tr>
      <w:tr>
        <w:trPr>
          <w:trHeight w:val="220"/>
        </w:trPr>
        <w:tc>
          <w:tcPr>
            <w:tcW w:w="518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center"/>
              <w:ind w:right="314"/>
              <w:spacing w:after="0"/>
              <w:rPr>
                <w:sz w:val="20"/>
                <w:szCs w:val="20"/>
                <w:color w:val="auto"/>
              </w:rPr>
            </w:pPr>
            <w:r>
              <w:rPr>
                <w:rFonts w:ascii="Arial" w:cs="Arial" w:eastAsia="Arial" w:hAnsi="Arial"/>
                <w:sz w:val="17"/>
                <w:szCs w:val="17"/>
                <w:b w:val="1"/>
                <w:bCs w:val="1"/>
                <w:color w:val="auto"/>
                <w:w w:val="91"/>
              </w:rPr>
              <w:t>September 30,</w:t>
            </w:r>
          </w:p>
        </w:tc>
        <w:tc>
          <w:tcPr>
            <w:tcW w:w="5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tcBorders>
              <w:bottom w:val="single" w:sz="8" w:color="auto"/>
            </w:tcBorders>
            <w:gridSpan w:val="3"/>
          </w:tcPr>
          <w:p>
            <w:pPr>
              <w:jc w:val="center"/>
              <w:ind w:left="834"/>
              <w:spacing w:after="0"/>
              <w:rPr>
                <w:sz w:val="20"/>
                <w:szCs w:val="20"/>
                <w:color w:val="auto"/>
              </w:rPr>
            </w:pPr>
            <w:r>
              <w:rPr>
                <w:rFonts w:ascii="Arial" w:cs="Arial" w:eastAsia="Arial" w:hAnsi="Arial"/>
                <w:sz w:val="17"/>
                <w:szCs w:val="17"/>
                <w:b w:val="1"/>
                <w:bCs w:val="1"/>
                <w:color w:val="auto"/>
                <w:w w:val="91"/>
              </w:rPr>
              <w:t>September 30,</w:t>
            </w:r>
          </w:p>
        </w:tc>
        <w:tc>
          <w:tcPr>
            <w:tcW w:w="920" w:type="dxa"/>
            <w:vAlign w:val="bottom"/>
            <w:tcBorders>
              <w:bottom w:val="single" w:sz="8" w:color="auto"/>
            </w:tcBorders>
          </w:tcPr>
          <w:p>
            <w:pPr>
              <w:spacing w:after="0"/>
              <w:rPr>
                <w:sz w:val="19"/>
                <w:szCs w:val="19"/>
                <w:color w:val="auto"/>
              </w:rPr>
            </w:pPr>
          </w:p>
        </w:tc>
      </w:tr>
      <w:tr>
        <w:trPr>
          <w:trHeight w:val="213"/>
        </w:trPr>
        <w:tc>
          <w:tcPr>
            <w:tcW w:w="518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2020</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ind w:right="474"/>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w w:val="95"/>
              </w:rPr>
              <w:t>2020</w:t>
            </w:r>
          </w:p>
        </w:tc>
      </w:tr>
      <w:tr>
        <w:trPr>
          <w:trHeight w:val="213"/>
        </w:trPr>
        <w:tc>
          <w:tcPr>
            <w:tcW w:w="61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 revenue</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100 %</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100 %</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100 %</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100 %</w:t>
            </w:r>
          </w:p>
        </w:tc>
      </w:tr>
      <w:tr>
        <w:trPr>
          <w:trHeight w:val="220"/>
        </w:trPr>
        <w:tc>
          <w:tcPr>
            <w:tcW w:w="6100" w:type="dxa"/>
            <w:vAlign w:val="bottom"/>
            <w:gridSpan w:val="2"/>
          </w:tcPr>
          <w:p>
            <w:pPr>
              <w:ind w:left="20"/>
              <w:spacing w:after="0"/>
              <w:rPr>
                <w:sz w:val="20"/>
                <w:szCs w:val="20"/>
                <w:color w:val="auto"/>
              </w:rPr>
            </w:pPr>
            <w:r>
              <w:rPr>
                <w:rFonts w:ascii="Arial" w:cs="Arial" w:eastAsia="Arial" w:hAnsi="Arial"/>
                <w:sz w:val="17"/>
                <w:szCs w:val="17"/>
                <w:color w:val="auto"/>
              </w:rPr>
              <w:t>Gross margin</w:t>
            </w:r>
          </w:p>
        </w:tc>
        <w:tc>
          <w:tcPr>
            <w:tcW w:w="520" w:type="dxa"/>
            <w:vAlign w:val="bottom"/>
          </w:tcPr>
          <w:p>
            <w:pPr>
              <w:jc w:val="right"/>
              <w:spacing w:after="0"/>
              <w:rPr>
                <w:sz w:val="20"/>
                <w:szCs w:val="20"/>
                <w:color w:val="auto"/>
              </w:rPr>
            </w:pPr>
            <w:r>
              <w:rPr>
                <w:rFonts w:ascii="Arial" w:cs="Arial" w:eastAsia="Arial" w:hAnsi="Arial"/>
                <w:sz w:val="17"/>
                <w:szCs w:val="17"/>
                <w:color w:val="auto"/>
              </w:rPr>
              <w:t>38 %</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36 %</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37 %</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36 %</w:t>
            </w:r>
          </w:p>
        </w:tc>
      </w:tr>
      <w:tr>
        <w:trPr>
          <w:trHeight w:val="220"/>
        </w:trPr>
        <w:tc>
          <w:tcPr>
            <w:tcW w:w="61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Selling, general and administrative expenses</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22 %</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23 %</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22 %</w:t>
            </w:r>
          </w:p>
        </w:tc>
      </w:tr>
      <w:tr>
        <w:trPr>
          <w:trHeight w:val="220"/>
        </w:trPr>
        <w:tc>
          <w:tcPr>
            <w:tcW w:w="6100" w:type="dxa"/>
            <w:vAlign w:val="bottom"/>
            <w:gridSpan w:val="2"/>
          </w:tcPr>
          <w:p>
            <w:pPr>
              <w:ind w:left="140"/>
              <w:spacing w:after="0"/>
              <w:rPr>
                <w:sz w:val="20"/>
                <w:szCs w:val="20"/>
                <w:color w:val="auto"/>
              </w:rPr>
            </w:pPr>
            <w:r>
              <w:rPr>
                <w:rFonts w:ascii="Arial" w:cs="Arial" w:eastAsia="Arial" w:hAnsi="Arial"/>
                <w:sz w:val="17"/>
                <w:szCs w:val="17"/>
                <w:color w:val="auto"/>
              </w:rPr>
              <w:t>Research and development expenses</w:t>
            </w:r>
          </w:p>
        </w:tc>
        <w:tc>
          <w:tcPr>
            <w:tcW w:w="520" w:type="dxa"/>
            <w:vAlign w:val="bottom"/>
          </w:tcPr>
          <w:p>
            <w:pPr>
              <w:jc w:val="right"/>
              <w:spacing w:after="0"/>
              <w:rPr>
                <w:sz w:val="20"/>
                <w:szCs w:val="20"/>
                <w:color w:val="auto"/>
              </w:rPr>
            </w:pPr>
            <w:r>
              <w:rPr>
                <w:rFonts w:ascii="Arial" w:cs="Arial" w:eastAsia="Arial" w:hAnsi="Arial"/>
                <w:sz w:val="17"/>
                <w:szCs w:val="17"/>
                <w:color w:val="auto"/>
              </w:rPr>
              <w:t>4 %</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3 %</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4 %</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3 %</w:t>
            </w:r>
          </w:p>
        </w:tc>
      </w:tr>
      <w:tr>
        <w:trPr>
          <w:trHeight w:val="220"/>
        </w:trPr>
        <w:tc>
          <w:tcPr>
            <w:tcW w:w="61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Restructuring and strategic transaction</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1 %</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1 %</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2 %</w:t>
            </w:r>
          </w:p>
        </w:tc>
      </w:tr>
      <w:tr>
        <w:trPr>
          <w:trHeight w:val="220"/>
        </w:trPr>
        <w:tc>
          <w:tcPr>
            <w:tcW w:w="6100" w:type="dxa"/>
            <w:vAlign w:val="bottom"/>
            <w:gridSpan w:val="2"/>
          </w:tcPr>
          <w:p>
            <w:pPr>
              <w:ind w:left="140"/>
              <w:spacing w:after="0"/>
              <w:rPr>
                <w:sz w:val="20"/>
                <w:szCs w:val="20"/>
                <w:color w:val="auto"/>
              </w:rPr>
            </w:pPr>
            <w:r>
              <w:rPr>
                <w:rFonts w:ascii="Arial" w:cs="Arial" w:eastAsia="Arial" w:hAnsi="Arial"/>
                <w:sz w:val="17"/>
                <w:szCs w:val="17"/>
                <w:color w:val="auto"/>
              </w:rPr>
              <w:t>Change in fair value of contingent earn-out</w:t>
            </w:r>
          </w:p>
        </w:tc>
        <w:tc>
          <w:tcPr>
            <w:tcW w:w="1540" w:type="dxa"/>
            <w:vAlign w:val="bottom"/>
            <w:gridSpan w:val="3"/>
          </w:tcPr>
          <w:p>
            <w:pPr>
              <w:jc w:val="right"/>
              <w:ind w:right="954"/>
              <w:spacing w:after="0"/>
              <w:rPr>
                <w:sz w:val="20"/>
                <w:szCs w:val="20"/>
                <w:color w:val="auto"/>
              </w:rPr>
            </w:pPr>
            <w:r>
              <w:rPr>
                <w:rFonts w:ascii="Arial" w:cs="Arial" w:eastAsia="Arial" w:hAnsi="Arial"/>
                <w:sz w:val="17"/>
                <w:szCs w:val="17"/>
                <w:color w:val="auto"/>
              </w:rPr>
              <w:t>— %</w:t>
            </w:r>
          </w:p>
        </w:tc>
        <w:tc>
          <w:tcPr>
            <w:tcW w:w="520" w:type="dxa"/>
            <w:vAlign w:val="bottom"/>
          </w:tcPr>
          <w:p>
            <w:pPr>
              <w:jc w:val="right"/>
              <w:spacing w:after="0"/>
              <w:rPr>
                <w:sz w:val="20"/>
                <w:szCs w:val="20"/>
                <w:color w:val="auto"/>
              </w:rPr>
            </w:pPr>
            <w:r>
              <w:rPr>
                <w:rFonts w:ascii="Arial" w:cs="Arial" w:eastAsia="Arial" w:hAnsi="Arial"/>
                <w:sz w:val="17"/>
                <w:szCs w:val="17"/>
                <w:color w:val="auto"/>
              </w:rPr>
              <w:t>1 %</w:t>
            </w:r>
          </w:p>
        </w:tc>
        <w:tc>
          <w:tcPr>
            <w:tcW w:w="100" w:type="dxa"/>
            <w:vAlign w:val="bottom"/>
          </w:tcPr>
          <w:p>
            <w:pPr>
              <w:spacing w:after="0"/>
              <w:rPr>
                <w:sz w:val="19"/>
                <w:szCs w:val="19"/>
                <w:color w:val="auto"/>
              </w:rPr>
            </w:pPr>
          </w:p>
        </w:tc>
        <w:tc>
          <w:tcPr>
            <w:tcW w:w="2060" w:type="dxa"/>
            <w:vAlign w:val="bottom"/>
            <w:gridSpan w:val="3"/>
          </w:tcPr>
          <w:p>
            <w:pPr>
              <w:jc w:val="right"/>
              <w:ind w:right="640"/>
              <w:spacing w:after="0"/>
              <w:rPr>
                <w:sz w:val="20"/>
                <w:szCs w:val="20"/>
                <w:color w:val="auto"/>
              </w:rPr>
            </w:pPr>
            <w:r>
              <w:rPr>
                <w:rFonts w:ascii="Arial" w:cs="Arial" w:eastAsia="Arial" w:hAnsi="Arial"/>
                <w:sz w:val="17"/>
                <w:szCs w:val="17"/>
                <w:color w:val="auto"/>
              </w:rPr>
              <w:t>— %</w:t>
            </w:r>
          </w:p>
        </w:tc>
        <w:tc>
          <w:tcPr>
            <w:tcW w:w="920" w:type="dxa"/>
            <w:vAlign w:val="bottom"/>
          </w:tcPr>
          <w:p>
            <w:pPr>
              <w:jc w:val="right"/>
              <w:spacing w:after="0"/>
              <w:rPr>
                <w:sz w:val="20"/>
                <w:szCs w:val="20"/>
                <w:color w:val="auto"/>
              </w:rPr>
            </w:pPr>
            <w:r>
              <w:rPr>
                <w:rFonts w:ascii="Arial" w:cs="Arial" w:eastAsia="Arial" w:hAnsi="Arial"/>
                <w:sz w:val="17"/>
                <w:szCs w:val="17"/>
                <w:color w:val="auto"/>
              </w:rPr>
              <w:t>1 %</w:t>
            </w:r>
          </w:p>
        </w:tc>
      </w:tr>
      <w:tr>
        <w:trPr>
          <w:trHeight w:val="220"/>
        </w:trPr>
        <w:tc>
          <w:tcPr>
            <w:tcW w:w="51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Contract settlement</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 %</w:t>
            </w:r>
          </w:p>
        </w:tc>
      </w:tr>
      <w:tr>
        <w:trPr>
          <w:trHeight w:val="213"/>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operating expenses</w:t>
            </w:r>
          </w:p>
        </w:tc>
        <w:tc>
          <w:tcPr>
            <w:tcW w:w="9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27 %</w:t>
            </w: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27 %</w:t>
            </w: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28 %</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28 %</w:t>
            </w:r>
          </w:p>
        </w:tc>
      </w:tr>
      <w:tr>
        <w:trPr>
          <w:trHeight w:val="213"/>
        </w:trPr>
        <w:tc>
          <w:tcPr>
            <w:tcW w:w="61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Income from operations</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11 %</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9 %</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9 %</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8 %</w:t>
            </w:r>
          </w:p>
        </w:tc>
      </w:tr>
      <w:tr>
        <w:trPr>
          <w:trHeight w:val="220"/>
        </w:trPr>
        <w:tc>
          <w:tcPr>
            <w:tcW w:w="6100" w:type="dxa"/>
            <w:vAlign w:val="bottom"/>
            <w:gridSpan w:val="2"/>
          </w:tcPr>
          <w:p>
            <w:pPr>
              <w:ind w:left="140"/>
              <w:spacing w:after="0"/>
              <w:rPr>
                <w:sz w:val="20"/>
                <w:szCs w:val="20"/>
                <w:color w:val="auto"/>
              </w:rPr>
            </w:pPr>
            <w:r>
              <w:rPr>
                <w:rFonts w:ascii="Arial" w:cs="Arial" w:eastAsia="Arial" w:hAnsi="Arial"/>
                <w:sz w:val="17"/>
                <w:szCs w:val="17"/>
                <w:color w:val="auto"/>
              </w:rPr>
              <w:t>Interest expense</w:t>
            </w:r>
          </w:p>
        </w:tc>
        <w:tc>
          <w:tcPr>
            <w:tcW w:w="1540" w:type="dxa"/>
            <w:vAlign w:val="bottom"/>
            <w:gridSpan w:val="3"/>
          </w:tcPr>
          <w:p>
            <w:pPr>
              <w:jc w:val="right"/>
              <w:ind w:right="954"/>
              <w:spacing w:after="0"/>
              <w:rPr>
                <w:sz w:val="20"/>
                <w:szCs w:val="20"/>
                <w:color w:val="auto"/>
              </w:rPr>
            </w:pPr>
            <w:r>
              <w:rPr>
                <w:rFonts w:ascii="Arial" w:cs="Arial" w:eastAsia="Arial" w:hAnsi="Arial"/>
                <w:sz w:val="17"/>
                <w:szCs w:val="17"/>
                <w:color w:val="auto"/>
              </w:rPr>
              <w:t>— %</w:t>
            </w:r>
          </w:p>
        </w:tc>
        <w:tc>
          <w:tcPr>
            <w:tcW w:w="620" w:type="dxa"/>
            <w:vAlign w:val="bottom"/>
            <w:gridSpan w:val="2"/>
          </w:tcPr>
          <w:p>
            <w:pPr>
              <w:jc w:val="right"/>
              <w:ind w:right="120"/>
              <w:spacing w:after="0"/>
              <w:rPr>
                <w:sz w:val="20"/>
                <w:szCs w:val="20"/>
                <w:color w:val="auto"/>
              </w:rPr>
            </w:pPr>
            <w:r>
              <w:rPr>
                <w:rFonts w:ascii="Arial" w:cs="Arial" w:eastAsia="Arial" w:hAnsi="Arial"/>
                <w:sz w:val="17"/>
                <w:szCs w:val="17"/>
                <w:color w:val="auto"/>
              </w:rPr>
              <w:t>— %</w:t>
            </w:r>
          </w:p>
        </w:tc>
        <w:tc>
          <w:tcPr>
            <w:tcW w:w="2060" w:type="dxa"/>
            <w:vAlign w:val="bottom"/>
            <w:gridSpan w:val="3"/>
          </w:tcPr>
          <w:p>
            <w:pPr>
              <w:jc w:val="right"/>
              <w:ind w:right="640"/>
              <w:spacing w:after="0"/>
              <w:rPr>
                <w:sz w:val="20"/>
                <w:szCs w:val="20"/>
                <w:color w:val="auto"/>
              </w:rPr>
            </w:pPr>
            <w:r>
              <w:rPr>
                <w:rFonts w:ascii="Arial" w:cs="Arial" w:eastAsia="Arial" w:hAnsi="Arial"/>
                <w:sz w:val="17"/>
                <w:szCs w:val="17"/>
                <w:color w:val="auto"/>
              </w:rPr>
              <w:t>— %</w:t>
            </w:r>
          </w:p>
        </w:tc>
        <w:tc>
          <w:tcPr>
            <w:tcW w:w="920" w:type="dxa"/>
            <w:vAlign w:val="bottom"/>
          </w:tcPr>
          <w:p>
            <w:pPr>
              <w:jc w:val="right"/>
              <w:spacing w:after="0"/>
              <w:rPr>
                <w:sz w:val="20"/>
                <w:szCs w:val="20"/>
                <w:color w:val="auto"/>
              </w:rPr>
            </w:pPr>
            <w:r>
              <w:rPr>
                <w:rFonts w:ascii="Arial" w:cs="Arial" w:eastAsia="Arial" w:hAnsi="Arial"/>
                <w:sz w:val="17"/>
                <w:szCs w:val="17"/>
                <w:color w:val="auto"/>
              </w:rPr>
              <w:t>— %</w:t>
            </w:r>
          </w:p>
        </w:tc>
      </w:tr>
      <w:tr>
        <w:trPr>
          <w:trHeight w:val="220"/>
        </w:trPr>
        <w:tc>
          <w:tcPr>
            <w:tcW w:w="51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income (expense), net</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 %</w:t>
            </w:r>
          </w:p>
        </w:tc>
      </w:tr>
      <w:tr>
        <w:trPr>
          <w:trHeight w:val="213"/>
        </w:trPr>
        <w:tc>
          <w:tcPr>
            <w:tcW w:w="6100" w:type="dxa"/>
            <w:vAlign w:val="bottom"/>
            <w:gridSpan w:val="2"/>
          </w:tcPr>
          <w:p>
            <w:pPr>
              <w:ind w:left="20"/>
              <w:spacing w:after="0"/>
              <w:rPr>
                <w:sz w:val="20"/>
                <w:szCs w:val="20"/>
                <w:color w:val="auto"/>
              </w:rPr>
            </w:pPr>
            <w:r>
              <w:rPr>
                <w:rFonts w:ascii="Arial" w:cs="Arial" w:eastAsia="Arial" w:hAnsi="Arial"/>
                <w:sz w:val="17"/>
                <w:szCs w:val="17"/>
                <w:color w:val="auto"/>
              </w:rPr>
              <w:t>Income before income taxes</w:t>
            </w:r>
          </w:p>
        </w:tc>
        <w:tc>
          <w:tcPr>
            <w:tcW w:w="520" w:type="dxa"/>
            <w:vAlign w:val="bottom"/>
          </w:tcPr>
          <w:p>
            <w:pPr>
              <w:jc w:val="right"/>
              <w:spacing w:after="0"/>
              <w:rPr>
                <w:sz w:val="20"/>
                <w:szCs w:val="20"/>
                <w:color w:val="auto"/>
              </w:rPr>
            </w:pPr>
            <w:r>
              <w:rPr>
                <w:rFonts w:ascii="Arial" w:cs="Arial" w:eastAsia="Arial" w:hAnsi="Arial"/>
                <w:sz w:val="17"/>
                <w:szCs w:val="17"/>
                <w:color w:val="auto"/>
              </w:rPr>
              <w:t>11 %</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9 %</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9 %</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8 %</w:t>
            </w:r>
          </w:p>
        </w:tc>
      </w:tr>
      <w:tr>
        <w:trPr>
          <w:trHeight w:val="220"/>
        </w:trPr>
        <w:tc>
          <w:tcPr>
            <w:tcW w:w="5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Provision for income taxes</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213"/>
        </w:trPr>
        <w:tc>
          <w:tcPr>
            <w:tcW w:w="6100" w:type="dxa"/>
            <w:vAlign w:val="bottom"/>
            <w:gridSpan w:val="2"/>
          </w:tcPr>
          <w:p>
            <w:pPr>
              <w:ind w:left="20"/>
              <w:spacing w:after="0"/>
              <w:rPr>
                <w:sz w:val="20"/>
                <w:szCs w:val="20"/>
                <w:color w:val="auto"/>
              </w:rPr>
            </w:pPr>
            <w:r>
              <w:rPr>
                <w:rFonts w:ascii="Arial" w:cs="Arial" w:eastAsia="Arial" w:hAnsi="Arial"/>
                <w:sz w:val="17"/>
                <w:szCs w:val="17"/>
                <w:color w:val="auto"/>
              </w:rPr>
              <w:t>Net income</w:t>
            </w:r>
          </w:p>
        </w:tc>
        <w:tc>
          <w:tcPr>
            <w:tcW w:w="520" w:type="dxa"/>
            <w:vAlign w:val="bottom"/>
          </w:tcPr>
          <w:p>
            <w:pPr>
              <w:jc w:val="right"/>
              <w:spacing w:after="0"/>
              <w:rPr>
                <w:sz w:val="20"/>
                <w:szCs w:val="20"/>
                <w:color w:val="auto"/>
              </w:rPr>
            </w:pPr>
            <w:r>
              <w:rPr>
                <w:rFonts w:ascii="Arial" w:cs="Arial" w:eastAsia="Arial" w:hAnsi="Arial"/>
                <w:sz w:val="17"/>
                <w:szCs w:val="17"/>
                <w:color w:val="auto"/>
              </w:rPr>
              <w:t>9 %</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9 %</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7 %</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7 %</w:t>
            </w:r>
          </w:p>
        </w:tc>
      </w:tr>
      <w:tr>
        <w:trPr>
          <w:trHeight w:val="20"/>
        </w:trPr>
        <w:tc>
          <w:tcPr>
            <w:tcW w:w="51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362" w:lineRule="exact"/>
        <w:rPr>
          <w:sz w:val="20"/>
          <w:szCs w:val="20"/>
          <w:color w:val="auto"/>
        </w:rPr>
      </w:pPr>
    </w:p>
    <w:p>
      <w:pPr>
        <w:ind w:right="120" w:firstLine="620"/>
        <w:spacing w:after="0" w:line="304" w:lineRule="auto"/>
        <w:rPr>
          <w:sz w:val="20"/>
          <w:szCs w:val="20"/>
          <w:color w:val="auto"/>
        </w:rPr>
      </w:pPr>
      <w:r>
        <w:rPr>
          <w:rFonts w:ascii="Arial" w:cs="Arial" w:eastAsia="Arial" w:hAnsi="Arial"/>
          <w:sz w:val="15"/>
          <w:szCs w:val="15"/>
          <w:color w:val="auto"/>
        </w:rPr>
        <w:t>In addition to comparing changes in revenue on a U.S. GAAP basis, we also compare the changes in revenue from one period to another using constant currency. We provide constant currency information to enhance the visibility of underlying business trends, excluding the effects of changes in foreign currency translation rates. To calculate our constant currency results, we apply the average exchange rate for revenues from the prior year to the current year results. These results should be considered in addition to, not as a substitute for, results reported in accordance with GAAP. Results on a constant currency basis, as we present them, may not be comparable to similarly titled measures used by other companies and are not measures of performance presented in accordance with GAAP.</w:t>
      </w:r>
    </w:p>
    <w:p>
      <w:pPr>
        <w:spacing w:after="0" w:line="3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Infusion Consumables</w:t>
      </w:r>
    </w:p>
    <w:p>
      <w:pPr>
        <w:spacing w:after="0" w:line="244"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following table summarizes our total Infusion Consumables revenue (in millions):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40" w:type="dxa"/>
            <w:vAlign w:val="bottom"/>
            <w:gridSpan w:val="5"/>
          </w:tcPr>
          <w:p>
            <w:pPr>
              <w:jc w:val="center"/>
              <w:ind w:right="280"/>
              <w:spacing w:after="0"/>
              <w:rPr>
                <w:sz w:val="20"/>
                <w:szCs w:val="20"/>
                <w:color w:val="auto"/>
              </w:rPr>
            </w:pPr>
            <w:r>
              <w:rPr>
                <w:rFonts w:ascii="Arial" w:cs="Arial" w:eastAsia="Arial" w:hAnsi="Arial"/>
                <w:sz w:val="16"/>
                <w:szCs w:val="16"/>
                <w:b w:val="1"/>
                <w:bCs w:val="1"/>
                <w:color w:val="auto"/>
                <w:w w:val="86"/>
              </w:rPr>
              <w:t>Three months ended</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40" w:type="dxa"/>
            <w:vAlign w:val="bottom"/>
            <w:gridSpan w:val="5"/>
          </w:tcPr>
          <w:p>
            <w:pPr>
              <w:jc w:val="center"/>
              <w:ind w:right="240"/>
              <w:spacing w:after="0"/>
              <w:rPr>
                <w:sz w:val="20"/>
                <w:szCs w:val="20"/>
                <w:color w:val="auto"/>
              </w:rPr>
            </w:pPr>
            <w:r>
              <w:rPr>
                <w:rFonts w:ascii="Arial" w:cs="Arial" w:eastAsia="Arial" w:hAnsi="Arial"/>
                <w:sz w:val="16"/>
                <w:szCs w:val="16"/>
                <w:b w:val="1"/>
                <w:bCs w:val="1"/>
                <w:color w:val="auto"/>
                <w:w w:val="86"/>
              </w:rPr>
              <w:t>Nine months ended</w:t>
            </w:r>
          </w:p>
        </w:tc>
        <w:tc>
          <w:tcPr>
            <w:tcW w:w="1180" w:type="dxa"/>
            <w:vAlign w:val="bottom"/>
          </w:tcPr>
          <w:p>
            <w:pPr>
              <w:spacing w:after="0"/>
              <w:rPr>
                <w:sz w:val="16"/>
                <w:szCs w:val="16"/>
                <w:color w:val="auto"/>
              </w:rPr>
            </w:pPr>
          </w:p>
        </w:tc>
      </w:tr>
      <w:tr>
        <w:trPr>
          <w:trHeight w:val="204"/>
        </w:trPr>
        <w:tc>
          <w:tcPr>
            <w:tcW w:w="19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6"/>
                <w:szCs w:val="16"/>
                <w:b w:val="1"/>
                <w:bCs w:val="1"/>
                <w:color w:val="auto"/>
                <w:w w:val="85"/>
              </w:rPr>
              <w:t>September 30,</w:t>
            </w:r>
          </w:p>
        </w:tc>
        <w:tc>
          <w:tcPr>
            <w:tcW w:w="11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5"/>
          </w:tcPr>
          <w:p>
            <w:pPr>
              <w:jc w:val="center"/>
              <w:ind w:right="180"/>
              <w:spacing w:after="0"/>
              <w:rPr>
                <w:sz w:val="20"/>
                <w:szCs w:val="20"/>
                <w:color w:val="auto"/>
              </w:rPr>
            </w:pPr>
            <w:r>
              <w:rPr>
                <w:rFonts w:ascii="Arial" w:cs="Arial" w:eastAsia="Arial" w:hAnsi="Arial"/>
                <w:sz w:val="16"/>
                <w:szCs w:val="16"/>
                <w:b w:val="1"/>
                <w:bCs w:val="1"/>
                <w:color w:val="auto"/>
                <w:w w:val="85"/>
              </w:rPr>
              <w:t>September 30,</w:t>
            </w:r>
          </w:p>
        </w:tc>
        <w:tc>
          <w:tcPr>
            <w:tcW w:w="1180" w:type="dxa"/>
            <w:vAlign w:val="bottom"/>
            <w:tcBorders>
              <w:bottom w:val="single" w:sz="8" w:color="auto"/>
            </w:tcBorders>
          </w:tcPr>
          <w:p>
            <w:pPr>
              <w:spacing w:after="0"/>
              <w:rPr>
                <w:sz w:val="17"/>
                <w:szCs w:val="17"/>
                <w:color w:val="auto"/>
              </w:rPr>
            </w:pPr>
          </w:p>
        </w:tc>
      </w:tr>
      <w:tr>
        <w:trPr>
          <w:trHeight w:val="200"/>
        </w:trPr>
        <w:tc>
          <w:tcPr>
            <w:tcW w:w="19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w w:val="91"/>
              </w:rPr>
              <w:t>$ Change</w:t>
            </w:r>
          </w:p>
        </w:tc>
        <w:tc>
          <w:tcPr>
            <w:tcW w:w="10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auto"/>
              </w:rPr>
              <w:t>% Change</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w w:val="91"/>
              </w:rPr>
              <w:t>$ Change</w:t>
            </w:r>
          </w:p>
        </w:tc>
        <w:tc>
          <w:tcPr>
            <w:tcW w:w="10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rPr>
              <w:t>% Change</w:t>
            </w:r>
          </w:p>
        </w:tc>
      </w:tr>
      <w:tr>
        <w:trPr>
          <w:trHeight w:val="202"/>
        </w:trPr>
        <w:tc>
          <w:tcPr>
            <w:tcW w:w="1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Infusion Consumables</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w:t>
            </w:r>
          </w:p>
        </w:tc>
        <w:tc>
          <w:tcPr>
            <w:tcW w:w="100" w:type="dxa"/>
            <w:vAlign w:val="bottom"/>
            <w:shd w:val="clear" w:color="auto" w:fill="CCEEFF"/>
          </w:tcPr>
          <w:p>
            <w:pPr>
              <w:spacing w:after="0"/>
              <w:rPr>
                <w:sz w:val="17"/>
                <w:szCs w:val="17"/>
                <w:color w:val="auto"/>
              </w:rPr>
            </w:pPr>
          </w:p>
        </w:tc>
        <w:tc>
          <w:tcPr>
            <w:tcW w:w="150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24.8 %  $</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56.9</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16.2 %</w:t>
            </w:r>
          </w:p>
        </w:tc>
      </w:tr>
    </w:tbl>
    <w:p>
      <w:pPr>
        <w:spacing w:after="0" w:line="272" w:lineRule="exact"/>
        <w:rPr>
          <w:sz w:val="20"/>
          <w:szCs w:val="20"/>
          <w:color w:val="auto"/>
        </w:rPr>
      </w:pPr>
    </w:p>
    <w:p>
      <w:pPr>
        <w:ind w:right="40" w:firstLine="620"/>
        <w:spacing w:after="0" w:line="231" w:lineRule="auto"/>
        <w:rPr>
          <w:sz w:val="20"/>
          <w:szCs w:val="20"/>
          <w:color w:val="auto"/>
        </w:rPr>
      </w:pPr>
      <w:r>
        <w:rPr>
          <w:rFonts w:ascii="Arial" w:cs="Arial" w:eastAsia="Arial" w:hAnsi="Arial"/>
          <w:sz w:val="17"/>
          <w:szCs w:val="17"/>
          <w:color w:val="auto"/>
        </w:rPr>
        <w:t>Infusion Consumables revenue increased for the three and nine months ended September 30, 2021, as compared to the same periods in the prior year due to lower hospital census in 2020 driven by the onset of the COVID-19 pandemic, growth in our global oncology, U.S. core infusion and renal products and the impact from foreign exchange. For the three and nine months ended September 30, 2021, on a constant currency basis, Infusion Consumables revenue would have been $143.5 million and $398.0 million, respectively, an increase of $27.4 million or 23.6% and $47.4 million or 13.5%, respectively, as compared to the same periods in the prior year.</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Infusion Systems</w:t>
      </w:r>
    </w:p>
    <w:p>
      <w:pPr>
        <w:spacing w:after="0" w:line="244"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following table summarizes our total Infusion Systems revenue (in millions):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00" w:type="dxa"/>
            <w:vAlign w:val="bottom"/>
            <w:gridSpan w:val="5"/>
          </w:tcPr>
          <w:p>
            <w:pPr>
              <w:ind w:left="260"/>
              <w:spacing w:after="0"/>
              <w:rPr>
                <w:sz w:val="20"/>
                <w:szCs w:val="20"/>
                <w:color w:val="auto"/>
              </w:rPr>
            </w:pPr>
            <w:r>
              <w:rPr>
                <w:rFonts w:ascii="Arial" w:cs="Arial" w:eastAsia="Arial" w:hAnsi="Arial"/>
                <w:sz w:val="16"/>
                <w:szCs w:val="16"/>
                <w:b w:val="1"/>
                <w:bCs w:val="1"/>
                <w:color w:val="auto"/>
              </w:rPr>
              <w:t>Three months ended</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00" w:type="dxa"/>
            <w:vAlign w:val="bottom"/>
            <w:gridSpan w:val="5"/>
          </w:tcPr>
          <w:p>
            <w:pPr>
              <w:jc w:val="center"/>
              <w:ind w:right="220"/>
              <w:spacing w:after="0"/>
              <w:rPr>
                <w:sz w:val="20"/>
                <w:szCs w:val="20"/>
                <w:color w:val="auto"/>
              </w:rPr>
            </w:pPr>
            <w:r>
              <w:rPr>
                <w:rFonts w:ascii="Arial" w:cs="Arial" w:eastAsia="Arial" w:hAnsi="Arial"/>
                <w:sz w:val="16"/>
                <w:szCs w:val="16"/>
                <w:b w:val="1"/>
                <w:bCs w:val="1"/>
                <w:color w:val="auto"/>
                <w:w w:val="86"/>
              </w:rPr>
              <w:t>Nine months ended</w:t>
            </w:r>
          </w:p>
        </w:tc>
        <w:tc>
          <w:tcPr>
            <w:tcW w:w="1200" w:type="dxa"/>
            <w:vAlign w:val="bottom"/>
          </w:tcPr>
          <w:p>
            <w:pPr>
              <w:spacing w:after="0"/>
              <w:rPr>
                <w:sz w:val="16"/>
                <w:szCs w:val="16"/>
                <w:color w:val="auto"/>
              </w:rPr>
            </w:pPr>
          </w:p>
        </w:tc>
      </w:tr>
      <w:tr>
        <w:trPr>
          <w:trHeight w:val="204"/>
        </w:trPr>
        <w:tc>
          <w:tcPr>
            <w:tcW w:w="17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5"/>
          </w:tcPr>
          <w:p>
            <w:pPr>
              <w:ind w:left="480"/>
              <w:spacing w:after="0"/>
              <w:rPr>
                <w:sz w:val="20"/>
                <w:szCs w:val="20"/>
                <w:color w:val="auto"/>
              </w:rPr>
            </w:pPr>
            <w:r>
              <w:rPr>
                <w:rFonts w:ascii="Arial" w:cs="Arial" w:eastAsia="Arial" w:hAnsi="Arial"/>
                <w:sz w:val="16"/>
                <w:szCs w:val="16"/>
                <w:b w:val="1"/>
                <w:bCs w:val="1"/>
                <w:color w:val="auto"/>
              </w:rPr>
              <w:t>September 30,</w:t>
            </w:r>
          </w:p>
        </w:tc>
        <w:tc>
          <w:tcPr>
            <w:tcW w:w="12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5"/>
          </w:tcPr>
          <w:p>
            <w:pPr>
              <w:jc w:val="center"/>
              <w:ind w:right="200"/>
              <w:spacing w:after="0"/>
              <w:rPr>
                <w:sz w:val="20"/>
                <w:szCs w:val="20"/>
                <w:color w:val="auto"/>
              </w:rPr>
            </w:pPr>
            <w:r>
              <w:rPr>
                <w:rFonts w:ascii="Arial" w:cs="Arial" w:eastAsia="Arial" w:hAnsi="Arial"/>
                <w:sz w:val="16"/>
                <w:szCs w:val="16"/>
                <w:b w:val="1"/>
                <w:bCs w:val="1"/>
                <w:color w:val="auto"/>
                <w:w w:val="85"/>
              </w:rPr>
              <w:t>September 30,</w:t>
            </w:r>
          </w:p>
        </w:tc>
        <w:tc>
          <w:tcPr>
            <w:tcW w:w="1200" w:type="dxa"/>
            <w:vAlign w:val="bottom"/>
            <w:tcBorders>
              <w:bottom w:val="single" w:sz="8" w:color="auto"/>
            </w:tcBorders>
          </w:tcPr>
          <w:p>
            <w:pPr>
              <w:spacing w:after="0"/>
              <w:rPr>
                <w:sz w:val="17"/>
                <w:szCs w:val="17"/>
                <w:color w:val="auto"/>
              </w:rPr>
            </w:pPr>
          </w:p>
        </w:tc>
      </w:tr>
      <w:tr>
        <w:trPr>
          <w:trHeight w:val="200"/>
        </w:trPr>
        <w:tc>
          <w:tcPr>
            <w:tcW w:w="17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w w:val="91"/>
              </w:rPr>
              <w:t>$ Change</w:t>
            </w: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 Change</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w w:val="94"/>
              </w:rPr>
              <w:t>$ Change</w:t>
            </w: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rPr>
              <w:t>% Change</w:t>
            </w:r>
          </w:p>
        </w:tc>
      </w:tr>
      <w:tr>
        <w:trPr>
          <w:trHeight w:val="202"/>
        </w:trPr>
        <w:tc>
          <w:tcPr>
            <w:tcW w:w="1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Infusion Systems</w:t>
            </w: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90.7</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88.4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7"/>
                <w:szCs w:val="17"/>
                <w:color w:val="auto"/>
              </w:rPr>
            </w:pPr>
          </w:p>
        </w:tc>
        <w:tc>
          <w:tcPr>
            <w:tcW w:w="15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2.6 %  $</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3" w:name="page34"/>
    <w:bookmarkEnd w:id="3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40" w:firstLine="620"/>
        <w:spacing w:after="0" w:line="227" w:lineRule="auto"/>
        <w:rPr>
          <w:sz w:val="20"/>
          <w:szCs w:val="20"/>
          <w:color w:val="auto"/>
        </w:rPr>
      </w:pPr>
      <w:r>
        <w:rPr>
          <w:rFonts w:ascii="Arial" w:cs="Arial" w:eastAsia="Arial" w:hAnsi="Arial"/>
          <w:sz w:val="17"/>
          <w:szCs w:val="17"/>
          <w:color w:val="auto"/>
        </w:rPr>
        <w:t>Infusion Systems revenue increased for the three months ended September 30, 2021, as compared to the same period in the prior year due to higher dedicated set sales as hospital census recovered from a low level in the third quarter of 2020 driven by the onset of the COVID-19 pandemic, partially offset by lower large volume pump sales during the third quarter of 2021 and a decline in our non-large volume pump business. Infusion Systems revenue decreased for the nine months ended September 30, 2021, as compared to the same period in the prior year due to large volume pump sales driven by higher COVID-19-related purchases during the second and third quarters of 2020 and a decline in our non-large volume pump business, which has been partially offset by higher dedicated set sales in 2021 as a result of higher hospital census. For the three months ended September 30, 2021, on a constant currency basis Infusion Systems revenue would have been $91.0 million, an increase of $2.6 million or 2.9% as compared to the same period in the prior year and for the nine months ended September 30, 2021 on a constant currency basis Infusion Systems revenue would have been $257.5 million, a decrease of $10.4 million or 3.9% as compared to the same period in the prior year.</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IV Solutions</w:t>
      </w:r>
    </w:p>
    <w:p>
      <w:pPr>
        <w:spacing w:after="0" w:line="244"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following table summarizes our total IV Solutions revenue (in millions):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00" w:type="dxa"/>
            <w:vAlign w:val="bottom"/>
            <w:gridSpan w:val="5"/>
          </w:tcPr>
          <w:p>
            <w:pPr>
              <w:jc w:val="center"/>
              <w:ind w:right="220"/>
              <w:spacing w:after="0"/>
              <w:rPr>
                <w:sz w:val="20"/>
                <w:szCs w:val="20"/>
                <w:color w:val="auto"/>
              </w:rPr>
            </w:pPr>
            <w:r>
              <w:rPr>
                <w:rFonts w:ascii="Arial" w:cs="Arial" w:eastAsia="Arial" w:hAnsi="Arial"/>
                <w:sz w:val="16"/>
                <w:szCs w:val="16"/>
                <w:b w:val="1"/>
                <w:bCs w:val="1"/>
                <w:color w:val="auto"/>
                <w:w w:val="86"/>
              </w:rPr>
              <w:t>Three months ended</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00" w:type="dxa"/>
            <w:vAlign w:val="bottom"/>
            <w:gridSpan w:val="5"/>
          </w:tcPr>
          <w:p>
            <w:pPr>
              <w:jc w:val="center"/>
              <w:ind w:right="220"/>
              <w:spacing w:after="0"/>
              <w:rPr>
                <w:sz w:val="20"/>
                <w:szCs w:val="20"/>
                <w:color w:val="auto"/>
              </w:rPr>
            </w:pPr>
            <w:r>
              <w:rPr>
                <w:rFonts w:ascii="Arial" w:cs="Arial" w:eastAsia="Arial" w:hAnsi="Arial"/>
                <w:sz w:val="16"/>
                <w:szCs w:val="16"/>
                <w:b w:val="1"/>
                <w:bCs w:val="1"/>
                <w:color w:val="auto"/>
                <w:w w:val="86"/>
              </w:rPr>
              <w:t>Nine months ended</w:t>
            </w:r>
          </w:p>
        </w:tc>
        <w:tc>
          <w:tcPr>
            <w:tcW w:w="1200" w:type="dxa"/>
            <w:vAlign w:val="bottom"/>
          </w:tcPr>
          <w:p>
            <w:pPr>
              <w:spacing w:after="0"/>
              <w:rPr>
                <w:sz w:val="16"/>
                <w:szCs w:val="16"/>
                <w:color w:val="auto"/>
              </w:rPr>
            </w:pPr>
          </w:p>
        </w:tc>
      </w:tr>
      <w:tr>
        <w:trPr>
          <w:trHeight w:val="204"/>
        </w:trPr>
        <w:tc>
          <w:tcPr>
            <w:tcW w:w="17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5"/>
          </w:tcPr>
          <w:p>
            <w:pPr>
              <w:jc w:val="center"/>
              <w:ind w:right="180"/>
              <w:spacing w:after="0"/>
              <w:rPr>
                <w:sz w:val="20"/>
                <w:szCs w:val="20"/>
                <w:color w:val="auto"/>
              </w:rPr>
            </w:pPr>
            <w:r>
              <w:rPr>
                <w:rFonts w:ascii="Arial" w:cs="Arial" w:eastAsia="Arial" w:hAnsi="Arial"/>
                <w:sz w:val="16"/>
                <w:szCs w:val="16"/>
                <w:b w:val="1"/>
                <w:bCs w:val="1"/>
                <w:color w:val="auto"/>
                <w:w w:val="87"/>
              </w:rPr>
              <w:t>September 30,</w:t>
            </w:r>
          </w:p>
        </w:tc>
        <w:tc>
          <w:tcPr>
            <w:tcW w:w="12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5"/>
          </w:tcPr>
          <w:p>
            <w:pPr>
              <w:jc w:val="center"/>
              <w:ind w:right="200"/>
              <w:spacing w:after="0"/>
              <w:rPr>
                <w:sz w:val="20"/>
                <w:szCs w:val="20"/>
                <w:color w:val="auto"/>
              </w:rPr>
            </w:pPr>
            <w:r>
              <w:rPr>
                <w:rFonts w:ascii="Arial" w:cs="Arial" w:eastAsia="Arial" w:hAnsi="Arial"/>
                <w:sz w:val="16"/>
                <w:szCs w:val="16"/>
                <w:b w:val="1"/>
                <w:bCs w:val="1"/>
                <w:color w:val="auto"/>
                <w:w w:val="85"/>
              </w:rPr>
              <w:t>September 30,</w:t>
            </w:r>
          </w:p>
        </w:tc>
        <w:tc>
          <w:tcPr>
            <w:tcW w:w="1200" w:type="dxa"/>
            <w:vAlign w:val="bottom"/>
            <w:tcBorders>
              <w:bottom w:val="single" w:sz="8" w:color="auto"/>
            </w:tcBorders>
          </w:tcPr>
          <w:p>
            <w:pPr>
              <w:spacing w:after="0"/>
              <w:rPr>
                <w:sz w:val="17"/>
                <w:szCs w:val="17"/>
                <w:color w:val="auto"/>
              </w:rPr>
            </w:pPr>
          </w:p>
        </w:tc>
      </w:tr>
      <w:tr>
        <w:trPr>
          <w:trHeight w:val="200"/>
        </w:trPr>
        <w:tc>
          <w:tcPr>
            <w:tcW w:w="17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w w:val="91"/>
              </w:rPr>
              <w:t>$ Change</w:t>
            </w: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color w:val="auto"/>
              </w:rPr>
              <w:t>% Change</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w w:val="94"/>
              </w:rPr>
              <w:t>$ Change</w:t>
            </w: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rPr>
              <w:t>% Change</w:t>
            </w:r>
          </w:p>
        </w:tc>
      </w:tr>
      <w:tr>
        <w:trPr>
          <w:trHeight w:val="202"/>
        </w:trPr>
        <w:tc>
          <w:tcPr>
            <w:tcW w:w="1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IV Solutions</w:t>
            </w: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89.2</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101.9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100" w:type="dxa"/>
            <w:vAlign w:val="bottom"/>
            <w:shd w:val="clear" w:color="auto" w:fill="CCEEFF"/>
          </w:tcPr>
          <w:p>
            <w:pPr>
              <w:spacing w:after="0"/>
              <w:rPr>
                <w:sz w:val="17"/>
                <w:szCs w:val="17"/>
                <w:color w:val="auto"/>
              </w:rPr>
            </w:pPr>
          </w:p>
        </w:tc>
        <w:tc>
          <w:tcPr>
            <w:tcW w:w="15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(12.5)%  $</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r>
    </w:tbl>
    <w:p>
      <w:pPr>
        <w:spacing w:after="0" w:line="272" w:lineRule="exact"/>
        <w:rPr>
          <w:sz w:val="20"/>
          <w:szCs w:val="20"/>
          <w:color w:val="auto"/>
        </w:rPr>
      </w:pPr>
    </w:p>
    <w:p>
      <w:pPr>
        <w:ind w:right="40" w:firstLine="620"/>
        <w:spacing w:after="0" w:line="283" w:lineRule="auto"/>
        <w:rPr>
          <w:sz w:val="20"/>
          <w:szCs w:val="20"/>
          <w:color w:val="auto"/>
        </w:rPr>
      </w:pPr>
      <w:r>
        <w:rPr>
          <w:rFonts w:ascii="Arial" w:cs="Arial" w:eastAsia="Arial" w:hAnsi="Arial"/>
          <w:sz w:val="17"/>
          <w:szCs w:val="17"/>
          <w:color w:val="auto"/>
        </w:rPr>
        <w:t>IV Solutions revenue decreased for the three and nine months ended September 30, 2021, as compared to the same periods in the prior year primarily due to lower contract manufacturing sales to Pfizer.</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Critical Care</w:t>
      </w:r>
    </w:p>
    <w:p>
      <w:pPr>
        <w:spacing w:after="0" w:line="244"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following table summarizes our total Critical Care revenue (in millions):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00" w:type="dxa"/>
            <w:vAlign w:val="bottom"/>
            <w:gridSpan w:val="5"/>
          </w:tcPr>
          <w:p>
            <w:pPr>
              <w:ind w:left="260"/>
              <w:spacing w:after="0"/>
              <w:rPr>
                <w:sz w:val="20"/>
                <w:szCs w:val="20"/>
                <w:color w:val="auto"/>
              </w:rPr>
            </w:pPr>
            <w:r>
              <w:rPr>
                <w:rFonts w:ascii="Arial" w:cs="Arial" w:eastAsia="Arial" w:hAnsi="Arial"/>
                <w:sz w:val="16"/>
                <w:szCs w:val="16"/>
                <w:b w:val="1"/>
                <w:bCs w:val="1"/>
                <w:color w:val="auto"/>
              </w:rPr>
              <w:t>Three months ended</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gridSpan w:val="4"/>
          </w:tcPr>
          <w:p>
            <w:pPr>
              <w:jc w:val="right"/>
              <w:ind w:right="2"/>
              <w:spacing w:after="0"/>
              <w:rPr>
                <w:sz w:val="20"/>
                <w:szCs w:val="20"/>
                <w:color w:val="auto"/>
              </w:rPr>
            </w:pPr>
            <w:r>
              <w:rPr>
                <w:rFonts w:ascii="Arial" w:cs="Arial" w:eastAsia="Arial" w:hAnsi="Arial"/>
                <w:sz w:val="16"/>
                <w:szCs w:val="16"/>
                <w:b w:val="1"/>
                <w:bCs w:val="1"/>
                <w:color w:val="auto"/>
              </w:rPr>
              <w:t>Nine months ended</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04"/>
        </w:trPr>
        <w:tc>
          <w:tcPr>
            <w:tcW w:w="17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5"/>
          </w:tcPr>
          <w:p>
            <w:pPr>
              <w:ind w:left="480"/>
              <w:spacing w:after="0"/>
              <w:rPr>
                <w:sz w:val="20"/>
                <w:szCs w:val="20"/>
                <w:color w:val="auto"/>
              </w:rPr>
            </w:pPr>
            <w:r>
              <w:rPr>
                <w:rFonts w:ascii="Arial" w:cs="Arial" w:eastAsia="Arial" w:hAnsi="Arial"/>
                <w:sz w:val="16"/>
                <w:szCs w:val="16"/>
                <w:b w:val="1"/>
                <w:bCs w:val="1"/>
                <w:color w:val="auto"/>
              </w:rPr>
              <w:t>September 30,</w:t>
            </w:r>
          </w:p>
        </w:tc>
        <w:tc>
          <w:tcPr>
            <w:tcW w:w="12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September 30,</w:t>
            </w:r>
          </w:p>
        </w:tc>
        <w:tc>
          <w:tcPr>
            <w:tcW w:w="3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200"/>
        </w:trPr>
        <w:tc>
          <w:tcPr>
            <w:tcW w:w="1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ind w:right="302"/>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ind w:right="30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ind w:left="60"/>
              <w:spacing w:after="0"/>
              <w:rPr>
                <w:sz w:val="20"/>
                <w:szCs w:val="20"/>
                <w:color w:val="auto"/>
              </w:rPr>
            </w:pPr>
            <w:r>
              <w:rPr>
                <w:rFonts w:ascii="Arial" w:cs="Arial" w:eastAsia="Arial" w:hAnsi="Arial"/>
                <w:sz w:val="16"/>
                <w:szCs w:val="16"/>
                <w:b w:val="1"/>
                <w:bCs w:val="1"/>
                <w:color w:val="auto"/>
              </w:rPr>
              <w:t>$ Change</w:t>
            </w:r>
          </w:p>
        </w:tc>
        <w:tc>
          <w:tcPr>
            <w:tcW w:w="1200" w:type="dxa"/>
            <w:vAlign w:val="bottom"/>
          </w:tcPr>
          <w:p>
            <w:pPr>
              <w:jc w:val="right"/>
              <w:ind w:right="182"/>
              <w:spacing w:after="0"/>
              <w:rPr>
                <w:sz w:val="20"/>
                <w:szCs w:val="20"/>
                <w:color w:val="auto"/>
              </w:rPr>
            </w:pPr>
            <w:r>
              <w:rPr>
                <w:rFonts w:ascii="Arial" w:cs="Arial" w:eastAsia="Arial" w:hAnsi="Arial"/>
                <w:sz w:val="16"/>
                <w:szCs w:val="16"/>
                <w:b w:val="1"/>
                <w:bCs w:val="1"/>
                <w:color w:val="auto"/>
              </w:rPr>
              <w:t>% Change</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2021</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3"/>
          </w:tcPr>
          <w:p>
            <w:pPr>
              <w:ind w:left="240"/>
              <w:spacing w:after="0"/>
              <w:rPr>
                <w:sz w:val="20"/>
                <w:szCs w:val="20"/>
                <w:color w:val="auto"/>
              </w:rPr>
            </w:pPr>
            <w:r>
              <w:rPr>
                <w:rFonts w:ascii="Arial" w:cs="Arial" w:eastAsia="Arial" w:hAnsi="Arial"/>
                <w:sz w:val="16"/>
                <w:szCs w:val="16"/>
                <w:b w:val="1"/>
                <w:bCs w:val="1"/>
                <w:color w:val="auto"/>
              </w:rPr>
              <w:t>$ Change</w:t>
            </w:r>
          </w:p>
        </w:tc>
        <w:tc>
          <w:tcPr>
            <w:tcW w:w="1200" w:type="dxa"/>
            <w:vAlign w:val="bottom"/>
          </w:tcPr>
          <w:p>
            <w:pPr>
              <w:jc w:val="right"/>
              <w:ind w:right="162"/>
              <w:spacing w:after="0"/>
              <w:rPr>
                <w:sz w:val="20"/>
                <w:szCs w:val="20"/>
                <w:color w:val="auto"/>
              </w:rPr>
            </w:pPr>
            <w:r>
              <w:rPr>
                <w:rFonts w:ascii="Arial" w:cs="Arial" w:eastAsia="Arial" w:hAnsi="Arial"/>
                <w:sz w:val="16"/>
                <w:szCs w:val="16"/>
                <w:b w:val="1"/>
                <w:bCs w:val="1"/>
                <w:color w:val="auto"/>
              </w:rPr>
              <w:t>% Change</w:t>
            </w:r>
          </w:p>
        </w:tc>
      </w:tr>
      <w:tr>
        <w:trPr>
          <w:trHeight w:val="202"/>
        </w:trPr>
        <w:tc>
          <w:tcPr>
            <w:tcW w:w="1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Critical Care</w:t>
            </w:r>
          </w:p>
        </w:tc>
        <w:tc>
          <w:tcPr>
            <w:tcW w:w="240" w:type="dxa"/>
            <w:vAlign w:val="bottom"/>
            <w:tcBorders>
              <w:top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11.3</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rPr>
              <w:t>12.2</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ind w:right="522"/>
              <w:spacing w:after="0"/>
              <w:rPr>
                <w:sz w:val="20"/>
                <w:szCs w:val="20"/>
                <w:color w:val="auto"/>
              </w:rPr>
            </w:pPr>
            <w:r>
              <w:rPr>
                <w:rFonts w:ascii="Arial" w:cs="Arial" w:eastAsia="Arial" w:hAnsi="Arial"/>
                <w:sz w:val="16"/>
                <w:szCs w:val="16"/>
                <w:color w:val="auto"/>
                <w:w w:val="8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36.8</w:t>
            </w:r>
          </w:p>
        </w:tc>
        <w:tc>
          <w:tcPr>
            <w:tcW w:w="1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ind w:right="522"/>
              <w:spacing w:after="0"/>
              <w:rPr>
                <w:sz w:val="20"/>
                <w:szCs w:val="20"/>
                <w:color w:val="auto"/>
              </w:rPr>
            </w:pPr>
            <w:r>
              <w:rPr>
                <w:rFonts w:ascii="Arial" w:cs="Arial" w:eastAsia="Arial" w:hAnsi="Arial"/>
                <w:sz w:val="16"/>
                <w:szCs w:val="16"/>
                <w:color w:val="auto"/>
                <w:w w:val="89"/>
              </w:rPr>
              <w:t>$</w:t>
            </w:r>
          </w:p>
        </w:tc>
        <w:tc>
          <w:tcPr>
            <w:tcW w:w="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36.7</w:t>
            </w:r>
          </w:p>
        </w:tc>
        <w:tc>
          <w:tcPr>
            <w:tcW w:w="1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ind w:right="562"/>
              <w:spacing w:after="0"/>
              <w:rPr>
                <w:sz w:val="20"/>
                <w:szCs w:val="20"/>
                <w:color w:val="auto"/>
              </w:rPr>
            </w:pPr>
            <w:r>
              <w:rPr>
                <w:rFonts w:ascii="Arial" w:cs="Arial" w:eastAsia="Arial" w:hAnsi="Arial"/>
                <w:sz w:val="16"/>
                <w:szCs w:val="16"/>
                <w:color w:val="auto"/>
                <w:w w:val="8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0.3 %</w:t>
            </w:r>
          </w:p>
        </w:tc>
      </w:tr>
    </w:tbl>
    <w:p>
      <w:pPr>
        <w:spacing w:after="0" w:line="285" w:lineRule="exact"/>
        <w:rPr>
          <w:sz w:val="20"/>
          <w:szCs w:val="20"/>
          <w:color w:val="auto"/>
        </w:rPr>
      </w:pPr>
    </w:p>
    <w:p>
      <w:pPr>
        <w:ind w:right="540" w:firstLine="620"/>
        <w:spacing w:after="0" w:line="283" w:lineRule="auto"/>
        <w:rPr>
          <w:sz w:val="20"/>
          <w:szCs w:val="20"/>
          <w:color w:val="auto"/>
        </w:rPr>
      </w:pPr>
      <w:r>
        <w:rPr>
          <w:rFonts w:ascii="Arial" w:cs="Arial" w:eastAsia="Arial" w:hAnsi="Arial"/>
          <w:sz w:val="17"/>
          <w:szCs w:val="17"/>
          <w:color w:val="auto"/>
        </w:rPr>
        <w:t>Critical Care revenue slightly decreased for the three months ended September 30, 2021, as compared to the same period in the prior year and was essentially flat for the nine months ended September 30, 2021, as compared to the same period in the prior year.</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Gross Margins</w:t>
      </w:r>
    </w:p>
    <w:p>
      <w:pPr>
        <w:spacing w:after="0" w:line="244" w:lineRule="exact"/>
        <w:rPr>
          <w:sz w:val="20"/>
          <w:szCs w:val="20"/>
          <w:color w:val="auto"/>
        </w:rPr>
      </w:pPr>
    </w:p>
    <w:p>
      <w:pPr>
        <w:ind w:right="160" w:firstLine="172"/>
        <w:spacing w:after="0" w:line="300" w:lineRule="auto"/>
        <w:rPr>
          <w:sz w:val="20"/>
          <w:szCs w:val="20"/>
          <w:color w:val="auto"/>
        </w:rPr>
      </w:pPr>
      <w:r>
        <w:rPr>
          <w:rFonts w:ascii="Arial" w:cs="Arial" w:eastAsia="Arial" w:hAnsi="Arial"/>
          <w:sz w:val="15"/>
          <w:szCs w:val="15"/>
          <w:color w:val="auto"/>
        </w:rPr>
        <w:t>For the three and nine months ended September 30, 2021, gross margins were 38.0% and 37.3%, respectively, as compared to 35.8% and 35.9%, respectively, for the three and nine months ended September 30, 2020. The increase in gross margin for the three months ended September 30, 2021, as compared to the same period in the prior year was primarily due to product mix and increased plant volumes, offset by increased costs for raw materials, direct labor and freight. The increase in gross margin for the nine months ended September 30, 2021, as compared to the same period in the prior year was primarily due to product mix and increased plant volumes, offset by capitalized manufacturing variances from the shutdown of our Austin plant in the fourth quarter of 2020, additional weather-related costs at our Austin plant during the first quarter of 2021 and increased costs for raw materials, direct labor and freight.</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Selling, General and Administrative (“SG&amp;A”) Expenses</w:t>
      </w:r>
    </w:p>
    <w:p>
      <w:pPr>
        <w:spacing w:after="0" w:line="244"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following table summarizes our total SG&amp;A Expenses (in millions):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4" w:name="page35"/>
    <w:bookmarkEnd w:id="3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00" w:type="dxa"/>
            <w:vAlign w:val="bottom"/>
            <w:gridSpan w:val="5"/>
          </w:tcPr>
          <w:p>
            <w:pPr>
              <w:ind w:left="260"/>
              <w:spacing w:after="0"/>
              <w:rPr>
                <w:sz w:val="20"/>
                <w:szCs w:val="20"/>
                <w:color w:val="auto"/>
              </w:rPr>
            </w:pPr>
            <w:r>
              <w:rPr>
                <w:rFonts w:ascii="Arial" w:cs="Arial" w:eastAsia="Arial" w:hAnsi="Arial"/>
                <w:sz w:val="16"/>
                <w:szCs w:val="16"/>
                <w:b w:val="1"/>
                <w:bCs w:val="1"/>
                <w:color w:val="auto"/>
              </w:rPr>
              <w:t>Three months ended</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00" w:type="dxa"/>
            <w:vAlign w:val="bottom"/>
            <w:gridSpan w:val="5"/>
          </w:tcPr>
          <w:p>
            <w:pPr>
              <w:jc w:val="center"/>
              <w:ind w:right="220"/>
              <w:spacing w:after="0"/>
              <w:rPr>
                <w:sz w:val="20"/>
                <w:szCs w:val="20"/>
                <w:color w:val="auto"/>
              </w:rPr>
            </w:pPr>
            <w:r>
              <w:rPr>
                <w:rFonts w:ascii="Arial" w:cs="Arial" w:eastAsia="Arial" w:hAnsi="Arial"/>
                <w:sz w:val="16"/>
                <w:szCs w:val="16"/>
                <w:b w:val="1"/>
                <w:bCs w:val="1"/>
                <w:color w:val="auto"/>
                <w:w w:val="86"/>
              </w:rPr>
              <w:t>Nine months ended</w:t>
            </w:r>
          </w:p>
        </w:tc>
        <w:tc>
          <w:tcPr>
            <w:tcW w:w="1200" w:type="dxa"/>
            <w:vAlign w:val="bottom"/>
          </w:tcPr>
          <w:p>
            <w:pPr>
              <w:spacing w:after="0"/>
              <w:rPr>
                <w:sz w:val="16"/>
                <w:szCs w:val="16"/>
                <w:color w:val="auto"/>
              </w:rPr>
            </w:pPr>
          </w:p>
        </w:tc>
      </w:tr>
      <w:tr>
        <w:trPr>
          <w:trHeight w:val="204"/>
        </w:trPr>
        <w:tc>
          <w:tcPr>
            <w:tcW w:w="17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5"/>
          </w:tcPr>
          <w:p>
            <w:pPr>
              <w:ind w:left="480"/>
              <w:spacing w:after="0"/>
              <w:rPr>
                <w:sz w:val="20"/>
                <w:szCs w:val="20"/>
                <w:color w:val="auto"/>
              </w:rPr>
            </w:pPr>
            <w:r>
              <w:rPr>
                <w:rFonts w:ascii="Arial" w:cs="Arial" w:eastAsia="Arial" w:hAnsi="Arial"/>
                <w:sz w:val="16"/>
                <w:szCs w:val="16"/>
                <w:b w:val="1"/>
                <w:bCs w:val="1"/>
                <w:color w:val="auto"/>
              </w:rPr>
              <w:t>September 30,</w:t>
            </w:r>
          </w:p>
        </w:tc>
        <w:tc>
          <w:tcPr>
            <w:tcW w:w="12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5"/>
          </w:tcPr>
          <w:p>
            <w:pPr>
              <w:jc w:val="center"/>
              <w:ind w:right="200"/>
              <w:spacing w:after="0"/>
              <w:rPr>
                <w:sz w:val="20"/>
                <w:szCs w:val="20"/>
                <w:color w:val="auto"/>
              </w:rPr>
            </w:pPr>
            <w:r>
              <w:rPr>
                <w:rFonts w:ascii="Arial" w:cs="Arial" w:eastAsia="Arial" w:hAnsi="Arial"/>
                <w:sz w:val="16"/>
                <w:szCs w:val="16"/>
                <w:b w:val="1"/>
                <w:bCs w:val="1"/>
                <w:color w:val="auto"/>
                <w:w w:val="85"/>
              </w:rPr>
              <w:t>September 30,</w:t>
            </w:r>
          </w:p>
        </w:tc>
        <w:tc>
          <w:tcPr>
            <w:tcW w:w="1200" w:type="dxa"/>
            <w:vAlign w:val="bottom"/>
            <w:tcBorders>
              <w:bottom w:val="single" w:sz="8" w:color="auto"/>
            </w:tcBorders>
          </w:tcPr>
          <w:p>
            <w:pPr>
              <w:spacing w:after="0"/>
              <w:rPr>
                <w:sz w:val="17"/>
                <w:szCs w:val="17"/>
                <w:color w:val="auto"/>
              </w:rPr>
            </w:pPr>
          </w:p>
        </w:tc>
      </w:tr>
      <w:tr>
        <w:trPr>
          <w:trHeight w:val="200"/>
        </w:trPr>
        <w:tc>
          <w:tcPr>
            <w:tcW w:w="17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w w:val="91"/>
              </w:rPr>
              <w:t>$ Change</w:t>
            </w: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 Change</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w w:val="94"/>
              </w:rPr>
              <w:t>$ Change</w:t>
            </w: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rPr>
              <w:t>% Change</w:t>
            </w:r>
          </w:p>
        </w:tc>
      </w:tr>
      <w:tr>
        <w:trPr>
          <w:trHeight w:val="202"/>
        </w:trPr>
        <w:tc>
          <w:tcPr>
            <w:tcW w:w="1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SG&amp;A</w:t>
            </w: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74.8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70.9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3.9</w:t>
            </w:r>
          </w:p>
        </w:tc>
        <w:tc>
          <w:tcPr>
            <w:tcW w:w="100" w:type="dxa"/>
            <w:vAlign w:val="bottom"/>
            <w:shd w:val="clear" w:color="auto" w:fill="CCEEFF"/>
          </w:tcPr>
          <w:p>
            <w:pPr>
              <w:spacing w:after="0"/>
              <w:rPr>
                <w:sz w:val="17"/>
                <w:szCs w:val="17"/>
                <w:color w:val="auto"/>
              </w:rPr>
            </w:pPr>
          </w:p>
        </w:tc>
        <w:tc>
          <w:tcPr>
            <w:tcW w:w="15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5.5 %  $</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5.1 %</w:t>
            </w:r>
          </w:p>
        </w:tc>
      </w:tr>
    </w:tbl>
    <w:p>
      <w:pPr>
        <w:spacing w:after="0" w:line="272" w:lineRule="exact"/>
        <w:rPr>
          <w:sz w:val="20"/>
          <w:szCs w:val="20"/>
          <w:color w:val="auto"/>
        </w:rPr>
      </w:pPr>
    </w:p>
    <w:p>
      <w:pPr>
        <w:ind w:left="620"/>
        <w:spacing w:after="0"/>
        <w:rPr>
          <w:sz w:val="20"/>
          <w:szCs w:val="20"/>
          <w:color w:val="auto"/>
        </w:rPr>
      </w:pPr>
      <w:r>
        <w:rPr>
          <w:rFonts w:ascii="Arial" w:cs="Arial" w:eastAsia="Arial" w:hAnsi="Arial"/>
          <w:sz w:val="15"/>
          <w:szCs w:val="15"/>
          <w:color w:val="auto"/>
        </w:rPr>
        <w:t>SG&amp;A expenses increased for the three and nine months ended September 30, 2021, as compared to the same periods in the prior year. For the three</w:t>
      </w:r>
    </w:p>
    <w:p>
      <w:pPr>
        <w:spacing w:after="0" w:line="47" w:lineRule="exact"/>
        <w:rPr>
          <w:sz w:val="20"/>
          <w:szCs w:val="20"/>
          <w:color w:val="auto"/>
        </w:rPr>
      </w:pPr>
    </w:p>
    <w:p>
      <w:pPr>
        <w:spacing w:after="0"/>
        <w:rPr>
          <w:sz w:val="20"/>
          <w:szCs w:val="20"/>
          <w:color w:val="auto"/>
        </w:rPr>
      </w:pPr>
      <w:r>
        <w:rPr>
          <w:rFonts w:ascii="Arial" w:cs="Arial" w:eastAsia="Arial" w:hAnsi="Arial"/>
          <w:sz w:val="15"/>
          <w:szCs w:val="15"/>
          <w:color w:val="auto"/>
        </w:rPr>
        <w:t>months ended September 30, 2021 as compared to the same period in the prior year, the increases were primarily due to compensation expense which increased</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$3.4 million and commissions which increased $1.4 million. Offsetting these increases was a decrease of $2.6 million in bad debt expense. Compensation expense</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increased primarily due to increased headcount and annual compensation merit increases. Commissions increased due to an increase in revenue. Bad debt expense</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is adjusted quarterly, if deemed necessary, based on an assessment of our accounts receivables and our expectations regarding the collectability of those accounts.</w:t>
      </w:r>
    </w:p>
    <w:p>
      <w:pPr>
        <w:spacing w:after="0" w:line="254" w:lineRule="exact"/>
        <w:rPr>
          <w:sz w:val="20"/>
          <w:szCs w:val="20"/>
          <w:color w:val="auto"/>
        </w:rPr>
      </w:pPr>
    </w:p>
    <w:p>
      <w:pPr>
        <w:ind w:right="60" w:firstLine="620"/>
        <w:spacing w:after="0" w:line="278" w:lineRule="auto"/>
        <w:rPr>
          <w:sz w:val="20"/>
          <w:szCs w:val="20"/>
          <w:color w:val="auto"/>
        </w:rPr>
      </w:pPr>
      <w:r>
        <w:rPr>
          <w:rFonts w:ascii="Arial" w:cs="Arial" w:eastAsia="Arial" w:hAnsi="Arial"/>
          <w:sz w:val="16"/>
          <w:szCs w:val="16"/>
          <w:color w:val="auto"/>
        </w:rPr>
        <w:t>For the nine months ended September 30, 2021, as compared to the same period in the prior year, the increases were primarily due to compensation expense which increased $6.3 million, dealer fees which increased $2.9 million, and legal expenses which increased $2.0 million. Offsetting these increases was a $2.3 million decrease in bad debt expense. Compensation expense increased primarily due to increased headcount and annual compensation merit increases. Dealer fees increased due to an increase in revenue from U.S. distributors in the current year. Legal fees increased due to additional services performed in the current year related to various legal matters. Bad debt expense is adjusted quarterly, if deemed necessary, based on an assessment of our accounts receivables and our expectations regarding the collectability of those accounts.</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(“R&amp;D”) Expenses</w:t>
      </w:r>
    </w:p>
    <w:p>
      <w:pPr>
        <w:spacing w:after="0" w:line="244"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following table summarizes our total R&amp;D Expenses (in millions):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00" w:type="dxa"/>
            <w:vAlign w:val="bottom"/>
            <w:gridSpan w:val="5"/>
          </w:tcPr>
          <w:p>
            <w:pPr>
              <w:ind w:left="260"/>
              <w:spacing w:after="0"/>
              <w:rPr>
                <w:sz w:val="20"/>
                <w:szCs w:val="20"/>
                <w:color w:val="auto"/>
              </w:rPr>
            </w:pPr>
            <w:r>
              <w:rPr>
                <w:rFonts w:ascii="Arial" w:cs="Arial" w:eastAsia="Arial" w:hAnsi="Arial"/>
                <w:sz w:val="16"/>
                <w:szCs w:val="16"/>
                <w:b w:val="1"/>
                <w:bCs w:val="1"/>
                <w:color w:val="auto"/>
              </w:rPr>
              <w:t>Three months ended</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gridSpan w:val="4"/>
          </w:tcPr>
          <w:p>
            <w:pPr>
              <w:jc w:val="right"/>
              <w:ind w:right="2"/>
              <w:spacing w:after="0"/>
              <w:rPr>
                <w:sz w:val="20"/>
                <w:szCs w:val="20"/>
                <w:color w:val="auto"/>
              </w:rPr>
            </w:pPr>
            <w:r>
              <w:rPr>
                <w:rFonts w:ascii="Arial" w:cs="Arial" w:eastAsia="Arial" w:hAnsi="Arial"/>
                <w:sz w:val="16"/>
                <w:szCs w:val="16"/>
                <w:b w:val="1"/>
                <w:bCs w:val="1"/>
                <w:color w:val="auto"/>
              </w:rPr>
              <w:t>Nine months ended</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04"/>
        </w:trPr>
        <w:tc>
          <w:tcPr>
            <w:tcW w:w="17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5"/>
          </w:tcPr>
          <w:p>
            <w:pPr>
              <w:ind w:left="480"/>
              <w:spacing w:after="0"/>
              <w:rPr>
                <w:sz w:val="20"/>
                <w:szCs w:val="20"/>
                <w:color w:val="auto"/>
              </w:rPr>
            </w:pPr>
            <w:r>
              <w:rPr>
                <w:rFonts w:ascii="Arial" w:cs="Arial" w:eastAsia="Arial" w:hAnsi="Arial"/>
                <w:sz w:val="16"/>
                <w:szCs w:val="16"/>
                <w:b w:val="1"/>
                <w:bCs w:val="1"/>
                <w:color w:val="auto"/>
              </w:rPr>
              <w:t>September 30,</w:t>
            </w:r>
          </w:p>
        </w:tc>
        <w:tc>
          <w:tcPr>
            <w:tcW w:w="12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September 30,</w:t>
            </w:r>
          </w:p>
        </w:tc>
        <w:tc>
          <w:tcPr>
            <w:tcW w:w="3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200"/>
        </w:trPr>
        <w:tc>
          <w:tcPr>
            <w:tcW w:w="1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ind w:right="302"/>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ind w:right="30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ind w:left="60"/>
              <w:spacing w:after="0"/>
              <w:rPr>
                <w:sz w:val="20"/>
                <w:szCs w:val="20"/>
                <w:color w:val="auto"/>
              </w:rPr>
            </w:pPr>
            <w:r>
              <w:rPr>
                <w:rFonts w:ascii="Arial" w:cs="Arial" w:eastAsia="Arial" w:hAnsi="Arial"/>
                <w:sz w:val="16"/>
                <w:szCs w:val="16"/>
                <w:b w:val="1"/>
                <w:bCs w:val="1"/>
                <w:color w:val="auto"/>
              </w:rPr>
              <w:t>$ Change</w:t>
            </w:r>
          </w:p>
        </w:tc>
        <w:tc>
          <w:tcPr>
            <w:tcW w:w="1200" w:type="dxa"/>
            <w:vAlign w:val="bottom"/>
          </w:tcPr>
          <w:p>
            <w:pPr>
              <w:jc w:val="right"/>
              <w:ind w:right="182"/>
              <w:spacing w:after="0"/>
              <w:rPr>
                <w:sz w:val="20"/>
                <w:szCs w:val="20"/>
                <w:color w:val="auto"/>
              </w:rPr>
            </w:pPr>
            <w:r>
              <w:rPr>
                <w:rFonts w:ascii="Arial" w:cs="Arial" w:eastAsia="Arial" w:hAnsi="Arial"/>
                <w:sz w:val="16"/>
                <w:szCs w:val="16"/>
                <w:b w:val="1"/>
                <w:bCs w:val="1"/>
                <w:color w:val="auto"/>
              </w:rPr>
              <w:t>% Change</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2021</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3"/>
          </w:tcPr>
          <w:p>
            <w:pPr>
              <w:ind w:left="240"/>
              <w:spacing w:after="0"/>
              <w:rPr>
                <w:sz w:val="20"/>
                <w:szCs w:val="20"/>
                <w:color w:val="auto"/>
              </w:rPr>
            </w:pPr>
            <w:r>
              <w:rPr>
                <w:rFonts w:ascii="Arial" w:cs="Arial" w:eastAsia="Arial" w:hAnsi="Arial"/>
                <w:sz w:val="16"/>
                <w:szCs w:val="16"/>
                <w:b w:val="1"/>
                <w:bCs w:val="1"/>
                <w:color w:val="auto"/>
              </w:rPr>
              <w:t>$ Change</w:t>
            </w:r>
          </w:p>
        </w:tc>
        <w:tc>
          <w:tcPr>
            <w:tcW w:w="1200" w:type="dxa"/>
            <w:vAlign w:val="bottom"/>
          </w:tcPr>
          <w:p>
            <w:pPr>
              <w:jc w:val="right"/>
              <w:ind w:right="162"/>
              <w:spacing w:after="0"/>
              <w:rPr>
                <w:sz w:val="20"/>
                <w:szCs w:val="20"/>
                <w:color w:val="auto"/>
              </w:rPr>
            </w:pPr>
            <w:r>
              <w:rPr>
                <w:rFonts w:ascii="Arial" w:cs="Arial" w:eastAsia="Arial" w:hAnsi="Arial"/>
                <w:sz w:val="16"/>
                <w:szCs w:val="16"/>
                <w:b w:val="1"/>
                <w:bCs w:val="1"/>
                <w:color w:val="auto"/>
              </w:rPr>
              <w:t>% Change</w:t>
            </w:r>
          </w:p>
        </w:tc>
      </w:tr>
      <w:tr>
        <w:trPr>
          <w:trHeight w:val="202"/>
        </w:trPr>
        <w:tc>
          <w:tcPr>
            <w:tcW w:w="1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R&amp;D</w:t>
            </w:r>
          </w:p>
        </w:tc>
        <w:tc>
          <w:tcPr>
            <w:tcW w:w="240" w:type="dxa"/>
            <w:vAlign w:val="bottom"/>
            <w:tcBorders>
              <w:top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12.2</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rPr>
              <w:t>10.1</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2.1</w:t>
            </w:r>
          </w:p>
        </w:tc>
        <w:tc>
          <w:tcPr>
            <w:tcW w:w="1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20.8 %</w:t>
            </w:r>
          </w:p>
        </w:tc>
        <w:tc>
          <w:tcPr>
            <w:tcW w:w="1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ind w:right="522"/>
              <w:spacing w:after="0"/>
              <w:rPr>
                <w:sz w:val="20"/>
                <w:szCs w:val="20"/>
                <w:color w:val="auto"/>
              </w:rPr>
            </w:pPr>
            <w:r>
              <w:rPr>
                <w:rFonts w:ascii="Arial" w:cs="Arial" w:eastAsia="Arial" w:hAnsi="Arial"/>
                <w:sz w:val="16"/>
                <w:szCs w:val="16"/>
                <w:color w:val="auto"/>
                <w:w w:val="8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34.3</w:t>
            </w:r>
          </w:p>
        </w:tc>
        <w:tc>
          <w:tcPr>
            <w:tcW w:w="1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ind w:right="522"/>
              <w:spacing w:after="0"/>
              <w:rPr>
                <w:sz w:val="20"/>
                <w:szCs w:val="20"/>
                <w:color w:val="auto"/>
              </w:rPr>
            </w:pPr>
            <w:r>
              <w:rPr>
                <w:rFonts w:ascii="Arial" w:cs="Arial" w:eastAsia="Arial" w:hAnsi="Arial"/>
                <w:sz w:val="16"/>
                <w:szCs w:val="16"/>
                <w:color w:val="auto"/>
                <w:w w:val="89"/>
              </w:rPr>
              <w:t>$</w:t>
            </w:r>
          </w:p>
        </w:tc>
        <w:tc>
          <w:tcPr>
            <w:tcW w:w="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31.2</w:t>
            </w:r>
          </w:p>
        </w:tc>
        <w:tc>
          <w:tcPr>
            <w:tcW w:w="1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ind w:right="562"/>
              <w:spacing w:after="0"/>
              <w:rPr>
                <w:sz w:val="20"/>
                <w:szCs w:val="20"/>
                <w:color w:val="auto"/>
              </w:rPr>
            </w:pPr>
            <w:r>
              <w:rPr>
                <w:rFonts w:ascii="Arial" w:cs="Arial" w:eastAsia="Arial" w:hAnsi="Arial"/>
                <w:sz w:val="16"/>
                <w:szCs w:val="16"/>
                <w:color w:val="auto"/>
                <w:w w:val="8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9.9 %</w:t>
            </w:r>
          </w:p>
        </w:tc>
      </w:tr>
    </w:tbl>
    <w:p>
      <w:pPr>
        <w:spacing w:after="0" w:line="285" w:lineRule="exact"/>
        <w:rPr>
          <w:sz w:val="20"/>
          <w:szCs w:val="20"/>
          <w:color w:val="auto"/>
        </w:rPr>
      </w:pPr>
    </w:p>
    <w:p>
      <w:pPr>
        <w:ind w:right="180" w:firstLine="620"/>
        <w:spacing w:after="0" w:line="353" w:lineRule="auto"/>
        <w:rPr>
          <w:sz w:val="20"/>
          <w:szCs w:val="20"/>
          <w:color w:val="auto"/>
        </w:rPr>
      </w:pPr>
      <w:r>
        <w:rPr>
          <w:rFonts w:ascii="Arial" w:cs="Arial" w:eastAsia="Arial" w:hAnsi="Arial"/>
          <w:sz w:val="15"/>
          <w:szCs w:val="15"/>
          <w:color w:val="auto"/>
        </w:rPr>
        <w:t>R&amp;D expenses increased for the three and nine months ended September 30, 2021, as compared to the same periods in the prior year, due to timing and nature of various R&amp;D projects. R&amp;D expenses during both periods primarily relates to compensation and related benefit expenses on current R&amp;D projects.</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Restructuring and Strategic Transaction and Integration Expenses</w:t>
      </w:r>
    </w:p>
    <w:p>
      <w:pPr>
        <w:spacing w:after="0" w:line="244" w:lineRule="exact"/>
        <w:rPr>
          <w:sz w:val="20"/>
          <w:szCs w:val="20"/>
          <w:color w:val="auto"/>
        </w:rPr>
      </w:pPr>
    </w:p>
    <w:p>
      <w:pPr>
        <w:ind w:right="240" w:firstLine="172"/>
        <w:spacing w:after="0" w:line="315" w:lineRule="auto"/>
        <w:rPr>
          <w:sz w:val="20"/>
          <w:szCs w:val="20"/>
          <w:color w:val="auto"/>
        </w:rPr>
      </w:pPr>
      <w:r>
        <w:rPr>
          <w:rFonts w:ascii="Arial" w:cs="Arial" w:eastAsia="Arial" w:hAnsi="Arial"/>
          <w:sz w:val="16"/>
          <w:szCs w:val="16"/>
          <w:color w:val="auto"/>
        </w:rPr>
        <w:t>Restructuring and strategic transaction and integration expenses were $2.4 million and $9.0 million for the three and nine months ended September 30, 2021, respectively, as compared to $4.1 million and $22.9 million for the three and nine months ended September 30, 2020, respectively.</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Restructuring charges</w:t>
      </w:r>
    </w:p>
    <w:p>
      <w:pPr>
        <w:spacing w:after="0" w:line="244" w:lineRule="exact"/>
        <w:rPr>
          <w:sz w:val="20"/>
          <w:szCs w:val="20"/>
          <w:color w:val="auto"/>
        </w:rPr>
      </w:pPr>
    </w:p>
    <w:p>
      <w:pPr>
        <w:ind w:right="140" w:firstLine="172"/>
        <w:spacing w:after="0" w:line="263" w:lineRule="auto"/>
        <w:rPr>
          <w:sz w:val="20"/>
          <w:szCs w:val="20"/>
          <w:color w:val="auto"/>
        </w:rPr>
      </w:pPr>
      <w:r>
        <w:rPr>
          <w:rFonts w:ascii="Arial" w:cs="Arial" w:eastAsia="Arial" w:hAnsi="Arial"/>
          <w:sz w:val="17"/>
          <w:szCs w:val="17"/>
          <w:color w:val="auto"/>
        </w:rPr>
        <w:t>During the third quarter we adjusted certain facility restructuring liabilities by $2.0 million to reflect actual amounts owed resulting in net restructuring credits of $(2.0) million and $(1.8) million for the three and nine months ended September 30, 2021, respectively. Restructuring charges for the three and nine months ended September 30, 2020 were $0.0 million and $8.1 million, respectively. Restructuring charges for the nine months ended September 30, 2020 were primarily related to severance charges and costs related to office and facility closures.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Strategic transaction and integration expenses</w:t>
      </w:r>
    </w:p>
    <w:p>
      <w:pPr>
        <w:spacing w:after="0" w:line="244" w:lineRule="exact"/>
        <w:rPr>
          <w:sz w:val="20"/>
          <w:szCs w:val="20"/>
          <w:color w:val="auto"/>
        </w:rPr>
      </w:pPr>
    </w:p>
    <w:p>
      <w:pPr>
        <w:ind w:right="40" w:firstLine="172"/>
        <w:spacing w:after="0" w:line="281" w:lineRule="auto"/>
        <w:rPr>
          <w:sz w:val="20"/>
          <w:szCs w:val="20"/>
          <w:color w:val="auto"/>
        </w:rPr>
      </w:pPr>
      <w:r>
        <w:rPr>
          <w:rFonts w:ascii="Arial" w:cs="Arial" w:eastAsia="Arial" w:hAnsi="Arial"/>
          <w:sz w:val="16"/>
          <w:szCs w:val="16"/>
          <w:color w:val="auto"/>
        </w:rPr>
        <w:t>Strategic transaction and integration expenses were $4.3 million and $10.8 million for the three and nine months ended September 30, 2021, respectively, as compared to $4.1 million and $14.8 million for the three and nine months ended September 30, 2020, respectively. The strategic transaction and integration expenses during the three months ended September 30, 2021 were primarily related to transaction expenses incurred related to entering into a definitive agreement to acquire Smiths. The strategic transaction and integration expenses for the nine months ended September 30, 2021 were primarily related to integration costs associated with acquisitions, the Hospira Infusion Systems ("HIS") earn-out dispute with Pfizer, one-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5" w:name="page36"/>
    <w:bookmarkEnd w:id="3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right="140"/>
        <w:spacing w:after="0" w:line="268" w:lineRule="auto"/>
        <w:rPr>
          <w:sz w:val="20"/>
          <w:szCs w:val="20"/>
          <w:color w:val="auto"/>
        </w:rPr>
      </w:pPr>
      <w:r>
        <w:rPr>
          <w:rFonts w:ascii="Arial" w:cs="Arial" w:eastAsia="Arial" w:hAnsi="Arial"/>
          <w:sz w:val="17"/>
          <w:szCs w:val="17"/>
          <w:color w:val="auto"/>
        </w:rPr>
        <w:t>time costs incurred to comply with regulatory initiatives and the transaction costs related to the Smiths transaction. The strategic transaction and integration expenses during the three and nine months ended September 30, 2020 were primarily related to the integration of the HIS business acquired in 2017 from Pfizer, which included the migration of IT systems at our Austin facility.</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 in Fair Value of Contingent Earn-out</w:t>
      </w:r>
    </w:p>
    <w:p>
      <w:pPr>
        <w:spacing w:after="0" w:line="244" w:lineRule="exact"/>
        <w:rPr>
          <w:sz w:val="20"/>
          <w:szCs w:val="20"/>
          <w:color w:val="auto"/>
        </w:rPr>
      </w:pPr>
    </w:p>
    <w:p>
      <w:pPr>
        <w:ind w:firstLine="172"/>
        <w:spacing w:after="0" w:line="353" w:lineRule="auto"/>
        <w:rPr>
          <w:sz w:val="20"/>
          <w:szCs w:val="20"/>
          <w:color w:val="auto"/>
        </w:rPr>
      </w:pPr>
      <w:r>
        <w:rPr>
          <w:rFonts w:ascii="Arial" w:cs="Arial" w:eastAsia="Arial" w:hAnsi="Arial"/>
          <w:sz w:val="15"/>
          <w:szCs w:val="15"/>
          <w:color w:val="auto"/>
        </w:rPr>
        <w:t>For the three and nine months ended September 30, 2021 there was no change in fair value of the Pursuit earn-out liability for each period. As of June 30, 2021, the Pursuit earn-out measurement period had ended and in October 2021 the $26.3 million earn-out was finalized and paid to Pursuit's former shareholders.</w:t>
      </w:r>
    </w:p>
    <w:p>
      <w:pPr>
        <w:spacing w:after="0" w:line="139" w:lineRule="exact"/>
        <w:rPr>
          <w:sz w:val="20"/>
          <w:szCs w:val="20"/>
          <w:color w:val="auto"/>
        </w:rPr>
      </w:pPr>
    </w:p>
    <w:p>
      <w:pPr>
        <w:ind w:right="280" w:firstLine="620"/>
        <w:spacing w:after="0" w:line="283" w:lineRule="auto"/>
        <w:rPr>
          <w:sz w:val="20"/>
          <w:szCs w:val="20"/>
          <w:color w:val="auto"/>
        </w:rPr>
      </w:pPr>
      <w:r>
        <w:rPr>
          <w:rFonts w:ascii="Arial" w:cs="Arial" w:eastAsia="Arial" w:hAnsi="Arial"/>
          <w:sz w:val="17"/>
          <w:szCs w:val="17"/>
          <w:color w:val="auto"/>
        </w:rPr>
        <w:t>For the three and nine months ended September 30, 2020, the fair value revaluation of our Pursuit earn-out liability resulted in an increase in value of $4.3 million and $7.0 million, respectively.</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Contract Settlement</w:t>
      </w:r>
    </w:p>
    <w:p>
      <w:pPr>
        <w:spacing w:after="0" w:line="244" w:lineRule="exact"/>
        <w:rPr>
          <w:sz w:val="20"/>
          <w:szCs w:val="20"/>
          <w:color w:val="auto"/>
        </w:rPr>
      </w:pPr>
    </w:p>
    <w:p>
      <w:pPr>
        <w:ind w:left="180"/>
        <w:spacing w:after="0"/>
        <w:rPr>
          <w:sz w:val="20"/>
          <w:szCs w:val="20"/>
          <w:color w:val="auto"/>
        </w:rPr>
      </w:pPr>
      <w:r>
        <w:rPr>
          <w:rFonts w:ascii="Arial" w:cs="Arial" w:eastAsia="Arial" w:hAnsi="Arial"/>
          <w:sz w:val="17"/>
          <w:szCs w:val="17"/>
          <w:color w:val="auto"/>
        </w:rPr>
        <w:t>For the nine months ended September 30, 2021, we recorded $0.1 million in contract settlement expense.</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Expense</w:t>
      </w:r>
    </w:p>
    <w:p>
      <w:pPr>
        <w:spacing w:after="0" w:line="244" w:lineRule="exact"/>
        <w:rPr>
          <w:sz w:val="20"/>
          <w:szCs w:val="20"/>
          <w:color w:val="auto"/>
        </w:rPr>
      </w:pPr>
    </w:p>
    <w:p>
      <w:pPr>
        <w:ind w:right="40" w:firstLine="172"/>
        <w:spacing w:after="0" w:line="278" w:lineRule="auto"/>
        <w:rPr>
          <w:sz w:val="20"/>
          <w:szCs w:val="20"/>
          <w:color w:val="auto"/>
        </w:rPr>
      </w:pPr>
      <w:r>
        <w:rPr>
          <w:rFonts w:ascii="Arial" w:cs="Arial" w:eastAsia="Arial" w:hAnsi="Arial"/>
          <w:sz w:val="16"/>
          <w:szCs w:val="16"/>
          <w:color w:val="auto"/>
        </w:rPr>
        <w:t>Interest expense was $0.2 million and $0.5 million for the three and nine months ended September 30, 2021, respectively, as compared to $0.6 million and $1.6 million for the three and nine months ended September 30, 2020, respectively. The three and nine months ended September 30, 2021 primarily includes interest expense related to the per annum commitment fee charged on the unused portion of the revolver under our Credit Facility and the amortization of financing costs that were incurred in 2017 in connection with entering into the Credit Facility. During March 2020, we borrowed $150.0 million under our Credit Facility and, accordingly the interest expense for the three and nine months ended September 30, 2020 also includes interest incurred on borrowings under the Credit Facility (see Note 16: Long-Term Obligations in our accompanying condensed consolidated financial statements for additional information).</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(Expense) Income, net</w:t>
      </w:r>
    </w:p>
    <w:p>
      <w:pPr>
        <w:spacing w:after="0" w:line="244" w:lineRule="exact"/>
        <w:rPr>
          <w:sz w:val="20"/>
          <w:szCs w:val="20"/>
          <w:color w:val="auto"/>
        </w:rPr>
      </w:pPr>
    </w:p>
    <w:p>
      <w:pPr>
        <w:ind w:firstLine="172"/>
        <w:spacing w:after="0" w:line="275" w:lineRule="auto"/>
        <w:rPr>
          <w:sz w:val="20"/>
          <w:szCs w:val="20"/>
          <w:color w:val="auto"/>
        </w:rPr>
      </w:pPr>
      <w:r>
        <w:rPr>
          <w:rFonts w:ascii="Arial" w:cs="Arial" w:eastAsia="Arial" w:hAnsi="Arial"/>
          <w:sz w:val="16"/>
          <w:szCs w:val="16"/>
          <w:color w:val="auto"/>
        </w:rPr>
        <w:t>Other (expense) income netted to ($0.3) million and $0.9 million for the three and nine months ended September 30, 2021, respectively, as compared to $1.3 million and ($2.2) million for the three and nine months ended September 30, 2020, respectively. For the three months ended September 30, 2021, the other expense, net was related to $0.9 million in foreign exchange losses and $0.3 million of loss from disposed assets offset by $0.7 million of interest income and $0.2 million of miscellaneous income. For the nine months ended September 30, 2021, the other income, net was related to $2.1 million of interest income and $0.5 million of miscellaneous income partially offset by $1.1 million of loss from disposed assets and $0.6 million in foreign exchange losses. For the three months ended September 30, 2020, the other income, net was related to $2.5 million in miscellaneous income and $0.8 million of interest income, partially offset by $1.4 million in foreign exchange losses and $0.6 million of loss from disposed assets. For the nine months ended September 30, 2020, the other expense, net was primarily related to $6.0 million in foreign exchange losses and $1.7 million of loss from disposed assets, partially offset by $2.5 million in miscellaneous income and $3.0 million in interest income.</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244" w:lineRule="exact"/>
        <w:rPr>
          <w:sz w:val="20"/>
          <w:szCs w:val="20"/>
          <w:color w:val="auto"/>
        </w:rPr>
      </w:pPr>
    </w:p>
    <w:p>
      <w:pPr>
        <w:ind w:right="540" w:firstLine="172"/>
        <w:spacing w:after="0" w:line="283" w:lineRule="auto"/>
        <w:rPr>
          <w:sz w:val="20"/>
          <w:szCs w:val="20"/>
          <w:color w:val="auto"/>
        </w:rPr>
      </w:pPr>
      <w:r>
        <w:rPr>
          <w:rFonts w:ascii="Arial" w:cs="Arial" w:eastAsia="Arial" w:hAnsi="Arial"/>
          <w:sz w:val="17"/>
          <w:szCs w:val="17"/>
          <w:color w:val="auto"/>
        </w:rPr>
        <w:t>For the three and nine months ended September 30, 2021, income taxes were accrued at an estimated effective tax rate of 18% and 17%, respectively, as compared to 5% and 10%, for the three and nine months ended September 30, 2020, respectively.</w:t>
      </w:r>
    </w:p>
    <w:p>
      <w:pPr>
        <w:spacing w:after="0" w:line="172" w:lineRule="exact"/>
        <w:rPr>
          <w:sz w:val="20"/>
          <w:szCs w:val="20"/>
          <w:color w:val="auto"/>
        </w:rPr>
      </w:pPr>
    </w:p>
    <w:p>
      <w:pPr>
        <w:ind w:right="40" w:firstLine="169"/>
        <w:spacing w:after="0" w:line="227" w:lineRule="auto"/>
        <w:rPr>
          <w:sz w:val="20"/>
          <w:szCs w:val="20"/>
          <w:color w:val="auto"/>
        </w:rPr>
      </w:pPr>
      <w:r>
        <w:rPr>
          <w:rFonts w:ascii="Arial" w:cs="Arial" w:eastAsia="Arial" w:hAnsi="Arial"/>
          <w:sz w:val="17"/>
          <w:szCs w:val="17"/>
          <w:color w:val="auto"/>
        </w:rPr>
        <w:t>The effective tax rate for the three and nine months ended September 30, 2021 differs from the federal statutory rate of 21% principally because of the effect of the mix of U.S. and foreign incomes, state income taxes, global intangible low-taxed income ("GILTI"), foreign-derived intangible income ("FDII") and tax credits. The effective tax rate during the three and nine months ended September 30, 2021 included the following:</w:t>
      </w:r>
    </w:p>
    <w:p>
      <w:pPr>
        <w:spacing w:after="0" w:line="195" w:lineRule="exact"/>
        <w:rPr>
          <w:sz w:val="20"/>
          <w:szCs w:val="20"/>
          <w:color w:val="auto"/>
        </w:rPr>
      </w:pPr>
    </w:p>
    <w:p>
      <w:pPr>
        <w:ind w:left="620" w:right="140" w:hanging="307"/>
        <w:spacing w:after="0" w:line="261" w:lineRule="auto"/>
        <w:tabs>
          <w:tab w:leader="none" w:pos="616" w:val="left"/>
        </w:tabs>
        <w:numPr>
          <w:ilvl w:val="0"/>
          <w:numId w:val="19"/>
        </w:numPr>
        <w:rPr>
          <w:rFonts w:ascii="Arial" w:cs="Arial" w:eastAsia="Arial" w:hAnsi="Arial"/>
          <w:sz w:val="17"/>
          <w:szCs w:val="17"/>
          <w:color w:val="auto"/>
        </w:rPr>
      </w:pPr>
      <w:r>
        <w:rPr>
          <w:rFonts w:ascii="Arial" w:cs="Arial" w:eastAsia="Arial" w:hAnsi="Arial"/>
          <w:sz w:val="17"/>
          <w:szCs w:val="17"/>
          <w:color w:val="auto"/>
        </w:rPr>
        <w:t>Excess tax benefits recognized on stock option exercises and the vesting of restricted stock units during the three and nine months ended September 30, 2021 of $1.1 million and $3.3 million, respectively.</w:t>
      </w:r>
    </w:p>
    <w:p>
      <w:pPr>
        <w:spacing w:after="0" w:line="1" w:lineRule="exact"/>
        <w:rPr>
          <w:rFonts w:ascii="Arial" w:cs="Arial" w:eastAsia="Arial" w:hAnsi="Arial"/>
          <w:sz w:val="17"/>
          <w:szCs w:val="17"/>
          <w:color w:val="auto"/>
        </w:rPr>
      </w:pPr>
    </w:p>
    <w:p>
      <w:pPr>
        <w:ind w:left="620" w:right="80" w:hanging="307"/>
        <w:spacing w:after="0" w:line="267" w:lineRule="auto"/>
        <w:tabs>
          <w:tab w:leader="none" w:pos="616" w:val="left"/>
        </w:tabs>
        <w:numPr>
          <w:ilvl w:val="0"/>
          <w:numId w:val="19"/>
        </w:numPr>
        <w:rPr>
          <w:rFonts w:ascii="Arial" w:cs="Arial" w:eastAsia="Arial" w:hAnsi="Arial"/>
          <w:sz w:val="17"/>
          <w:szCs w:val="17"/>
          <w:color w:val="auto"/>
        </w:rPr>
      </w:pPr>
      <w:r>
        <w:rPr>
          <w:rFonts w:ascii="Arial" w:cs="Arial" w:eastAsia="Arial" w:hAnsi="Arial"/>
          <w:sz w:val="17"/>
          <w:szCs w:val="17"/>
          <w:color w:val="auto"/>
        </w:rPr>
        <w:t>U.S. federal return-to-provision adjustments for the year ended December 31, 2020 primarily due to changes in estimates for GILTI, FDII, subpart F and related foreign tax credits along with other prior period adjustments resulted in a tax provision of $1.1 million.</w:t>
      </w: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36" w:name="page37"/>
    <w:bookmarkEnd w:id="3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ind w:right="20" w:firstLine="169"/>
        <w:spacing w:after="0" w:line="259" w:lineRule="auto"/>
        <w:rPr>
          <w:sz w:val="20"/>
          <w:szCs w:val="20"/>
          <w:color w:val="auto"/>
        </w:rPr>
      </w:pPr>
      <w:r>
        <w:rPr>
          <w:rFonts w:ascii="Arial" w:cs="Arial" w:eastAsia="Arial" w:hAnsi="Arial"/>
          <w:sz w:val="17"/>
          <w:szCs w:val="17"/>
          <w:color w:val="auto"/>
        </w:rPr>
        <w:t>The effective tax rate for the three and nine months ended September 30, 2020 differs from the federal statutory rate of 21% principally because of the effect of the mix of U.S. and foreign incomes, state income taxes, GILTI, FDII and tax credits. The effective tax rate during the three and nine months ended September 30, 2020 included a tax benefit of $0.1 million and $3.6 million, respectively, related to the excess tax benefits recognized on stock option exercises and the vesting of restricted stock units during the period. The effective tax rate for the three and nine months ended September 30, 2020 also included U.S. federal and state return-to-provision adjustments net of related reserve changes for the year ended December 31, 2019 of $3.8 million tax benefit primarily due to changes in estimates for GILTI, FDII, and related foreign tax credits.</w:t>
      </w:r>
    </w:p>
    <w:p>
      <w:pPr>
        <w:spacing w:after="0" w:line="36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Liquidity and Capital Resources</w:t>
      </w:r>
    </w:p>
    <w:p>
      <w:pPr>
        <w:spacing w:after="0" w:line="224" w:lineRule="exact"/>
        <w:rPr>
          <w:sz w:val="20"/>
          <w:szCs w:val="20"/>
          <w:color w:val="auto"/>
        </w:rPr>
      </w:pPr>
    </w:p>
    <w:p>
      <w:pPr>
        <w:ind w:right="60" w:firstLine="620"/>
        <w:spacing w:after="0" w:line="283" w:lineRule="auto"/>
        <w:rPr>
          <w:sz w:val="20"/>
          <w:szCs w:val="20"/>
          <w:color w:val="auto"/>
        </w:rPr>
      </w:pPr>
      <w:r>
        <w:rPr>
          <w:rFonts w:ascii="Arial" w:cs="Arial" w:eastAsia="Arial" w:hAnsi="Arial"/>
          <w:sz w:val="17"/>
          <w:szCs w:val="17"/>
          <w:color w:val="auto"/>
        </w:rPr>
        <w:t>During the first nine months of 2021, our cash, cash equivalents and short and long-term investments increased by $120.9 million from $423.8 million at December 31, 2020 to $544.7 million at September 30, 2021.</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Flows from Operating Activities</w:t>
      </w:r>
    </w:p>
    <w:p>
      <w:pPr>
        <w:spacing w:after="0" w:line="244" w:lineRule="exact"/>
        <w:rPr>
          <w:sz w:val="20"/>
          <w:szCs w:val="20"/>
          <w:color w:val="auto"/>
        </w:rPr>
      </w:pPr>
    </w:p>
    <w:p>
      <w:pPr>
        <w:ind w:firstLine="620"/>
        <w:spacing w:after="0" w:line="274" w:lineRule="auto"/>
        <w:rPr>
          <w:sz w:val="20"/>
          <w:szCs w:val="20"/>
          <w:color w:val="auto"/>
        </w:rPr>
      </w:pPr>
      <w:r>
        <w:rPr>
          <w:rFonts w:ascii="Arial" w:cs="Arial" w:eastAsia="Arial" w:hAnsi="Arial"/>
          <w:sz w:val="16"/>
          <w:szCs w:val="16"/>
          <w:color w:val="auto"/>
        </w:rPr>
        <w:t>Our net cash provided by operations for the nine months ended September 30, 2021 was $184.9 million. Net income plus adjustments for non-cash net expenses contributed $195.2 million. Net cash used in operations as a result of changes in operating assets and liabilities was $10.3 million. The changes in operating assets and liabilities included a $13.6 million increase in other assets, a $10.4 million decrease in accounts payable, a $8.3 million decrease in accrued liabilities and $1.9 million in net changes in income taxes, including excess tax benefits and deferred income taxes. Offsetting these amounts was a $16.5 million decrease in inventories, a $3.8 million decrease in accounts receivables and a $3.6 million decrease in prepaid expenses and other assets. The increase in other assets was due to the purchase of spare parts. The decrease in accounts payable was due to the timing of payments. The decrease in accrued liabilities was primarily due to the payment of operating lease liabilities and annual bonuses. The net changes in income taxes was a result of the timing of payments. The decrease in inventory was primarily due to the timing of production and customer purchases combined with the reduction in capitalized manufacturing variances. The decrease in accounts receivable is primarily due to collection efforts. The net decrease in prepaid expenses and other current assets was primarily due to a decrease in prepaid insurance and property taxes, decreased sales tax receivables and a decrease in deferred costs, offset partially by an increase in annual software and service contract renewals.</w:t>
      </w:r>
    </w:p>
    <w:p>
      <w:pPr>
        <w:spacing w:after="0" w:line="196" w:lineRule="exact"/>
        <w:rPr>
          <w:sz w:val="20"/>
          <w:szCs w:val="20"/>
          <w:color w:val="auto"/>
        </w:rPr>
      </w:pPr>
    </w:p>
    <w:p>
      <w:pPr>
        <w:ind w:right="20" w:firstLine="620"/>
        <w:spacing w:after="0" w:line="295" w:lineRule="auto"/>
        <w:rPr>
          <w:sz w:val="20"/>
          <w:szCs w:val="20"/>
          <w:color w:val="auto"/>
        </w:rPr>
      </w:pPr>
      <w:r>
        <w:rPr>
          <w:rFonts w:ascii="Arial" w:cs="Arial" w:eastAsia="Arial" w:hAnsi="Arial"/>
          <w:sz w:val="15"/>
          <w:szCs w:val="15"/>
          <w:color w:val="auto"/>
        </w:rPr>
        <w:t>Our net cash provided by operations for the nine months ended September 30, 2020 was $144.2 million. Net income plus adjustments for non-cash net expenses contributed $174.3 million. Net cash used in operations as a result of changes in operating assets and liabilities was $30.1 million. The changes in operating assets and liabilities included a $38.0 million decrease in accounts payable, a $20.4 million decrease in accrued liabilities, a $12.1 million increase in other assets, a $6.5 million increase in prepaid expenses, and $0.7 million in net changes in income taxes, including excess tax benefits and deferred income taxes. Offsetting these amounts was a $38.9 million decrease in accounts receivables and a $8.9 million decrease in inventories. The decrease in accounts payable was due to the timing of payments. The decrease in accrued liabilities was due to the payment of accrued supply chain reorganization costs. The increase in other assets was due to the purchase of spare parts. The increase in prepaid expenses and other current assets was primarily due to an increase in deferred costs. The net changes in income taxes was a result of the timing of payments. The decrease in inventory was primarily due to improved inventory management. The decrease in accounts receivable is primarily due to collection efforts. The net changes in income taxes was a result of the timing of payments.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Flows from Investing Activities</w:t>
      </w:r>
    </w:p>
    <w:p>
      <w:pPr>
        <w:spacing w:after="0" w:line="244"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following table summarizes the changes in our investing cash flows (in thousands):</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37" w:name="page38"/>
    <w:bookmarkEnd w:id="3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20" w:type="dxa"/>
            <w:vAlign w:val="bottom"/>
            <w:gridSpan w:val="5"/>
          </w:tcPr>
          <w:p>
            <w:pPr>
              <w:ind w:left="380"/>
              <w:spacing w:after="0"/>
              <w:rPr>
                <w:sz w:val="20"/>
                <w:szCs w:val="20"/>
                <w:color w:val="auto"/>
              </w:rPr>
            </w:pPr>
            <w:r>
              <w:rPr>
                <w:rFonts w:ascii="Arial" w:cs="Arial" w:eastAsia="Arial" w:hAnsi="Arial"/>
                <w:sz w:val="17"/>
                <w:szCs w:val="17"/>
                <w:b w:val="1"/>
                <w:bCs w:val="1"/>
                <w:color w:val="auto"/>
              </w:rPr>
              <w:t>Nine months ended</w:t>
            </w: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80" w:type="dxa"/>
            <w:vAlign w:val="bottom"/>
          </w:tcPr>
          <w:p>
            <w:pPr>
              <w:spacing w:after="0"/>
              <w:rPr>
                <w:sz w:val="16"/>
                <w:szCs w:val="16"/>
                <w:color w:val="auto"/>
              </w:rPr>
            </w:pPr>
          </w:p>
        </w:tc>
      </w:tr>
      <w:tr>
        <w:trPr>
          <w:trHeight w:val="220"/>
        </w:trPr>
        <w:tc>
          <w:tcPr>
            <w:tcW w:w="65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September 30,</w:t>
            </w: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13"/>
        </w:trPr>
        <w:tc>
          <w:tcPr>
            <w:tcW w:w="65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b w:val="1"/>
                <w:bCs w:val="1"/>
                <w:color w:val="auto"/>
                <w:w w:val="89"/>
              </w:rPr>
              <w:t>2020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Change</w:t>
            </w:r>
          </w:p>
        </w:tc>
        <w:tc>
          <w:tcPr>
            <w:tcW w:w="380" w:type="dxa"/>
            <w:vAlign w:val="bottom"/>
            <w:tcBorders>
              <w:bottom w:val="single" w:sz="8" w:color="auto"/>
            </w:tcBorders>
          </w:tcPr>
          <w:p>
            <w:pPr>
              <w:spacing w:after="0"/>
              <w:rPr>
                <w:sz w:val="18"/>
                <w:szCs w:val="18"/>
                <w:color w:val="auto"/>
              </w:rPr>
            </w:pPr>
          </w:p>
        </w:tc>
      </w:tr>
      <w:tr>
        <w:trPr>
          <w:trHeight w:val="200"/>
        </w:trPr>
        <w:tc>
          <w:tcPr>
            <w:tcW w:w="65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Investing Cash Flows: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r>
      <w:tr>
        <w:trPr>
          <w:trHeight w:val="220"/>
        </w:trPr>
        <w:tc>
          <w:tcPr>
            <w:tcW w:w="6560" w:type="dxa"/>
            <w:vAlign w:val="bottom"/>
          </w:tcPr>
          <w:p>
            <w:pPr>
              <w:ind w:left="20"/>
              <w:spacing w:after="0"/>
              <w:rPr>
                <w:sz w:val="20"/>
                <w:szCs w:val="20"/>
                <w:color w:val="auto"/>
              </w:rPr>
            </w:pPr>
            <w:r>
              <w:rPr>
                <w:rFonts w:ascii="Arial" w:cs="Arial" w:eastAsia="Arial" w:hAnsi="Arial"/>
                <w:sz w:val="17"/>
                <w:szCs w:val="17"/>
                <w:color w:val="auto"/>
              </w:rPr>
              <w:t>Purchases of property and equipment</w:t>
            </w: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(46,464)</w:t>
            </w:r>
          </w:p>
        </w:tc>
        <w:tc>
          <w:tcPr>
            <w:tcW w:w="100" w:type="dxa"/>
            <w:vAlign w:val="bottom"/>
          </w:tcPr>
          <w:p>
            <w:pPr>
              <w:spacing w:after="0"/>
              <w:rPr>
                <w:sz w:val="19"/>
                <w:szCs w:val="19"/>
                <w:color w:val="auto"/>
              </w:rPr>
            </w:pPr>
          </w:p>
        </w:tc>
        <w:tc>
          <w:tcPr>
            <w:tcW w:w="480" w:type="dxa"/>
            <w:vAlign w:val="bottom"/>
          </w:tcPr>
          <w:p>
            <w:pPr>
              <w:jc w:val="right"/>
              <w:ind w:right="294"/>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(62,362)</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15,898</w:t>
            </w:r>
          </w:p>
        </w:tc>
        <w:tc>
          <w:tcPr>
            <w:tcW w:w="380" w:type="dxa"/>
            <w:vAlign w:val="bottom"/>
          </w:tcPr>
          <w:p>
            <w:pPr>
              <w:jc w:val="right"/>
              <w:ind w:right="94"/>
              <w:spacing w:after="0"/>
              <w:rPr>
                <w:sz w:val="20"/>
                <w:szCs w:val="20"/>
                <w:color w:val="auto"/>
              </w:rPr>
            </w:pPr>
            <w:r>
              <w:rPr>
                <w:rFonts w:ascii="Arial" w:cs="Arial" w:eastAsia="Arial" w:hAnsi="Arial"/>
                <w:sz w:val="17"/>
                <w:szCs w:val="17"/>
                <w:color w:val="auto"/>
                <w:w w:val="86"/>
              </w:rPr>
              <w:t>(1)</w:t>
            </w:r>
          </w:p>
        </w:tc>
      </w:tr>
      <w:tr>
        <w:trPr>
          <w:trHeight w:val="220"/>
        </w:trPr>
        <w:tc>
          <w:tcPr>
            <w:tcW w:w="6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Proceeds from sale of assets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w:t>
            </w:r>
          </w:p>
        </w:tc>
        <w:tc>
          <w:tcPr>
            <w:tcW w:w="380" w:type="dxa"/>
            <w:vAlign w:val="bottom"/>
            <w:shd w:val="clear" w:color="auto" w:fill="CCEEFF"/>
          </w:tcPr>
          <w:p>
            <w:pPr>
              <w:spacing w:after="0"/>
              <w:rPr>
                <w:sz w:val="19"/>
                <w:szCs w:val="19"/>
                <w:color w:val="auto"/>
              </w:rPr>
            </w:pPr>
          </w:p>
        </w:tc>
      </w:tr>
      <w:tr>
        <w:trPr>
          <w:trHeight w:val="220"/>
        </w:trPr>
        <w:tc>
          <w:tcPr>
            <w:tcW w:w="6560" w:type="dxa"/>
            <w:vAlign w:val="bottom"/>
          </w:tcPr>
          <w:p>
            <w:pPr>
              <w:ind w:left="20"/>
              <w:spacing w:after="0"/>
              <w:rPr>
                <w:sz w:val="20"/>
                <w:szCs w:val="20"/>
                <w:color w:val="auto"/>
              </w:rPr>
            </w:pPr>
            <w:r>
              <w:rPr>
                <w:rFonts w:ascii="Arial" w:cs="Arial" w:eastAsia="Arial" w:hAnsi="Arial"/>
                <w:sz w:val="17"/>
                <w:szCs w:val="17"/>
                <w:color w:val="auto"/>
              </w:rPr>
              <w:t>Intangible asset additions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(10,216)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(6,325)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(3,891)</w:t>
            </w:r>
          </w:p>
        </w:tc>
        <w:tc>
          <w:tcPr>
            <w:tcW w:w="380" w:type="dxa"/>
            <w:vAlign w:val="bottom"/>
          </w:tcPr>
          <w:p>
            <w:pPr>
              <w:jc w:val="right"/>
              <w:ind w:right="94"/>
              <w:spacing w:after="0"/>
              <w:rPr>
                <w:sz w:val="20"/>
                <w:szCs w:val="20"/>
                <w:color w:val="auto"/>
              </w:rPr>
            </w:pPr>
            <w:r>
              <w:rPr>
                <w:rFonts w:ascii="Arial" w:cs="Arial" w:eastAsia="Arial" w:hAnsi="Arial"/>
                <w:sz w:val="17"/>
                <w:szCs w:val="17"/>
                <w:color w:val="auto"/>
                <w:w w:val="86"/>
              </w:rPr>
              <w:t>(2)</w:t>
            </w:r>
          </w:p>
        </w:tc>
      </w:tr>
      <w:tr>
        <w:trPr>
          <w:trHeight w:val="220"/>
        </w:trPr>
        <w:tc>
          <w:tcPr>
            <w:tcW w:w="6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Investments in non-marketable equity securities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(3,250)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(3,250)</w:t>
            </w:r>
          </w:p>
        </w:tc>
        <w:tc>
          <w:tcPr>
            <w:tcW w:w="3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6"/>
              </w:rPr>
              <w:t>(3)</w:t>
            </w:r>
          </w:p>
        </w:tc>
      </w:tr>
      <w:tr>
        <w:trPr>
          <w:trHeight w:val="220"/>
        </w:trPr>
        <w:tc>
          <w:tcPr>
            <w:tcW w:w="6560" w:type="dxa"/>
            <w:vAlign w:val="bottom"/>
          </w:tcPr>
          <w:p>
            <w:pPr>
              <w:ind w:left="20"/>
              <w:spacing w:after="0"/>
              <w:rPr>
                <w:sz w:val="20"/>
                <w:szCs w:val="20"/>
                <w:color w:val="auto"/>
              </w:rPr>
            </w:pPr>
            <w:r>
              <w:rPr>
                <w:rFonts w:ascii="Arial" w:cs="Arial" w:eastAsia="Arial" w:hAnsi="Arial"/>
                <w:sz w:val="17"/>
                <w:szCs w:val="17"/>
                <w:color w:val="auto"/>
              </w:rPr>
              <w:t>Purchases of investment securities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(10,034)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(9,603)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(431)</w:t>
            </w:r>
          </w:p>
        </w:tc>
        <w:tc>
          <w:tcPr>
            <w:tcW w:w="380" w:type="dxa"/>
            <w:vAlign w:val="bottom"/>
          </w:tcPr>
          <w:p>
            <w:pPr>
              <w:jc w:val="right"/>
              <w:ind w:right="94"/>
              <w:spacing w:after="0"/>
              <w:rPr>
                <w:sz w:val="20"/>
                <w:szCs w:val="20"/>
                <w:color w:val="auto"/>
              </w:rPr>
            </w:pPr>
            <w:r>
              <w:rPr>
                <w:rFonts w:ascii="Arial" w:cs="Arial" w:eastAsia="Arial" w:hAnsi="Arial"/>
                <w:sz w:val="17"/>
                <w:szCs w:val="17"/>
                <w:color w:val="auto"/>
                <w:w w:val="86"/>
              </w:rPr>
              <w:t>(4)</w:t>
            </w:r>
          </w:p>
        </w:tc>
      </w:tr>
      <w:tr>
        <w:trPr>
          <w:trHeight w:val="220"/>
        </w:trPr>
        <w:tc>
          <w:tcPr>
            <w:tcW w:w="6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Proceeds from sale of investment securities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12,000</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20,900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(8,900)</w:t>
            </w:r>
          </w:p>
        </w:tc>
        <w:tc>
          <w:tcPr>
            <w:tcW w:w="3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6"/>
              </w:rPr>
              <w:t>(5)</w:t>
            </w:r>
          </w:p>
        </w:tc>
      </w:tr>
      <w:tr>
        <w:trPr>
          <w:trHeight w:val="213"/>
        </w:trPr>
        <w:tc>
          <w:tcPr>
            <w:tcW w:w="6560" w:type="dxa"/>
            <w:vAlign w:val="bottom"/>
          </w:tcPr>
          <w:p>
            <w:pPr>
              <w:ind w:left="140"/>
              <w:spacing w:after="0"/>
              <w:rPr>
                <w:sz w:val="20"/>
                <w:szCs w:val="20"/>
                <w:color w:val="auto"/>
              </w:rPr>
            </w:pPr>
            <w:r>
              <w:rPr>
                <w:rFonts w:ascii="Arial" w:cs="Arial" w:eastAsia="Arial" w:hAnsi="Arial"/>
                <w:sz w:val="17"/>
                <w:szCs w:val="17"/>
                <w:color w:val="auto"/>
              </w:rPr>
              <w:t>Net cash used in investing activities</w:t>
            </w: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(57,746)</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(57,236)</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(510)</w:t>
            </w:r>
          </w:p>
        </w:tc>
        <w:tc>
          <w:tcPr>
            <w:tcW w:w="380" w:type="dxa"/>
            <w:vAlign w:val="bottom"/>
          </w:tcPr>
          <w:p>
            <w:pPr>
              <w:spacing w:after="0"/>
              <w:rPr>
                <w:sz w:val="18"/>
                <w:szCs w:val="18"/>
                <w:color w:val="auto"/>
              </w:rPr>
            </w:pPr>
          </w:p>
        </w:tc>
      </w:tr>
      <w:tr>
        <w:trPr>
          <w:trHeight w:val="20"/>
        </w:trPr>
        <w:tc>
          <w:tcPr>
            <w:tcW w:w="6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w:t>
      </w:r>
    </w:p>
    <w:p>
      <w:pPr>
        <w:spacing w:after="0" w:line="115" w:lineRule="exact"/>
        <w:rPr>
          <w:sz w:val="20"/>
          <w:szCs w:val="20"/>
          <w:color w:val="auto"/>
        </w:rPr>
      </w:pPr>
    </w:p>
    <w:p>
      <w:pPr>
        <w:ind w:left="320" w:right="360" w:hanging="317"/>
        <w:spacing w:after="0" w:line="228" w:lineRule="auto"/>
        <w:tabs>
          <w:tab w:leader="none" w:pos="183" w:val="left"/>
        </w:tabs>
        <w:numPr>
          <w:ilvl w:val="0"/>
          <w:numId w:val="20"/>
        </w:numPr>
        <w:rPr>
          <w:rFonts w:ascii="Arial" w:cs="Arial" w:eastAsia="Arial" w:hAnsi="Arial"/>
          <w:sz w:val="22"/>
          <w:szCs w:val="22"/>
          <w:color w:val="auto"/>
          <w:vertAlign w:val="superscript"/>
        </w:rPr>
      </w:pPr>
      <w:r>
        <w:rPr>
          <w:rFonts w:ascii="Arial" w:cs="Arial" w:eastAsia="Arial" w:hAnsi="Arial"/>
          <w:sz w:val="17"/>
          <w:szCs w:val="17"/>
          <w:color w:val="auto"/>
        </w:rPr>
        <w:t>Our purchases of property and equipment will vary from period to period based on additional investments needed to support new and existing products and expansion of our manufacturing facilities.</w:t>
      </w:r>
    </w:p>
    <w:p>
      <w:pPr>
        <w:ind w:left="320" w:hanging="317"/>
        <w:spacing w:after="0" w:line="221" w:lineRule="auto"/>
        <w:tabs>
          <w:tab w:leader="none" w:pos="183" w:val="left"/>
        </w:tabs>
        <w:numPr>
          <w:ilvl w:val="0"/>
          <w:numId w:val="20"/>
        </w:numPr>
        <w:rPr>
          <w:rFonts w:ascii="Arial" w:cs="Arial" w:eastAsia="Arial" w:hAnsi="Arial"/>
          <w:sz w:val="22"/>
          <w:szCs w:val="22"/>
          <w:color w:val="auto"/>
          <w:vertAlign w:val="superscript"/>
        </w:rPr>
      </w:pPr>
      <w:r>
        <w:rPr>
          <w:rFonts w:ascii="Arial" w:cs="Arial" w:eastAsia="Arial" w:hAnsi="Arial"/>
          <w:sz w:val="17"/>
          <w:szCs w:val="17"/>
          <w:color w:val="auto"/>
        </w:rPr>
        <w:t>In September 2021, we recorded a $7.1 million intangible asset related to a three-year non-compete agreement, of which $3.1 million was non-cash offset with a contingent earn-out (see Note 8: Fair Value Measurements).</w:t>
      </w:r>
    </w:p>
    <w:p>
      <w:pPr>
        <w:ind w:left="180" w:hanging="177"/>
        <w:spacing w:after="0" w:line="205" w:lineRule="auto"/>
        <w:tabs>
          <w:tab w:leader="none" w:pos="180" w:val="left"/>
        </w:tabs>
        <w:numPr>
          <w:ilvl w:val="0"/>
          <w:numId w:val="20"/>
        </w:numPr>
        <w:rPr>
          <w:rFonts w:ascii="Arial" w:cs="Arial" w:eastAsia="Arial" w:hAnsi="Arial"/>
          <w:sz w:val="21"/>
          <w:szCs w:val="21"/>
          <w:color w:val="auto"/>
          <w:vertAlign w:val="superscript"/>
        </w:rPr>
      </w:pPr>
      <w:r>
        <w:rPr>
          <w:rFonts w:ascii="Arial" w:cs="Arial" w:eastAsia="Arial" w:hAnsi="Arial"/>
          <w:sz w:val="16"/>
          <w:szCs w:val="16"/>
          <w:color w:val="auto"/>
        </w:rPr>
        <w:t>In September 2021, we paid $3.3 million to acquire approximately a 20% non-marketable equity interest in a non public company.</w:t>
      </w:r>
    </w:p>
    <w:p>
      <w:pPr>
        <w:spacing w:after="0" w:line="1" w:lineRule="exact"/>
        <w:rPr>
          <w:rFonts w:ascii="Arial" w:cs="Arial" w:eastAsia="Arial" w:hAnsi="Arial"/>
          <w:sz w:val="21"/>
          <w:szCs w:val="21"/>
          <w:color w:val="auto"/>
          <w:vertAlign w:val="superscript"/>
        </w:rPr>
      </w:pPr>
    </w:p>
    <w:p>
      <w:pPr>
        <w:ind w:left="320" w:right="60" w:hanging="317"/>
        <w:spacing w:after="0" w:line="220" w:lineRule="auto"/>
        <w:tabs>
          <w:tab w:leader="none" w:pos="252" w:val="left"/>
        </w:tabs>
        <w:numPr>
          <w:ilvl w:val="0"/>
          <w:numId w:val="20"/>
        </w:numPr>
        <w:rPr>
          <w:rFonts w:ascii="Arial" w:cs="Arial" w:eastAsia="Arial" w:hAnsi="Arial"/>
          <w:sz w:val="22"/>
          <w:szCs w:val="22"/>
          <w:color w:val="auto"/>
          <w:vertAlign w:val="superscript"/>
        </w:rPr>
      </w:pPr>
      <w:r>
        <w:rPr>
          <w:rFonts w:ascii="Arial" w:cs="Arial" w:eastAsia="Arial" w:hAnsi="Arial"/>
          <w:sz w:val="17"/>
          <w:szCs w:val="17"/>
          <w:color w:val="auto"/>
        </w:rPr>
        <w:t>Our purchases of investment securities will vary from period to period based on current cash needs, planning for known future transactions and due to changes in our investment strategy.</w:t>
      </w:r>
    </w:p>
    <w:p>
      <w:pPr>
        <w:spacing w:after="0" w:line="1" w:lineRule="exact"/>
        <w:rPr>
          <w:rFonts w:ascii="Arial" w:cs="Arial" w:eastAsia="Arial" w:hAnsi="Arial"/>
          <w:sz w:val="22"/>
          <w:szCs w:val="22"/>
          <w:color w:val="auto"/>
          <w:vertAlign w:val="superscript"/>
        </w:rPr>
      </w:pPr>
    </w:p>
    <w:p>
      <w:pPr>
        <w:ind w:left="180" w:hanging="177"/>
        <w:spacing w:after="0" w:line="227" w:lineRule="auto"/>
        <w:tabs>
          <w:tab w:leader="none" w:pos="180" w:val="left"/>
        </w:tabs>
        <w:numPr>
          <w:ilvl w:val="0"/>
          <w:numId w:val="20"/>
        </w:numPr>
        <w:rPr>
          <w:rFonts w:ascii="Arial" w:cs="Arial" w:eastAsia="Arial" w:hAnsi="Arial"/>
          <w:sz w:val="19"/>
          <w:szCs w:val="19"/>
          <w:color w:val="auto"/>
          <w:vertAlign w:val="superscript"/>
        </w:rPr>
      </w:pPr>
      <w:r>
        <w:rPr>
          <w:rFonts w:ascii="Arial" w:cs="Arial" w:eastAsia="Arial" w:hAnsi="Arial"/>
          <w:sz w:val="15"/>
          <w:szCs w:val="15"/>
          <w:color w:val="auto"/>
        </w:rPr>
        <w:t>Proceeds from the sale or maturity of our investment securities will vary from period to period based on the maturity dates of the investments we currently hold.</w:t>
      </w:r>
    </w:p>
    <w:p>
      <w:pPr>
        <w:spacing w:after="0" w:line="220" w:lineRule="exact"/>
        <w:rPr>
          <w:sz w:val="20"/>
          <w:szCs w:val="20"/>
          <w:color w:val="auto"/>
        </w:rPr>
      </w:pPr>
    </w:p>
    <w:p>
      <w:pPr>
        <w:jc w:val="both"/>
        <w:ind w:right="380" w:firstLine="169"/>
        <w:spacing w:after="0" w:line="285" w:lineRule="auto"/>
        <w:rPr>
          <w:sz w:val="20"/>
          <w:szCs w:val="20"/>
          <w:color w:val="auto"/>
        </w:rPr>
      </w:pPr>
      <w:r>
        <w:rPr>
          <w:rFonts w:ascii="Arial" w:cs="Arial" w:eastAsia="Arial" w:hAnsi="Arial"/>
          <w:sz w:val="16"/>
          <w:szCs w:val="16"/>
          <w:color w:val="auto"/>
        </w:rPr>
        <w:t>While we can provide no assurances, we estimate that our capital expenditures in 2021 will be approximately $70.0 million to $75.0 million. We anticipate making additional investments in machinery and equipment in our manufacturing operations in the U.S., Costa Rica, and Mexico to support new and existing products and in infusion pumps that are placed with customers outside the U.S. We expect to use our cash and cash equivalents to fund our capital purchases. Amounts of spending are estimates and actual spending may substantially differ from those amounts.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6560" w:type="dxa"/>
            <w:vAlign w:val="bottom"/>
          </w:tcPr>
          <w:p>
            <w:pPr>
              <w:spacing w:after="0"/>
              <w:rPr>
                <w:sz w:val="20"/>
                <w:szCs w:val="20"/>
                <w:color w:val="auto"/>
              </w:rPr>
            </w:pPr>
            <w:r>
              <w:rPr>
                <w:rFonts w:ascii="Arial" w:cs="Arial" w:eastAsia="Arial" w:hAnsi="Arial"/>
                <w:sz w:val="17"/>
                <w:szCs w:val="17"/>
                <w:b w:val="1"/>
                <w:bCs w:val="1"/>
                <w:i w:val="1"/>
                <w:iCs w:val="1"/>
                <w:color w:val="auto"/>
              </w:rPr>
              <w:t>Cash Flows from Financing Activities</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413"/>
        </w:trPr>
        <w:tc>
          <w:tcPr>
            <w:tcW w:w="6560" w:type="dxa"/>
            <w:vAlign w:val="bottom"/>
          </w:tcPr>
          <w:p>
            <w:pPr>
              <w:ind w:left="180"/>
              <w:spacing w:after="0"/>
              <w:rPr>
                <w:sz w:val="20"/>
                <w:szCs w:val="20"/>
                <w:color w:val="auto"/>
              </w:rPr>
            </w:pPr>
            <w:r>
              <w:rPr>
                <w:rFonts w:ascii="Arial" w:cs="Arial" w:eastAsia="Arial" w:hAnsi="Arial"/>
                <w:sz w:val="17"/>
                <w:szCs w:val="17"/>
                <w:color w:val="auto"/>
                <w:w w:val="96"/>
              </w:rPr>
              <w:t>The following table summarizes the changes in our financing cash flows (in thousands):</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97"/>
        </w:trPr>
        <w:tc>
          <w:tcPr>
            <w:tcW w:w="6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20" w:type="dxa"/>
            <w:vAlign w:val="bottom"/>
            <w:gridSpan w:val="5"/>
          </w:tcPr>
          <w:p>
            <w:pPr>
              <w:ind w:left="380"/>
              <w:spacing w:after="0"/>
              <w:rPr>
                <w:sz w:val="20"/>
                <w:szCs w:val="20"/>
                <w:color w:val="auto"/>
              </w:rPr>
            </w:pPr>
            <w:r>
              <w:rPr>
                <w:rFonts w:ascii="Arial" w:cs="Arial" w:eastAsia="Arial" w:hAnsi="Arial"/>
                <w:sz w:val="17"/>
                <w:szCs w:val="17"/>
                <w:b w:val="1"/>
                <w:bCs w:val="1"/>
                <w:color w:val="auto"/>
              </w:rPr>
              <w:t>Nine months ended</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20"/>
        </w:trPr>
        <w:tc>
          <w:tcPr>
            <w:tcW w:w="65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September 30,</w:t>
            </w: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13"/>
        </w:trPr>
        <w:tc>
          <w:tcPr>
            <w:tcW w:w="65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b w:val="1"/>
                <w:bCs w:val="1"/>
                <w:color w:val="auto"/>
                <w:w w:val="89"/>
              </w:rPr>
              <w:t>2020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Change</w:t>
            </w:r>
          </w:p>
        </w:tc>
        <w:tc>
          <w:tcPr>
            <w:tcW w:w="380" w:type="dxa"/>
            <w:vAlign w:val="bottom"/>
            <w:tcBorders>
              <w:bottom w:val="single" w:sz="8" w:color="auto"/>
            </w:tcBorders>
          </w:tcPr>
          <w:p>
            <w:pPr>
              <w:spacing w:after="0"/>
              <w:rPr>
                <w:sz w:val="18"/>
                <w:szCs w:val="18"/>
                <w:color w:val="auto"/>
              </w:rPr>
            </w:pPr>
          </w:p>
        </w:tc>
      </w:tr>
      <w:tr>
        <w:trPr>
          <w:trHeight w:val="200"/>
        </w:trPr>
        <w:tc>
          <w:tcPr>
            <w:tcW w:w="65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Financing Cash Flows: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r>
      <w:tr>
        <w:trPr>
          <w:trHeight w:val="220"/>
        </w:trPr>
        <w:tc>
          <w:tcPr>
            <w:tcW w:w="6560" w:type="dxa"/>
            <w:vAlign w:val="bottom"/>
          </w:tcPr>
          <w:p>
            <w:pPr>
              <w:ind w:left="20"/>
              <w:spacing w:after="0"/>
              <w:rPr>
                <w:sz w:val="20"/>
                <w:szCs w:val="20"/>
                <w:color w:val="auto"/>
              </w:rPr>
            </w:pPr>
            <w:r>
              <w:rPr>
                <w:rFonts w:ascii="Arial" w:cs="Arial" w:eastAsia="Arial" w:hAnsi="Arial"/>
                <w:sz w:val="17"/>
                <w:szCs w:val="17"/>
                <w:color w:val="auto"/>
              </w:rPr>
              <w:t>Proceeds from short-term debt</w:t>
            </w: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1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480" w:type="dxa"/>
            <w:vAlign w:val="bottom"/>
          </w:tcPr>
          <w:p>
            <w:pPr>
              <w:jc w:val="right"/>
              <w:ind w:right="294"/>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150,000</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500" w:type="dxa"/>
            <w:vAlign w:val="bottom"/>
            <w:gridSpan w:val="2"/>
          </w:tcPr>
          <w:p>
            <w:pPr>
              <w:jc w:val="right"/>
              <w:ind w:right="94"/>
              <w:spacing w:after="0"/>
              <w:rPr>
                <w:sz w:val="20"/>
                <w:szCs w:val="20"/>
                <w:color w:val="auto"/>
              </w:rPr>
            </w:pPr>
            <w:r>
              <w:rPr>
                <w:rFonts w:ascii="Arial" w:cs="Arial" w:eastAsia="Arial" w:hAnsi="Arial"/>
                <w:sz w:val="17"/>
                <w:szCs w:val="17"/>
                <w:color w:val="auto"/>
              </w:rPr>
              <w:t>(150,000) (1)</w:t>
            </w:r>
          </w:p>
        </w:tc>
      </w:tr>
      <w:tr>
        <w:trPr>
          <w:trHeight w:val="220"/>
        </w:trPr>
        <w:tc>
          <w:tcPr>
            <w:tcW w:w="6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Repayment of short-term debt</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150,000</w:t>
            </w:r>
          </w:p>
        </w:tc>
        <w:tc>
          <w:tcPr>
            <w:tcW w:w="3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6"/>
              </w:rPr>
              <w:t>(1)</w:t>
            </w:r>
          </w:p>
        </w:tc>
      </w:tr>
      <w:tr>
        <w:trPr>
          <w:trHeight w:val="220"/>
        </w:trPr>
        <w:tc>
          <w:tcPr>
            <w:tcW w:w="6560" w:type="dxa"/>
            <w:vAlign w:val="bottom"/>
          </w:tcPr>
          <w:p>
            <w:pPr>
              <w:ind w:left="20"/>
              <w:spacing w:after="0"/>
              <w:rPr>
                <w:sz w:val="20"/>
                <w:szCs w:val="20"/>
                <w:color w:val="auto"/>
              </w:rPr>
            </w:pPr>
            <w:r>
              <w:rPr>
                <w:rFonts w:ascii="Arial" w:cs="Arial" w:eastAsia="Arial" w:hAnsi="Arial"/>
                <w:sz w:val="17"/>
                <w:szCs w:val="17"/>
                <w:color w:val="auto"/>
              </w:rPr>
              <w:t>Proceeds from exercise of stock options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6,966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8,586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gridSpan w:val="2"/>
          </w:tcPr>
          <w:p>
            <w:pPr>
              <w:jc w:val="right"/>
              <w:ind w:right="94"/>
              <w:spacing w:after="0"/>
              <w:rPr>
                <w:sz w:val="20"/>
                <w:szCs w:val="20"/>
                <w:color w:val="auto"/>
              </w:rPr>
            </w:pPr>
            <w:r>
              <w:rPr>
                <w:rFonts w:ascii="Arial" w:cs="Arial" w:eastAsia="Arial" w:hAnsi="Arial"/>
                <w:sz w:val="17"/>
                <w:szCs w:val="17"/>
                <w:color w:val="auto"/>
              </w:rPr>
              <w:t>(1,620) (2)</w:t>
            </w:r>
          </w:p>
        </w:tc>
      </w:tr>
      <w:tr>
        <w:trPr>
          <w:trHeight w:val="220"/>
        </w:trPr>
        <w:tc>
          <w:tcPr>
            <w:tcW w:w="6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Payments on finance leases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(217)</w:t>
            </w:r>
          </w:p>
        </w:tc>
        <w:tc>
          <w:tcPr>
            <w:tcW w:w="380" w:type="dxa"/>
            <w:vAlign w:val="bottom"/>
            <w:shd w:val="clear" w:color="auto" w:fill="CCEEFF"/>
          </w:tcPr>
          <w:p>
            <w:pPr>
              <w:spacing w:after="0"/>
              <w:rPr>
                <w:sz w:val="19"/>
                <w:szCs w:val="19"/>
                <w:color w:val="auto"/>
              </w:rPr>
            </w:pPr>
          </w:p>
        </w:tc>
      </w:tr>
      <w:tr>
        <w:trPr>
          <w:trHeight w:val="220"/>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Tax withholding payments related to net share settlement of equity awards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(8,109)</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(12,821)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4,712</w:t>
            </w:r>
          </w:p>
        </w:tc>
        <w:tc>
          <w:tcPr>
            <w:tcW w:w="380" w:type="dxa"/>
            <w:vAlign w:val="bottom"/>
            <w:tcBorders>
              <w:bottom w:val="single" w:sz="8" w:color="CCEEFF"/>
            </w:tcBorders>
          </w:tcPr>
          <w:p>
            <w:pPr>
              <w:jc w:val="right"/>
              <w:ind w:right="94"/>
              <w:spacing w:after="0"/>
              <w:rPr>
                <w:sz w:val="20"/>
                <w:szCs w:val="20"/>
                <w:color w:val="auto"/>
              </w:rPr>
            </w:pPr>
            <w:r>
              <w:rPr>
                <w:rFonts w:ascii="Arial" w:cs="Arial" w:eastAsia="Arial" w:hAnsi="Arial"/>
                <w:sz w:val="17"/>
                <w:szCs w:val="17"/>
                <w:color w:val="auto"/>
                <w:w w:val="86"/>
              </w:rPr>
              <w:t>(3)</w:t>
            </w:r>
          </w:p>
        </w:tc>
      </w:tr>
      <w:tr>
        <w:trPr>
          <w:trHeight w:val="238"/>
        </w:trPr>
        <w:tc>
          <w:tcPr>
            <w:tcW w:w="6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Net cash used in financing activities</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(1,591)</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4"/>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(4,466)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2,875</w:t>
            </w:r>
          </w:p>
        </w:tc>
        <w:tc>
          <w:tcPr>
            <w:tcW w:w="380" w:type="dxa"/>
            <w:vAlign w:val="bottom"/>
            <w:tcBorders>
              <w:bottom w:val="single" w:sz="8" w:color="CCEEFF"/>
            </w:tcBorders>
            <w:shd w:val="clear" w:color="auto" w:fill="CCEEFF"/>
          </w:tcPr>
          <w:p>
            <w:pPr>
              <w:spacing w:after="0"/>
              <w:rPr>
                <w:sz w:val="20"/>
                <w:szCs w:val="20"/>
                <w:color w:val="auto"/>
              </w:rPr>
            </w:pP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w:t>
      </w:r>
    </w:p>
    <w:p>
      <w:pPr>
        <w:spacing w:after="0" w:line="115" w:lineRule="exact"/>
        <w:rPr>
          <w:sz w:val="20"/>
          <w:szCs w:val="20"/>
          <w:color w:val="auto"/>
        </w:rPr>
      </w:pPr>
    </w:p>
    <w:p>
      <w:pPr>
        <w:ind w:left="320" w:right="220" w:hanging="317"/>
        <w:spacing w:after="0" w:line="247" w:lineRule="auto"/>
        <w:tabs>
          <w:tab w:leader="none" w:pos="168" w:val="left"/>
        </w:tabs>
        <w:numPr>
          <w:ilvl w:val="0"/>
          <w:numId w:val="21"/>
        </w:numPr>
        <w:rPr>
          <w:rFonts w:ascii="Arial" w:cs="Arial" w:eastAsia="Arial" w:hAnsi="Arial"/>
          <w:sz w:val="20"/>
          <w:szCs w:val="20"/>
          <w:color w:val="auto"/>
          <w:vertAlign w:val="superscript"/>
        </w:rPr>
      </w:pPr>
      <w:r>
        <w:rPr>
          <w:rFonts w:ascii="Arial" w:cs="Arial" w:eastAsia="Arial" w:hAnsi="Arial"/>
          <w:sz w:val="16"/>
          <w:szCs w:val="16"/>
          <w:color w:val="auto"/>
        </w:rPr>
        <w:t>During March 2020, as a result of market uncertainty caused by COVID-19, we borrowed $150.0 million under our revolving Credit Facility. We fully repaid the amounts borrowed under our revolving Credit Facility in September 2020.</w:t>
      </w:r>
    </w:p>
    <w:p>
      <w:pPr>
        <w:ind w:left="320" w:right="300" w:hanging="317"/>
        <w:spacing w:after="0" w:line="221" w:lineRule="auto"/>
        <w:tabs>
          <w:tab w:leader="none" w:pos="312" w:val="left"/>
        </w:tabs>
        <w:numPr>
          <w:ilvl w:val="0"/>
          <w:numId w:val="21"/>
        </w:numPr>
        <w:rPr>
          <w:rFonts w:ascii="Arial" w:cs="Arial" w:eastAsia="Arial" w:hAnsi="Arial"/>
          <w:sz w:val="22"/>
          <w:szCs w:val="22"/>
          <w:color w:val="auto"/>
          <w:vertAlign w:val="superscript"/>
        </w:rPr>
      </w:pPr>
      <w:r>
        <w:rPr>
          <w:rFonts w:ascii="Arial" w:cs="Arial" w:eastAsia="Arial" w:hAnsi="Arial"/>
          <w:sz w:val="17"/>
          <w:szCs w:val="17"/>
          <w:color w:val="auto"/>
        </w:rPr>
        <w:t>Proceeds from the exercise of stock options will vary from period to period based on the volume of options exercised and the exercise price of the specific options exercised.</w:t>
      </w:r>
    </w:p>
    <w:p>
      <w:pPr>
        <w:ind w:left="320" w:right="440" w:hanging="317"/>
        <w:spacing w:after="0" w:line="239" w:lineRule="auto"/>
        <w:tabs>
          <w:tab w:leader="none" w:pos="168" w:val="left"/>
        </w:tabs>
        <w:numPr>
          <w:ilvl w:val="0"/>
          <w:numId w:val="21"/>
        </w:numPr>
        <w:rPr>
          <w:rFonts w:ascii="Arial" w:cs="Arial" w:eastAsia="Arial" w:hAnsi="Arial"/>
          <w:sz w:val="20"/>
          <w:szCs w:val="20"/>
          <w:color w:val="auto"/>
          <w:vertAlign w:val="superscript"/>
        </w:rPr>
      </w:pPr>
      <w:r>
        <w:rPr>
          <w:rFonts w:ascii="Arial" w:cs="Arial" w:eastAsia="Arial" w:hAnsi="Arial"/>
          <w:sz w:val="16"/>
          <w:szCs w:val="16"/>
          <w:color w:val="auto"/>
        </w:rPr>
        <w:t>During the nine months ended September 30, 2021, our employees surrendered 39,371 shares of our common stock from vested restricted stock awards as consideration for approximately $8.1 million in minimum statutory withholding</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8" w:name="page39"/>
    <w:bookmarkEnd w:id="3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320" w:right="340"/>
        <w:spacing w:after="0" w:line="315" w:lineRule="auto"/>
        <w:rPr>
          <w:sz w:val="20"/>
          <w:szCs w:val="20"/>
          <w:color w:val="auto"/>
        </w:rPr>
      </w:pPr>
      <w:r>
        <w:rPr>
          <w:rFonts w:ascii="Arial" w:cs="Arial" w:eastAsia="Arial" w:hAnsi="Arial"/>
          <w:sz w:val="16"/>
          <w:szCs w:val="16"/>
          <w:color w:val="auto"/>
        </w:rPr>
        <w:t>obligations paid on their behalf. During the nine months ended September 30, 2020, our employees surrendered 66,749 shares of our common stock from vested restricted stock awards as consideration for approximately $12.8 million in minimum statutory withholding obligations paid on their behalf.</w:t>
      </w:r>
    </w:p>
    <w:p>
      <w:pPr>
        <w:spacing w:after="0" w:line="163" w:lineRule="exact"/>
        <w:rPr>
          <w:sz w:val="20"/>
          <w:szCs w:val="20"/>
          <w:color w:val="auto"/>
        </w:rPr>
      </w:pPr>
    </w:p>
    <w:p>
      <w:pPr>
        <w:ind w:right="260" w:firstLine="620"/>
        <w:spacing w:after="0" w:line="315" w:lineRule="auto"/>
        <w:rPr>
          <w:sz w:val="20"/>
          <w:szCs w:val="20"/>
          <w:color w:val="auto"/>
        </w:rPr>
      </w:pPr>
      <w:r>
        <w:rPr>
          <w:rFonts w:ascii="Arial" w:cs="Arial" w:eastAsia="Arial" w:hAnsi="Arial"/>
          <w:sz w:val="16"/>
          <w:szCs w:val="16"/>
          <w:color w:val="auto"/>
        </w:rPr>
        <w:t>In August 2019, our Board of Directors approved a share purchase plan to purchase up to $100.0 million of our common stock. This plan replaced our existing plan and has no expiration date. As of September 30, 2021, all of the $100 million available for purchase was remaining under the plan.</w:t>
      </w:r>
    </w:p>
    <w:p>
      <w:pPr>
        <w:spacing w:after="0" w:line="163" w:lineRule="exact"/>
        <w:rPr>
          <w:sz w:val="20"/>
          <w:szCs w:val="20"/>
          <w:color w:val="auto"/>
        </w:rPr>
      </w:pPr>
    </w:p>
    <w:p>
      <w:pPr>
        <w:ind w:right="40" w:firstLine="620"/>
        <w:spacing w:after="0" w:line="268" w:lineRule="auto"/>
        <w:rPr>
          <w:sz w:val="20"/>
          <w:szCs w:val="20"/>
          <w:color w:val="auto"/>
        </w:rPr>
      </w:pPr>
      <w:r>
        <w:rPr>
          <w:rFonts w:ascii="Arial" w:cs="Arial" w:eastAsia="Arial" w:hAnsi="Arial"/>
          <w:sz w:val="17"/>
          <w:szCs w:val="17"/>
          <w:color w:val="auto"/>
        </w:rPr>
        <w:t>We have a substantial cash and investment security position generated from operations. We maintain this position to address any operational challenges related to COVID-19, fund our growth, meet increasing working capital requirements, fund capital expenditures and to take advantage of acquisition opportunities that may arise. Our primary investment goal is capital preservation.</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Definitive Agreement to Purchase Smiths Medical 2020 Limited</w:t>
      </w:r>
    </w:p>
    <w:p>
      <w:pPr>
        <w:spacing w:after="0" w:line="244" w:lineRule="exact"/>
        <w:rPr>
          <w:sz w:val="20"/>
          <w:szCs w:val="20"/>
          <w:color w:val="auto"/>
        </w:rPr>
      </w:pPr>
    </w:p>
    <w:p>
      <w:pPr>
        <w:ind w:right="40" w:firstLine="620"/>
        <w:spacing w:after="0" w:line="277" w:lineRule="auto"/>
        <w:rPr>
          <w:sz w:val="20"/>
          <w:szCs w:val="20"/>
          <w:color w:val="auto"/>
        </w:rPr>
      </w:pPr>
      <w:r>
        <w:rPr>
          <w:rFonts w:ascii="Arial" w:cs="Arial" w:eastAsia="Arial" w:hAnsi="Arial"/>
          <w:sz w:val="16"/>
          <w:szCs w:val="16"/>
          <w:color w:val="auto"/>
        </w:rPr>
        <w:t>As mentioned above, we entered into a definitive agreement to acquire Smiths Medical 2020 Limited. The purchase price includes the payment of $1.9 billion in cash, a potential contingent earn-out of $100.0 million and the issuance of 2.5 million fully paid and non-assessable shares of our common stock. During September 2021, we entered into a debt commitment letter pursuant to which we will be provided with senior secured credit facilities of up to $2.0 billion consisting of a term loan A facility of $850.0 million, a term loan B facility of $850.0 million and a revolving credit facility of $300.0 million. In October 2021, the debt commitment related to the term loan A and revolving credit facility was syndicated to a broader group of Committed Parties. As part of the syndication process, the size of the revolving credit facility was increased from $300.0 million to $500.0 million. The proceeds from the new credit facilities will be used to partially finance the Smiths acquisition. We expect the new credit facilities to be available near or on the closing date of the Smiths acquisition.</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Access to Capital</w:t>
      </w:r>
    </w:p>
    <w:p>
      <w:pPr>
        <w:spacing w:after="0" w:line="218" w:lineRule="exact"/>
        <w:rPr>
          <w:sz w:val="20"/>
          <w:szCs w:val="20"/>
          <w:color w:val="auto"/>
        </w:rPr>
      </w:pPr>
    </w:p>
    <w:p>
      <w:pPr>
        <w:ind w:firstLine="620"/>
        <w:spacing w:after="0" w:line="258" w:lineRule="auto"/>
        <w:rPr>
          <w:sz w:val="20"/>
          <w:szCs w:val="20"/>
          <w:color w:val="auto"/>
        </w:rPr>
      </w:pPr>
      <w:r>
        <w:rPr>
          <w:rFonts w:ascii="Arial" w:cs="Arial" w:eastAsia="Arial" w:hAnsi="Arial"/>
          <w:sz w:val="17"/>
          <w:szCs w:val="17"/>
          <w:color w:val="auto"/>
        </w:rPr>
        <w:t>We believe that our existing cash and cash equivalents along with funds expected to be generated from future operations and the funds received under the Credit Facilities in connection with financing the Smiths acquisition will provide us with sufficient funds to finance our current operations for the next twelve months. In the event that we experience downturns, cyclical fluctuations in our business that are more severe or longer than anticipated, fail to achieve anticipated revenue and expense levels, or have significant unplanned cash expenditures, we may need to obtain or seek alternative sources of capital or financing, and we can provide no assurances that the terms of such capital or financing will be available to us on favorable terms, if at all. Our ability to generate cash flows from operations, issue debt or enter into other financing arrangements on acceptable terms could be adversely affected if there is a material decline in the demand for our products or in the solvency of our customers or suppliers, deterioration in our key financial ratios or credit ratings or other significantly unfavorable changes in conditions.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Credit Facility</w:t>
      </w:r>
    </w:p>
    <w:p>
      <w:pPr>
        <w:spacing w:after="0" w:line="244" w:lineRule="exact"/>
        <w:rPr>
          <w:sz w:val="20"/>
          <w:szCs w:val="20"/>
          <w:color w:val="auto"/>
        </w:rPr>
      </w:pPr>
    </w:p>
    <w:p>
      <w:pPr>
        <w:ind w:firstLine="169"/>
        <w:spacing w:after="0" w:line="298" w:lineRule="auto"/>
        <w:rPr>
          <w:sz w:val="20"/>
          <w:szCs w:val="20"/>
          <w:color w:val="auto"/>
        </w:rPr>
      </w:pPr>
      <w:r>
        <w:rPr>
          <w:rFonts w:ascii="Arial" w:cs="Arial" w:eastAsia="Arial" w:hAnsi="Arial"/>
          <w:sz w:val="15"/>
          <w:szCs w:val="15"/>
          <w:color w:val="auto"/>
        </w:rPr>
        <w:t>We have a five-year Credit Facility with various lenders for $150.0 million, with Wells Fargo Bank, N.A. as the administrative agent (see Note 16: Long-Term Obligations). The Credit Facility has an accordion feature that would enable us to increase the borrowing capacity of the Credit Facility by the greater of (i) $100.0 million and (ii) 2.00x Total Leverage. Under the terms of the Credit Facility, we will be subject to certain financial covenants pertaining to leverage and fixed charge coverage ratios. Borrowings under the Credit Facility will bear interest at LIBOR plus an applicable margin tied to the leverage ratio in effect. Any unused portion of the Credit Facility will be subject to a per annum commitment fee which is also calculated using the leverage ratio in effect. The Credit Facility matures in November 2022. During March 2020, as a precautionary measure in response to market uncertainty driven by the COVID-19 pandemic, we preemptively increased our liquidity by borrowing $150.0 million under our Credit Facility. In September 2020, we fully repaid the borrowings under our Credit Facility.</w:t>
      </w:r>
    </w:p>
    <w:p>
      <w:pPr>
        <w:spacing w:after="0" w:line="181" w:lineRule="exact"/>
        <w:rPr>
          <w:sz w:val="20"/>
          <w:szCs w:val="20"/>
          <w:color w:val="auto"/>
        </w:rPr>
      </w:pPr>
    </w:p>
    <w:p>
      <w:pPr>
        <w:ind w:right="160" w:firstLine="620"/>
        <w:spacing w:after="0" w:line="315" w:lineRule="auto"/>
        <w:rPr>
          <w:sz w:val="20"/>
          <w:szCs w:val="20"/>
          <w:color w:val="auto"/>
        </w:rPr>
      </w:pPr>
      <w:r>
        <w:rPr>
          <w:rFonts w:ascii="Arial" w:cs="Arial" w:eastAsia="Arial" w:hAnsi="Arial"/>
          <w:sz w:val="16"/>
          <w:szCs w:val="16"/>
          <w:color w:val="auto"/>
        </w:rPr>
        <w:t>Our current Credit Facility will be refinanced in full with the consummation of the Smiths acquisition. We expect to enter into a new credit facility at or near the closing of the Smiths acquisition which we anticipate will include a new revolving credit facility of $500.0 million (see Note 20, Acquisitions).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Financial Covenants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9" w:name="page40"/>
    <w:bookmarkEnd w:id="3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Credit Facility contains certain negative financial covenants, including, Consolidated Total Leverage and Consolidated Fixed Charge Coverage Ratios.</w:t>
      </w:r>
    </w:p>
    <w:p>
      <w:pPr>
        <w:spacing w:after="0" w:line="229" w:lineRule="exact"/>
        <w:rPr>
          <w:sz w:val="20"/>
          <w:szCs w:val="20"/>
          <w:color w:val="auto"/>
        </w:rPr>
      </w:pPr>
    </w:p>
    <w:p>
      <w:pPr>
        <w:ind w:right="220" w:firstLine="169"/>
        <w:spacing w:after="0" w:line="268" w:lineRule="auto"/>
        <w:rPr>
          <w:sz w:val="20"/>
          <w:szCs w:val="20"/>
          <w:color w:val="auto"/>
        </w:rPr>
      </w:pPr>
      <w:r>
        <w:rPr>
          <w:rFonts w:ascii="Arial" w:cs="Arial" w:eastAsia="Arial" w:hAnsi="Arial"/>
          <w:sz w:val="17"/>
          <w:szCs w:val="17"/>
          <w:color w:val="auto"/>
        </w:rPr>
        <w:t>The Consolidated Leverage Ratio is defined as the ratio of Consolidated Total Funded Indebtedness on such date, to Consolidated Adjusted EBITDA, as defined under the Credit Facility Agreement, for the most recently completed four fiscal quarters. The maximum Consolidated Leverage Ratio is not more than 3.00 to 1.00.</w:t>
      </w:r>
    </w:p>
    <w:p>
      <w:pPr>
        <w:spacing w:after="0" w:line="198" w:lineRule="exact"/>
        <w:rPr>
          <w:sz w:val="20"/>
          <w:szCs w:val="20"/>
          <w:color w:val="auto"/>
        </w:rPr>
      </w:pPr>
    </w:p>
    <w:p>
      <w:pPr>
        <w:ind w:right="80" w:firstLine="169"/>
        <w:spacing w:after="0" w:line="320" w:lineRule="auto"/>
        <w:rPr>
          <w:sz w:val="20"/>
          <w:szCs w:val="20"/>
          <w:color w:val="auto"/>
        </w:rPr>
      </w:pPr>
      <w:r>
        <w:rPr>
          <w:rFonts w:ascii="Arial" w:cs="Arial" w:eastAsia="Arial" w:hAnsi="Arial"/>
          <w:sz w:val="15"/>
          <w:szCs w:val="15"/>
          <w:color w:val="auto"/>
        </w:rPr>
        <w:t>The Consolidated Fixed Charge Coverage Ratio is defined as the ratio of: (a) Consolidated Adjusted EBITDA less the sum of (i) capital expenditures, (ii) federal, state, local and foreign income taxes paid in cash and (iii) cash restricted payments made after the closing date, to (b) Consolidated Fixed Charges for the most recently completed four fiscal quarters, calculated on a pro forma basis. The minimum Consolidated Fixed Charge Coverage Ratio is 2.00 to 1.00.</w:t>
      </w:r>
    </w:p>
    <w:p>
      <w:pPr>
        <w:spacing w:after="0" w:line="137" w:lineRule="exact"/>
        <w:rPr>
          <w:sz w:val="20"/>
          <w:szCs w:val="20"/>
          <w:color w:val="auto"/>
        </w:rPr>
      </w:pPr>
    </w:p>
    <w:p>
      <w:pPr>
        <w:ind w:left="180"/>
        <w:spacing w:after="0"/>
        <w:rPr>
          <w:sz w:val="20"/>
          <w:szCs w:val="20"/>
          <w:color w:val="auto"/>
        </w:rPr>
      </w:pPr>
      <w:r>
        <w:rPr>
          <w:rFonts w:ascii="Arial" w:cs="Arial" w:eastAsia="Arial" w:hAnsi="Arial"/>
          <w:sz w:val="17"/>
          <w:szCs w:val="17"/>
          <w:color w:val="auto"/>
        </w:rPr>
        <w:t>We were in compliance with all financial covenants as of September 30, 2021.</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224" w:lineRule="exact"/>
        <w:rPr>
          <w:sz w:val="20"/>
          <w:szCs w:val="20"/>
          <w:color w:val="auto"/>
        </w:rPr>
      </w:pPr>
    </w:p>
    <w:p>
      <w:pPr>
        <w:ind w:right="240" w:firstLine="620"/>
        <w:spacing w:after="0" w:line="263" w:lineRule="auto"/>
        <w:rPr>
          <w:sz w:val="20"/>
          <w:szCs w:val="20"/>
          <w:color w:val="auto"/>
        </w:rPr>
      </w:pPr>
      <w:r>
        <w:rPr>
          <w:rFonts w:ascii="Arial" w:cs="Arial" w:eastAsia="Arial" w:hAnsi="Arial"/>
          <w:sz w:val="17"/>
          <w:szCs w:val="17"/>
          <w:color w:val="auto"/>
        </w:rPr>
        <w:t>In the normal course of business, we have agreed to indemnify our officers and directors to the maximum extent permitted under Delaware law and to indemnify customers as to certain intellectual property matters related to sales of our products. There is no maximum limit on the indemnification that may be required under these agreements. Although we can provide no assurances, we have never incurred, nor do we expect to incur, any material liability for indemnification.</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w:t>
      </w:r>
    </w:p>
    <w:p>
      <w:pPr>
        <w:spacing w:after="0" w:line="250" w:lineRule="exact"/>
        <w:rPr>
          <w:sz w:val="20"/>
          <w:szCs w:val="20"/>
          <w:color w:val="auto"/>
        </w:rPr>
      </w:pPr>
    </w:p>
    <w:p>
      <w:pPr>
        <w:ind w:firstLine="172"/>
        <w:spacing w:after="0" w:line="259" w:lineRule="auto"/>
        <w:rPr>
          <w:sz w:val="20"/>
          <w:szCs w:val="20"/>
          <w:color w:val="auto"/>
        </w:rPr>
      </w:pPr>
      <w:r>
        <w:rPr>
          <w:rFonts w:ascii="Arial" w:cs="Arial" w:eastAsia="Arial" w:hAnsi="Arial"/>
          <w:sz w:val="17"/>
          <w:szCs w:val="17"/>
          <w:color w:val="auto"/>
        </w:rPr>
        <w:t>There have been no material changes to our contractual obligations disclosed in our Annual Report on Form 10-K for the fiscal year ended December 31, 2020 ("Annual Report"), except with respect to our purchase obligations in connection with the Smiths transaction. Pursuant to the Purchase Agreement, we expect to purchase the entire share capital of Smiths for $1.9 billion in cash, the issuance of 2.5 million fully paid and non-assessable shares of our common stock, par value $0.10 per share and a potential contingent earn-out of $100.0 million in cash, which is to be based upon our common stock achieving a certain volume. We expect to finance this acquisition with senior secured credit facilities of up to $2.2 billion consisting of a term loan A facility of $850.0 million, a term loan B facility of $850 million and a revolving credit facility of $500.0 million.</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w:t>
      </w:r>
    </w:p>
    <w:p>
      <w:pPr>
        <w:spacing w:after="0" w:line="250" w:lineRule="exact"/>
        <w:rPr>
          <w:sz w:val="20"/>
          <w:szCs w:val="20"/>
          <w:color w:val="auto"/>
        </w:rPr>
      </w:pPr>
    </w:p>
    <w:p>
      <w:pPr>
        <w:jc w:val="both"/>
        <w:ind w:right="180" w:firstLine="620"/>
        <w:spacing w:after="0" w:line="353" w:lineRule="auto"/>
        <w:rPr>
          <w:sz w:val="20"/>
          <w:szCs w:val="20"/>
          <w:color w:val="auto"/>
        </w:rPr>
      </w:pPr>
      <w:r>
        <w:rPr>
          <w:rFonts w:ascii="Arial" w:cs="Arial" w:eastAsia="Arial" w:hAnsi="Arial"/>
          <w:sz w:val="15"/>
          <w:szCs w:val="15"/>
          <w:color w:val="auto"/>
        </w:rPr>
        <w:t>In our Annual Report, we identified the critical accounting policies which affect our more significant estimates and assumptions used in preparing our consolidated financial statements, there have been no material changes to our critical accounting policies from those previously disclosed in our Annual Report.</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New Accounting Pronouncements</w:t>
      </w:r>
    </w:p>
    <w:p>
      <w:pPr>
        <w:spacing w:after="0" w:line="22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See Note 2 to Part I, Item 1. Financial Statements.</w:t>
      </w: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40" w:name="page41"/>
    <w:bookmarkEnd w:id="40"/>
    <w:p>
      <w:pPr>
        <w:spacing w:after="0"/>
        <w:rPr>
          <w:sz w:val="20"/>
          <w:szCs w:val="20"/>
          <w:color w:val="auto"/>
        </w:rPr>
      </w:pPr>
      <w:r>
        <w:rPr>
          <w:rFonts w:ascii="Arial" w:cs="Arial" w:eastAsia="Arial" w:hAnsi="Arial"/>
          <w:sz w:val="17"/>
          <w:szCs w:val="17"/>
          <w:b w:val="1"/>
          <w:bCs w:val="1"/>
          <w:color w:val="auto"/>
        </w:rPr>
        <w:t>Forward Looking Statements</w:t>
      </w:r>
    </w:p>
    <w:p>
      <w:pPr>
        <w:spacing w:after="0" w:line="224" w:lineRule="exact"/>
        <w:rPr>
          <w:sz w:val="20"/>
          <w:szCs w:val="20"/>
          <w:color w:val="auto"/>
        </w:rPr>
      </w:pPr>
    </w:p>
    <w:p>
      <w:pPr>
        <w:ind w:right="20" w:firstLine="620"/>
        <w:spacing w:after="0" w:line="277" w:lineRule="auto"/>
        <w:rPr>
          <w:sz w:val="20"/>
          <w:szCs w:val="20"/>
          <w:color w:val="auto"/>
        </w:rPr>
      </w:pPr>
      <w:r>
        <w:rPr>
          <w:rFonts w:ascii="Arial" w:cs="Arial" w:eastAsia="Arial" w:hAnsi="Arial"/>
          <w:sz w:val="16"/>
          <w:szCs w:val="16"/>
          <w:color w:val="auto"/>
        </w:rPr>
        <w:t>Various portions of this Quarterly Report on Form 10-Q, including this Management’s Discussion and Analysis of Financial Condition and Results of Operations, and documents referenced herein, describe trends in our business and finances that we perceive and state some of our expectations and beliefs about our future. These statements about the future are “forward looking statements,” within the meaning of Section 27A of the Securities Act of 1933, as amended, and Section 21E of the Securities Exchange Act of 1934, as amended, and we may identify them by using words such as "anticipate," "believe," "expect," "estimate," "intend," "plan," "will," "continue," "could," "may," and by similar expressions and statements about aims, goals and plans. The forward looking statements are based on the best information currently available to us and assumptions that we believe are reasonable, but we do not intend the statements to be representations as to future results. They include, without limitation, statements about:</w:t>
      </w:r>
    </w:p>
    <w:p>
      <w:pPr>
        <w:spacing w:after="0" w:line="193" w:lineRule="exact"/>
        <w:rPr>
          <w:sz w:val="20"/>
          <w:szCs w:val="20"/>
          <w:color w:val="auto"/>
        </w:rPr>
      </w:pPr>
    </w:p>
    <w:p>
      <w:pPr>
        <w:ind w:left="1240" w:right="160" w:hanging="306"/>
        <w:spacing w:after="0" w:line="278" w:lineRule="auto"/>
        <w:tabs>
          <w:tab w:leader="none" w:pos="1236" w:val="left"/>
        </w:tabs>
        <w:numPr>
          <w:ilvl w:val="0"/>
          <w:numId w:val="22"/>
        </w:numPr>
        <w:rPr>
          <w:rFonts w:ascii="Arial" w:cs="Arial" w:eastAsia="Arial" w:hAnsi="Arial"/>
          <w:sz w:val="16"/>
          <w:szCs w:val="16"/>
          <w:color w:val="auto"/>
        </w:rPr>
      </w:pPr>
      <w:r>
        <w:rPr>
          <w:rFonts w:ascii="Arial" w:cs="Arial" w:eastAsia="Arial" w:hAnsi="Arial"/>
          <w:sz w:val="16"/>
          <w:szCs w:val="16"/>
          <w:color w:val="auto"/>
        </w:rPr>
        <w:t>future growth; future operating results and various elements of operating results, including future expenditures and effects with respect to sales and marketing and product development and acquisition efforts; future sales and unit volumes of products; expected increases and decreases in sales; deferred revenue; accruals for restructuring charges, future license, royalty and revenue share income; production costs; gross margins; litigation expense; future SG&amp;A and R&amp;D expenses; manufacturing expenses; future costs of expanding our business; income; losses; cash flow; amortization; source of funds for capital purchases and operations; future tax rates; alternative sources of capital or financing; changes in working capital items such as receivables and inventory; selling prices; and income taxes;</w:t>
      </w:r>
    </w:p>
    <w:p>
      <w:pPr>
        <w:spacing w:after="0" w:line="194" w:lineRule="exact"/>
        <w:rPr>
          <w:rFonts w:ascii="Arial" w:cs="Arial" w:eastAsia="Arial" w:hAnsi="Arial"/>
          <w:sz w:val="16"/>
          <w:szCs w:val="16"/>
          <w:color w:val="auto"/>
        </w:rPr>
      </w:pPr>
    </w:p>
    <w:p>
      <w:pPr>
        <w:ind w:left="1240" w:hanging="306"/>
        <w:spacing w:after="0" w:line="293" w:lineRule="auto"/>
        <w:tabs>
          <w:tab w:leader="none" w:pos="1236" w:val="left"/>
        </w:tabs>
        <w:numPr>
          <w:ilvl w:val="0"/>
          <w:numId w:val="22"/>
        </w:numPr>
        <w:rPr>
          <w:rFonts w:ascii="Arial" w:cs="Arial" w:eastAsia="Arial" w:hAnsi="Arial"/>
          <w:sz w:val="15"/>
          <w:szCs w:val="15"/>
          <w:color w:val="auto"/>
        </w:rPr>
      </w:pPr>
      <w:r>
        <w:rPr>
          <w:rFonts w:ascii="Arial" w:cs="Arial" w:eastAsia="Arial" w:hAnsi="Arial"/>
          <w:sz w:val="15"/>
          <w:szCs w:val="15"/>
          <w:color w:val="auto"/>
        </w:rPr>
        <w:t>factors affecting operating results, such as shipments to specific customers; reduced dependence on current proprietary products; loss of a strategic relationship; change in demand; domestic and international sales; expansion in international markets, selling prices; future increases or decreases in sales of certain products and in certain markets and distribution channels; maintaining strategic relationships and securing long-term and multi-product contracts with large healthcare providers and major buying organizations; increases in systems capabilities; introduction, development and sales of new products, acquisition and integration of businesses and product lines (including the Smiths business); benefits of our products over competing systems; qualification of our new products for the expedited Section 510(k) clearance procedure; possibility of lengthier clearance process for new products; planned increases in marketing; warranty claims; rebates; product returns; bad debt expense; amortization expense; inventory requirements; lives of property and equipment; manufacturing efficiencies and cost savings; unit manufacturing costs; establishment or expansion of production facilities inside or outside of the United States; planned new orders for semi-automated or fully automated assembly machines for new products; adequacy of production capacity; results of R&amp;D; our plans to repurchase shares of our common stock; asset impairment losses; relocation of manufacturing facilities and personnel; effect of expansion of manufacturing facilities on production efficiencies and resolution of production inefficiencies; the effect of costs to customers and delivery times; business seasonality and fluctuations in quarterly results; customer ordering patterns and the effects of new accounting pronouncements; and</w:t>
      </w:r>
    </w:p>
    <w:p>
      <w:pPr>
        <w:spacing w:after="0" w:line="182" w:lineRule="exact"/>
        <w:rPr>
          <w:rFonts w:ascii="Arial" w:cs="Arial" w:eastAsia="Arial" w:hAnsi="Arial"/>
          <w:sz w:val="15"/>
          <w:szCs w:val="15"/>
          <w:color w:val="auto"/>
        </w:rPr>
      </w:pPr>
    </w:p>
    <w:p>
      <w:pPr>
        <w:ind w:left="1240" w:right="20" w:hanging="306"/>
        <w:spacing w:after="0" w:line="256" w:lineRule="auto"/>
        <w:tabs>
          <w:tab w:leader="none" w:pos="1236" w:val="left"/>
        </w:tabs>
        <w:numPr>
          <w:ilvl w:val="0"/>
          <w:numId w:val="22"/>
        </w:numPr>
        <w:rPr>
          <w:rFonts w:ascii="Arial" w:cs="Arial" w:eastAsia="Arial" w:hAnsi="Arial"/>
          <w:sz w:val="17"/>
          <w:szCs w:val="17"/>
          <w:color w:val="auto"/>
        </w:rPr>
      </w:pPr>
      <w:r>
        <w:rPr>
          <w:rFonts w:ascii="Arial" w:cs="Arial" w:eastAsia="Arial" w:hAnsi="Arial"/>
          <w:sz w:val="17"/>
          <w:szCs w:val="17"/>
          <w:color w:val="auto"/>
        </w:rPr>
        <w:t>new or extended contracts with manufacturers and buying organizations; dependence on a small number of customers; loss of larger distributors and the ability to locate other distributors; impact of our pending acquisition of the Smiths business; growth of our Clave products in future years; design features of Clave products; the outcome of our strategic initiatives; regulatory approvals and compliance; outcome of litigation; patent protection and intellectual property landscape; patent infringement claims and the impact of newly issued patents on other medical devices; competitive and market factors, including continuing development of competing products by other manufacturers; improved production processes and higher volume production; innovation requirements; consolidation of the healthcare provider market and downward pressure on selling prices; distribution or financial capabilities of competitors; healthcare reform legislation; use of treasury stock; working capital requirements; liquidity and realizable value of our investment securities; future investment alternatives; foreign currency denominated financial instruments; foreign exchange risk; commodity price risk; our expectations regarding liquidity and capital resources over the next twelve months; capital expenditures; plans to convert existing space; acquisitions of other businesses or product lines, indemnification liabilities and contractual liabilities.</w:t>
      </w:r>
    </w:p>
    <w:p>
      <w:pPr>
        <w:spacing w:after="0" w:line="213" w:lineRule="exact"/>
        <w:rPr>
          <w:sz w:val="20"/>
          <w:szCs w:val="20"/>
          <w:color w:val="auto"/>
        </w:rPr>
      </w:pPr>
    </w:p>
    <w:p>
      <w:pPr>
        <w:jc w:val="both"/>
        <w:ind w:right="20" w:firstLine="663"/>
        <w:spacing w:after="0" w:line="292" w:lineRule="auto"/>
        <w:rPr>
          <w:sz w:val="20"/>
          <w:szCs w:val="20"/>
          <w:color w:val="auto"/>
        </w:rPr>
      </w:pPr>
      <w:r>
        <w:rPr>
          <w:rFonts w:ascii="Arial" w:cs="Arial" w:eastAsia="Arial" w:hAnsi="Arial"/>
          <w:sz w:val="16"/>
          <w:szCs w:val="16"/>
          <w:color w:val="auto"/>
        </w:rPr>
        <w:t>Forward-looking statements involve certain risks and uncertainties, which may cause actual results to differ materially from those discussed in each such statement. First, one should consider the factors and risks described in the statements themselves or otherwise discussed herein. Those factors are uncertain, and if one or more of them turn out differently than we currently expect, our operating results may differ materially from our current expectations.</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41" w:name="page42"/>
    <w:bookmarkEnd w:id="41"/>
    <w:p>
      <w:pPr>
        <w:jc w:val="both"/>
        <w:ind w:firstLine="620"/>
        <w:spacing w:after="0" w:line="320" w:lineRule="auto"/>
        <w:rPr>
          <w:sz w:val="20"/>
          <w:szCs w:val="20"/>
          <w:color w:val="auto"/>
        </w:rPr>
      </w:pPr>
      <w:r>
        <w:rPr>
          <w:rFonts w:ascii="Arial" w:cs="Arial" w:eastAsia="Arial" w:hAnsi="Arial"/>
          <w:sz w:val="15"/>
          <w:szCs w:val="15"/>
          <w:color w:val="auto"/>
        </w:rPr>
        <w:t>Second, investors should read the forward looking statements in conjunction with the Risk Factors discussed in Part I, Item 1A of our Annual Report on Form 10-K with the SEC for the year ended December 31, 2020, Part II, Item 1A of this Quarterly Report on Form 10-Q and our other reports filed with the SEC. Also, actual future operating results are subject to other important factors and risks that we cannot predict or control, including without limitation, the following:</w:t>
      </w:r>
    </w:p>
    <w:p>
      <w:pPr>
        <w:spacing w:after="0" w:line="163" w:lineRule="exact"/>
        <w:rPr>
          <w:sz w:val="20"/>
          <w:szCs w:val="20"/>
          <w:color w:val="auto"/>
        </w:rPr>
      </w:pPr>
    </w:p>
    <w:p>
      <w:pPr>
        <w:ind w:left="620" w:hanging="307"/>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impacts of the COVID-19 pandemic on us, our business and on domestic and global economies generally;</w:t>
      </w:r>
    </w:p>
    <w:p>
      <w:pPr>
        <w:spacing w:after="0" w:line="114" w:lineRule="exact"/>
        <w:rPr>
          <w:rFonts w:ascii="Arial" w:cs="Arial" w:eastAsia="Arial" w:hAnsi="Arial"/>
          <w:sz w:val="17"/>
          <w:szCs w:val="17"/>
          <w:color w:val="auto"/>
        </w:rPr>
      </w:pPr>
    </w:p>
    <w:p>
      <w:pPr>
        <w:ind w:left="620" w:hanging="307"/>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general economic and business conditions, both in the U.S. and internationally;</w:t>
      </w:r>
    </w:p>
    <w:p>
      <w:pPr>
        <w:spacing w:after="0" w:line="114" w:lineRule="exact"/>
        <w:rPr>
          <w:rFonts w:ascii="Arial" w:cs="Arial" w:eastAsia="Arial" w:hAnsi="Arial"/>
          <w:sz w:val="17"/>
          <w:szCs w:val="17"/>
          <w:color w:val="auto"/>
        </w:rPr>
      </w:pPr>
    </w:p>
    <w:p>
      <w:pPr>
        <w:ind w:left="620" w:hanging="307"/>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unexpected changes in our arrangements with Pfizer or our other large customers;</w:t>
      </w:r>
    </w:p>
    <w:p>
      <w:pPr>
        <w:spacing w:after="0" w:line="114" w:lineRule="exact"/>
        <w:rPr>
          <w:rFonts w:ascii="Arial" w:cs="Arial" w:eastAsia="Arial" w:hAnsi="Arial"/>
          <w:sz w:val="17"/>
          <w:szCs w:val="17"/>
          <w:color w:val="auto"/>
        </w:rPr>
      </w:pPr>
    </w:p>
    <w:p>
      <w:pPr>
        <w:ind w:left="620" w:hanging="307"/>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outcome of litigation;</w:t>
      </w:r>
    </w:p>
    <w:p>
      <w:pPr>
        <w:spacing w:after="0" w:line="114" w:lineRule="exact"/>
        <w:rPr>
          <w:rFonts w:ascii="Arial" w:cs="Arial" w:eastAsia="Arial" w:hAnsi="Arial"/>
          <w:sz w:val="17"/>
          <w:szCs w:val="17"/>
          <w:color w:val="auto"/>
        </w:rPr>
      </w:pPr>
    </w:p>
    <w:p>
      <w:pPr>
        <w:ind w:left="620" w:hanging="307"/>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fluctuations in foreign exchange rates and other risks of doing business internationally;</w:t>
      </w:r>
    </w:p>
    <w:p>
      <w:pPr>
        <w:spacing w:after="0" w:line="114" w:lineRule="exact"/>
        <w:rPr>
          <w:rFonts w:ascii="Arial" w:cs="Arial" w:eastAsia="Arial" w:hAnsi="Arial"/>
          <w:sz w:val="17"/>
          <w:szCs w:val="17"/>
          <w:color w:val="auto"/>
        </w:rPr>
      </w:pPr>
    </w:p>
    <w:p>
      <w:pPr>
        <w:ind w:left="620" w:hanging="307"/>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increases in labor costs or competition for skilled workers;</w:t>
      </w:r>
    </w:p>
    <w:p>
      <w:pPr>
        <w:spacing w:after="0" w:line="114" w:lineRule="exact"/>
        <w:rPr>
          <w:rFonts w:ascii="Arial" w:cs="Arial" w:eastAsia="Arial" w:hAnsi="Arial"/>
          <w:sz w:val="17"/>
          <w:szCs w:val="17"/>
          <w:color w:val="auto"/>
        </w:rPr>
      </w:pPr>
    </w:p>
    <w:p>
      <w:pPr>
        <w:ind w:left="620" w:hanging="307"/>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increases in costs or availability of the raw materials need to manufacture our products;</w:t>
      </w:r>
    </w:p>
    <w:p>
      <w:pPr>
        <w:spacing w:after="0" w:line="114" w:lineRule="exact"/>
        <w:rPr>
          <w:rFonts w:ascii="Arial" w:cs="Arial" w:eastAsia="Arial" w:hAnsi="Arial"/>
          <w:sz w:val="17"/>
          <w:szCs w:val="17"/>
          <w:color w:val="auto"/>
        </w:rPr>
      </w:pPr>
    </w:p>
    <w:p>
      <w:pPr>
        <w:ind w:left="620" w:hanging="307"/>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effect of price and safety considerations on the healthcare industry;</w:t>
      </w:r>
    </w:p>
    <w:p>
      <w:pPr>
        <w:spacing w:after="0" w:line="114" w:lineRule="exact"/>
        <w:rPr>
          <w:rFonts w:ascii="Arial" w:cs="Arial" w:eastAsia="Arial" w:hAnsi="Arial"/>
          <w:sz w:val="17"/>
          <w:szCs w:val="17"/>
          <w:color w:val="auto"/>
        </w:rPr>
      </w:pPr>
    </w:p>
    <w:p>
      <w:pPr>
        <w:ind w:left="620" w:hanging="307"/>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competitive factors, such as product innovation, new technologies, marketing and distribution strength and price erosion;</w:t>
      </w:r>
    </w:p>
    <w:p>
      <w:pPr>
        <w:spacing w:after="0" w:line="114" w:lineRule="exact"/>
        <w:rPr>
          <w:rFonts w:ascii="Arial" w:cs="Arial" w:eastAsia="Arial" w:hAnsi="Arial"/>
          <w:sz w:val="17"/>
          <w:szCs w:val="17"/>
          <w:color w:val="auto"/>
        </w:rPr>
      </w:pPr>
    </w:p>
    <w:p>
      <w:pPr>
        <w:ind w:left="620" w:hanging="307"/>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successful development and marketing of new products;</w:t>
      </w:r>
    </w:p>
    <w:p>
      <w:pPr>
        <w:spacing w:after="0" w:line="114" w:lineRule="exact"/>
        <w:rPr>
          <w:rFonts w:ascii="Arial" w:cs="Arial" w:eastAsia="Arial" w:hAnsi="Arial"/>
          <w:sz w:val="17"/>
          <w:szCs w:val="17"/>
          <w:color w:val="auto"/>
        </w:rPr>
      </w:pPr>
    </w:p>
    <w:p>
      <w:pPr>
        <w:ind w:left="620" w:hanging="307"/>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unanticipated market shifts and trends;</w:t>
      </w:r>
    </w:p>
    <w:p>
      <w:pPr>
        <w:spacing w:after="0" w:line="114" w:lineRule="exact"/>
        <w:rPr>
          <w:rFonts w:ascii="Arial" w:cs="Arial" w:eastAsia="Arial" w:hAnsi="Arial"/>
          <w:sz w:val="17"/>
          <w:szCs w:val="17"/>
          <w:color w:val="auto"/>
        </w:rPr>
      </w:pPr>
    </w:p>
    <w:p>
      <w:pPr>
        <w:ind w:left="620" w:hanging="307"/>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impact of legislation affecting government reimbursement of healthcare costs;</w:t>
      </w:r>
    </w:p>
    <w:p>
      <w:pPr>
        <w:spacing w:after="0" w:line="114" w:lineRule="exact"/>
        <w:rPr>
          <w:rFonts w:ascii="Arial" w:cs="Arial" w:eastAsia="Arial" w:hAnsi="Arial"/>
          <w:sz w:val="17"/>
          <w:szCs w:val="17"/>
          <w:color w:val="auto"/>
        </w:rPr>
      </w:pPr>
    </w:p>
    <w:p>
      <w:pPr>
        <w:ind w:left="620" w:hanging="307"/>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changes by our major customers and independent distributors in their strategies that might affect their efforts to market our products;</w:t>
      </w:r>
    </w:p>
    <w:p>
      <w:pPr>
        <w:spacing w:after="0" w:line="114" w:lineRule="exact"/>
        <w:rPr>
          <w:rFonts w:ascii="Arial" w:cs="Arial" w:eastAsia="Arial" w:hAnsi="Arial"/>
          <w:sz w:val="17"/>
          <w:szCs w:val="17"/>
          <w:color w:val="auto"/>
        </w:rPr>
      </w:pPr>
    </w:p>
    <w:p>
      <w:pPr>
        <w:ind w:left="620" w:hanging="307"/>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effects of additional governmental regulations;</w:t>
      </w:r>
    </w:p>
    <w:p>
      <w:pPr>
        <w:spacing w:after="0" w:line="114" w:lineRule="exact"/>
        <w:rPr>
          <w:rFonts w:ascii="Arial" w:cs="Arial" w:eastAsia="Arial" w:hAnsi="Arial"/>
          <w:sz w:val="17"/>
          <w:szCs w:val="17"/>
          <w:color w:val="auto"/>
        </w:rPr>
      </w:pPr>
    </w:p>
    <w:p>
      <w:pPr>
        <w:ind w:left="620" w:hanging="307"/>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unanticipated production problems;</w:t>
      </w:r>
    </w:p>
    <w:p>
      <w:pPr>
        <w:spacing w:after="0" w:line="114" w:lineRule="exact"/>
        <w:rPr>
          <w:rFonts w:ascii="Arial" w:cs="Arial" w:eastAsia="Arial" w:hAnsi="Arial"/>
          <w:sz w:val="17"/>
          <w:szCs w:val="17"/>
          <w:color w:val="auto"/>
        </w:rPr>
      </w:pPr>
    </w:p>
    <w:p>
      <w:pPr>
        <w:ind w:left="620" w:hanging="307"/>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acquisition and integration expenses (including as it relates to the Smiths acquisition);</w:t>
      </w:r>
    </w:p>
    <w:p>
      <w:pPr>
        <w:spacing w:after="0" w:line="114" w:lineRule="exact"/>
        <w:rPr>
          <w:rFonts w:ascii="Arial" w:cs="Arial" w:eastAsia="Arial" w:hAnsi="Arial"/>
          <w:sz w:val="17"/>
          <w:szCs w:val="17"/>
          <w:color w:val="auto"/>
        </w:rPr>
      </w:pPr>
    </w:p>
    <w:p>
      <w:pPr>
        <w:ind w:left="620" w:hanging="307"/>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availability of patent protection and the cost of enforcing and of defending patent claims; and</w:t>
      </w:r>
    </w:p>
    <w:p>
      <w:pPr>
        <w:spacing w:after="0" w:line="114" w:lineRule="exact"/>
        <w:rPr>
          <w:rFonts w:ascii="Arial" w:cs="Arial" w:eastAsia="Arial" w:hAnsi="Arial"/>
          <w:sz w:val="17"/>
          <w:szCs w:val="17"/>
          <w:color w:val="auto"/>
        </w:rPr>
      </w:pPr>
    </w:p>
    <w:p>
      <w:pPr>
        <w:ind w:left="620" w:hanging="307"/>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natural disasters and outbreak of disease or illness.</w:t>
      </w:r>
    </w:p>
    <w:p>
      <w:pPr>
        <w:spacing w:after="0" w:line="115" w:lineRule="exact"/>
        <w:rPr>
          <w:sz w:val="20"/>
          <w:szCs w:val="20"/>
          <w:color w:val="auto"/>
        </w:rPr>
      </w:pPr>
    </w:p>
    <w:p>
      <w:pPr>
        <w:ind w:right="160" w:firstLine="620"/>
        <w:spacing w:after="0" w:line="292" w:lineRule="auto"/>
        <w:rPr>
          <w:sz w:val="20"/>
          <w:szCs w:val="20"/>
          <w:color w:val="auto"/>
        </w:rPr>
      </w:pPr>
      <w:r>
        <w:rPr>
          <w:rFonts w:ascii="Arial" w:cs="Arial" w:eastAsia="Arial" w:hAnsi="Arial"/>
          <w:sz w:val="16"/>
          <w:szCs w:val="16"/>
          <w:color w:val="auto"/>
        </w:rPr>
        <w:t>The forward-looking statements in this report are subject to additional risks and uncertainties, including those detailed from time to time in our other filings with the Securities and Exchange Commission. These forward-looking statements are made only as of the date hereof and, except as required by law, we undertake no obligation to update or revise any of them,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60"/>
          </w:cols>
          <w:pgMar w:left="320" w:top="1303" w:right="419" w:bottom="1440" w:gutter="0" w:footer="0" w:header="0"/>
        </w:sectPr>
      </w:pPr>
    </w:p>
    <w:bookmarkStart w:id="42" w:name="page43"/>
    <w:bookmarkEnd w:id="4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Item 3. Quantitative and Qualitative Disclosures about Market Risk</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Rate Risk</w:t>
      </w:r>
    </w:p>
    <w:p>
      <w:pPr>
        <w:spacing w:after="0" w:line="244" w:lineRule="exact"/>
        <w:rPr>
          <w:sz w:val="20"/>
          <w:szCs w:val="20"/>
          <w:color w:val="auto"/>
        </w:rPr>
      </w:pPr>
    </w:p>
    <w:p>
      <w:pPr>
        <w:ind w:left="180"/>
        <w:spacing w:after="0"/>
        <w:rPr>
          <w:sz w:val="20"/>
          <w:szCs w:val="20"/>
          <w:color w:val="auto"/>
        </w:rPr>
      </w:pPr>
      <w:r>
        <w:rPr>
          <w:rFonts w:ascii="Arial" w:cs="Arial" w:eastAsia="Arial" w:hAnsi="Arial"/>
          <w:sz w:val="17"/>
          <w:szCs w:val="17"/>
          <w:color w:val="auto"/>
        </w:rPr>
        <w:t>If we were to incur borrowings under our Credit Facility, we would face market risk stemming from changes in interest rates.</w:t>
      </w:r>
    </w:p>
    <w:p>
      <w:pPr>
        <w:spacing w:after="0" w:line="244" w:lineRule="exact"/>
        <w:rPr>
          <w:sz w:val="20"/>
          <w:szCs w:val="20"/>
          <w:color w:val="auto"/>
        </w:rPr>
      </w:pPr>
    </w:p>
    <w:p>
      <w:pPr>
        <w:ind w:firstLine="620"/>
        <w:spacing w:after="0" w:line="263" w:lineRule="auto"/>
        <w:rPr>
          <w:sz w:val="20"/>
          <w:szCs w:val="20"/>
          <w:color w:val="auto"/>
        </w:rPr>
      </w:pPr>
      <w:r>
        <w:rPr>
          <w:rFonts w:ascii="Arial" w:cs="Arial" w:eastAsia="Arial" w:hAnsi="Arial"/>
          <w:sz w:val="17"/>
          <w:szCs w:val="17"/>
          <w:color w:val="auto"/>
        </w:rPr>
        <w:t>In connection with the Smiths acquisition we expect to enter into senior secured credit facilities totaling approximately $2.2 billion consisting of a variable-rate term loan A facility of $850.0 million, a variable-rate term loan B facility of $850 million and a revolving credit facility of $500.0 million. We will be exposed to changes in interest rates on these variable-rate debt instruments. In order to mitigate a portion of the interest rate risk exposure associated with these debt instruments we may enter into interest rate swaps to achieve a targeted mix of fixed and variable-rate debt.</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Foreign Exchange Risk</w:t>
      </w:r>
    </w:p>
    <w:p>
      <w:pPr>
        <w:spacing w:after="0" w:line="244" w:lineRule="exact"/>
        <w:rPr>
          <w:sz w:val="20"/>
          <w:szCs w:val="20"/>
          <w:color w:val="auto"/>
        </w:rPr>
      </w:pPr>
    </w:p>
    <w:p>
      <w:pPr>
        <w:ind w:right="20" w:firstLine="169"/>
        <w:spacing w:after="0" w:line="268" w:lineRule="auto"/>
        <w:rPr>
          <w:sz w:val="20"/>
          <w:szCs w:val="20"/>
          <w:color w:val="auto"/>
        </w:rPr>
      </w:pPr>
      <w:r>
        <w:rPr>
          <w:rFonts w:ascii="Arial" w:cs="Arial" w:eastAsia="Arial" w:hAnsi="Arial"/>
          <w:sz w:val="17"/>
          <w:szCs w:val="17"/>
          <w:color w:val="auto"/>
        </w:rPr>
        <w:t>We transact business globally in multiple currencies, some of which are considered volatile. Our international revenues and expenses and working capital positions denominated in these foreign currencies expose us to the risk of fluctuations in foreign currency exchange rates against the U.S. dollar. As the receiver of foreign currencies we are adversely affected by the strengthening of the U.S. dollar relative to the foreign currency.</w:t>
      </w:r>
    </w:p>
    <w:p>
      <w:pPr>
        <w:spacing w:after="0" w:line="198" w:lineRule="exact"/>
        <w:rPr>
          <w:sz w:val="20"/>
          <w:szCs w:val="20"/>
          <w:color w:val="auto"/>
        </w:rPr>
      </w:pPr>
    </w:p>
    <w:p>
      <w:pPr>
        <w:ind w:right="20" w:firstLine="172"/>
        <w:spacing w:after="0" w:line="309" w:lineRule="auto"/>
        <w:rPr>
          <w:sz w:val="20"/>
          <w:szCs w:val="20"/>
          <w:color w:val="auto"/>
        </w:rPr>
      </w:pPr>
      <w:r>
        <w:rPr>
          <w:rFonts w:ascii="Arial" w:cs="Arial" w:eastAsia="Arial" w:hAnsi="Arial"/>
          <w:sz w:val="15"/>
          <w:szCs w:val="15"/>
          <w:color w:val="auto"/>
        </w:rPr>
        <w:t>In our European operations, our net Euro asset position at September 30, 2021 was approximately €44.9 million. A 10% change in the conversion of the Euro to the U.S. dollar for our cash, accounts receivable, accounts payable and accrued liabilities from the September 30, 2021 spot rate would impact our consolidated amounts on these balance sheet items by approximately $5.2 million, or 1.1% of these consolidated net assets. We expect that in the future, with the growth of our European distribution operations, net Euro denominated instruments will continue to increase. We currently do not hedge our Euro foreign currency exposures.</w:t>
      </w:r>
    </w:p>
    <w:p>
      <w:pPr>
        <w:spacing w:after="0" w:line="171" w:lineRule="exact"/>
        <w:rPr>
          <w:sz w:val="20"/>
          <w:szCs w:val="20"/>
          <w:color w:val="auto"/>
        </w:rPr>
      </w:pPr>
    </w:p>
    <w:p>
      <w:pPr>
        <w:ind w:right="160" w:firstLine="169"/>
        <w:spacing w:after="0" w:line="268" w:lineRule="auto"/>
        <w:rPr>
          <w:sz w:val="20"/>
          <w:szCs w:val="20"/>
          <w:color w:val="auto"/>
        </w:rPr>
      </w:pPr>
      <w:r>
        <w:rPr>
          <w:rFonts w:ascii="Arial" w:cs="Arial" w:eastAsia="Arial" w:hAnsi="Arial"/>
          <w:sz w:val="17"/>
          <w:szCs w:val="17"/>
          <w:color w:val="auto"/>
        </w:rPr>
        <w:t>We have manufacturing facilities and conduct business transactions denominated in the Mexican Peso. We hedge a portion of our manufacturing spend, which reduces our exposure to the foreign currency exchange risk related to the Mexican Peso (see Note 7: Derivatives and Hedging to the condensed consolidated financial statements in Part I, Item 1 of this Form 10-Q).</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Item 4. Controls and Procedures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Evaluation of Disclosure Controls and Procedures</w:t>
      </w:r>
    </w:p>
    <w:p>
      <w:pPr>
        <w:spacing w:after="0" w:line="218" w:lineRule="exact"/>
        <w:rPr>
          <w:sz w:val="20"/>
          <w:szCs w:val="20"/>
          <w:color w:val="auto"/>
        </w:rPr>
      </w:pPr>
    </w:p>
    <w:p>
      <w:pPr>
        <w:ind w:right="100" w:firstLine="620"/>
        <w:spacing w:after="0" w:line="259" w:lineRule="auto"/>
        <w:rPr>
          <w:sz w:val="20"/>
          <w:szCs w:val="20"/>
          <w:color w:val="auto"/>
        </w:rPr>
      </w:pPr>
      <w:r>
        <w:rPr>
          <w:rFonts w:ascii="Arial" w:cs="Arial" w:eastAsia="Arial" w:hAnsi="Arial"/>
          <w:sz w:val="17"/>
          <w:szCs w:val="17"/>
          <w:color w:val="auto"/>
        </w:rPr>
        <w:t>Our principal executive officer and principal financial officer have concluded, based on their evaluation of our disclosure controls and procedures (as defined in Rules 13a-15(e) and 15d-15(e) under the Securities Exchange Act of 1934, as amended (the "Exchange Act")), as of the end of the period covered by this Report, that our disclosure controls and procedures are effective to ensure that the information we are required to disclose in the reports that we file or submit under the Exchange Act is accumulated and communicated to our management, including our principal executive officer and principal financial officer, as appropriate, to allow timely decisions regarding required disclosure and that such information is recorded, processed, summarized and reported within the time periods specified in the rules and forms of the SEC.</w:t>
      </w:r>
    </w:p>
    <w:p>
      <w:pPr>
        <w:spacing w:after="0" w:line="207" w:lineRule="exact"/>
        <w:rPr>
          <w:sz w:val="20"/>
          <w:szCs w:val="20"/>
          <w:color w:val="auto"/>
        </w:rPr>
      </w:pPr>
    </w:p>
    <w:p>
      <w:pPr>
        <w:ind w:right="520" w:firstLine="620"/>
        <w:spacing w:after="0" w:line="283" w:lineRule="auto"/>
        <w:rPr>
          <w:sz w:val="20"/>
          <w:szCs w:val="20"/>
          <w:color w:val="auto"/>
        </w:rPr>
      </w:pPr>
      <w:r>
        <w:rPr>
          <w:rFonts w:ascii="Arial" w:cs="Arial" w:eastAsia="Arial" w:hAnsi="Arial"/>
          <w:sz w:val="17"/>
          <w:szCs w:val="17"/>
          <w:color w:val="auto"/>
        </w:rPr>
        <w:t>There was no change in our internal control over financial reporting during the quarter ended September 30, 2021 that has materially affected or is reasonably likely to materially affect our internal control over financial reporting.</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II - OTHER INFORMATION</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Item 1. Legal Proceedings</w:t>
      </w:r>
    </w:p>
    <w:p>
      <w:pPr>
        <w:spacing w:after="0" w:line="224" w:lineRule="exact"/>
        <w:rPr>
          <w:sz w:val="20"/>
          <w:szCs w:val="20"/>
          <w:color w:val="auto"/>
        </w:rPr>
      </w:pPr>
    </w:p>
    <w:p>
      <w:pPr>
        <w:ind w:right="360" w:firstLine="172"/>
        <w:spacing w:after="0" w:line="283" w:lineRule="auto"/>
        <w:rPr>
          <w:sz w:val="20"/>
          <w:szCs w:val="20"/>
          <w:color w:val="auto"/>
        </w:rPr>
      </w:pPr>
      <w:r>
        <w:rPr>
          <w:rFonts w:ascii="Arial" w:cs="Arial" w:eastAsia="Arial" w:hAnsi="Arial"/>
          <w:sz w:val="17"/>
          <w:szCs w:val="17"/>
          <w:color w:val="auto"/>
        </w:rPr>
        <w:t>Certain legal proceedings in which we are involved are discussed in Part I, Item 1. "Financial Statements" of this Form 10-Q in Note 18. Commitments and Contingencies to the Condensed Consolidated Financial Statements,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3" w:name="page44"/>
    <w:bookmarkEnd w:id="4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Item 1A.  Risk Factors</w:t>
      </w:r>
    </w:p>
    <w:p>
      <w:pPr>
        <w:spacing w:after="0" w:line="224" w:lineRule="exact"/>
        <w:rPr>
          <w:sz w:val="20"/>
          <w:szCs w:val="20"/>
          <w:color w:val="auto"/>
        </w:rPr>
      </w:pPr>
    </w:p>
    <w:p>
      <w:pPr>
        <w:jc w:val="both"/>
        <w:ind w:right="180" w:firstLine="172"/>
        <w:spacing w:after="0" w:line="268" w:lineRule="auto"/>
        <w:rPr>
          <w:sz w:val="20"/>
          <w:szCs w:val="20"/>
          <w:color w:val="auto"/>
        </w:rPr>
      </w:pPr>
      <w:r>
        <w:rPr>
          <w:rFonts w:ascii="Arial" w:cs="Arial" w:eastAsia="Arial" w:hAnsi="Arial"/>
          <w:sz w:val="17"/>
          <w:szCs w:val="17"/>
          <w:color w:val="auto"/>
        </w:rPr>
        <w:t>In evaluating an investment in our common stock, investors should consider carefully, among other things, the risk factors previously disclosed in Part I, Item 1A of our Annual Report on Form 10-K filed with the SEC for the year ended December 31, 2020, as well as the information contained in this Quarterly Report and our other reports and registration statements filed with the SEC.</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Risks Related to the Pending Smiths Transaction</w:t>
      </w:r>
    </w:p>
    <w:p>
      <w:pPr>
        <w:spacing w:after="0" w:line="244" w:lineRule="exact"/>
        <w:rPr>
          <w:sz w:val="20"/>
          <w:szCs w:val="20"/>
          <w:color w:val="auto"/>
        </w:rPr>
      </w:pPr>
    </w:p>
    <w:p>
      <w:pPr>
        <w:ind w:right="360"/>
        <w:spacing w:after="0" w:line="283" w:lineRule="auto"/>
        <w:rPr>
          <w:sz w:val="20"/>
          <w:szCs w:val="20"/>
          <w:color w:val="auto"/>
        </w:rPr>
      </w:pPr>
      <w:r>
        <w:rPr>
          <w:rFonts w:ascii="Arial" w:cs="Arial" w:eastAsia="Arial" w:hAnsi="Arial"/>
          <w:sz w:val="17"/>
          <w:szCs w:val="17"/>
          <w:i w:val="1"/>
          <w:iCs w:val="1"/>
          <w:color w:val="auto"/>
        </w:rPr>
        <w:t>We may not be able to successfully or timely consummate the pending Smiths transaction and such failure would adversely impact our business, our financial condition and the market price of our common stock.</w:t>
      </w:r>
    </w:p>
    <w:p>
      <w:pPr>
        <w:spacing w:after="0" w:line="185" w:lineRule="exact"/>
        <w:rPr>
          <w:sz w:val="20"/>
          <w:szCs w:val="20"/>
          <w:color w:val="auto"/>
        </w:rPr>
      </w:pPr>
    </w:p>
    <w:p>
      <w:pPr>
        <w:ind w:right="20"/>
        <w:spacing w:after="0" w:line="305" w:lineRule="auto"/>
        <w:rPr>
          <w:sz w:val="20"/>
          <w:szCs w:val="20"/>
          <w:color w:val="auto"/>
        </w:rPr>
      </w:pPr>
      <w:r>
        <w:rPr>
          <w:rFonts w:ascii="Arial" w:cs="Arial" w:eastAsia="Arial" w:hAnsi="Arial"/>
          <w:sz w:val="15"/>
          <w:szCs w:val="15"/>
          <w:color w:val="auto"/>
        </w:rPr>
        <w:t>On September 8, 2021, we entered into a Purchase Agreement pursuant to which we expect to purchase the entire issued share capital of Smiths for approximately $1.9 billion in cash, the issuance of 2.5 million fully paid and non-assessable shares of our common stock, par value $0.10 per share and a potential contingent earn-out of $100.0 million in cash, which is to be based upon our common stock achieving a certain volume weighted average price for certain periods from</w:t>
      </w:r>
    </w:p>
    <w:p>
      <w:pPr>
        <w:spacing w:after="0" w:line="1" w:lineRule="exact"/>
        <w:rPr>
          <w:sz w:val="20"/>
          <w:szCs w:val="20"/>
          <w:color w:val="auto"/>
        </w:rPr>
      </w:pPr>
    </w:p>
    <w:p>
      <w:pPr>
        <w:jc w:val="both"/>
        <w:ind w:right="20"/>
        <w:spacing w:after="0" w:line="268" w:lineRule="auto"/>
        <w:rPr>
          <w:sz w:val="20"/>
          <w:szCs w:val="20"/>
          <w:color w:val="auto"/>
        </w:rPr>
      </w:pPr>
      <w:r>
        <w:rPr>
          <w:rFonts w:ascii="Arial" w:cs="Arial" w:eastAsia="Arial" w:hAnsi="Arial"/>
          <w:sz w:val="17"/>
          <w:szCs w:val="17"/>
          <w:color w:val="auto"/>
        </w:rPr>
        <w:t>closing to the third or fourth anniversary of closing. Closing under the Purchase Agreement is conditional upon the approval of the shareholders of Smiths, certain antitrust conditions and foreign direct investment conditions. We will be unable to complete the pending Smiths transaction until each of the conditions to closing is either satisfied or waived.</w:t>
      </w:r>
    </w:p>
    <w:p>
      <w:pPr>
        <w:spacing w:after="0" w:line="198"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Risks and uncertainties related to the closing include, among others, the possible occurrence of any event, change or other circumstance that could give rise to the termination of the Purchase Agreement, the failure to consummate the Smiths transaction because the conditions to the closing are not satisfied or waived by the parties, the risk that third-party approvals or consents required for the transaction are not obtained and that litigation may be filed which could prevent or delay the closing of the Smiths transaction. Furthermore, under certain circumstances, Smiths Group can terminate the Purchase Agreement and require us to pay a termination fee of $200 million in cash and the issuance of a certain number of shares equal to $100 million based on the volume weighted average price for certain periods. In addition, we have incurred significant costs, expenses and fees for professional services and other transaction costs in connection with the pending Smiths transaction, as well as the diversion of management resources, for which we will have received little or no benefit if the closing of the pending Smiths transaction does not occur. For these and other reasons, our failure to complete the pending Smiths transaction could have a material adverse impact on our business, financial condition and results of operations.</w:t>
      </w:r>
    </w:p>
    <w:p>
      <w:pPr>
        <w:spacing w:after="0" w:line="196" w:lineRule="exact"/>
        <w:rPr>
          <w:sz w:val="20"/>
          <w:szCs w:val="20"/>
          <w:color w:val="auto"/>
        </w:rPr>
      </w:pPr>
    </w:p>
    <w:p>
      <w:pPr>
        <w:ind w:right="220"/>
        <w:spacing w:after="0" w:line="283" w:lineRule="auto"/>
        <w:rPr>
          <w:sz w:val="20"/>
          <w:szCs w:val="20"/>
          <w:color w:val="auto"/>
        </w:rPr>
      </w:pPr>
      <w:r>
        <w:rPr>
          <w:rFonts w:ascii="Arial" w:cs="Arial" w:eastAsia="Arial" w:hAnsi="Arial"/>
          <w:sz w:val="17"/>
          <w:szCs w:val="17"/>
          <w:i w:val="1"/>
          <w:iCs w:val="1"/>
          <w:color w:val="auto"/>
        </w:rPr>
        <w:t>If we successfully consummate the pending Smiths transaction, we may not realize the anticipated benefits of the transaction, which could adversely impact our business and our operating results.</w:t>
      </w:r>
    </w:p>
    <w:p>
      <w:pPr>
        <w:spacing w:after="0" w:line="185"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The Smiths transaction is a significant transaction for us and the product offerings within the Smiths business are not product offerings that we currently offer. The success of our business will depend, in part, on our ability to realize our anticipated benefits, opportunities and synergies from combining the businesses of our company and the Smiths business. We can provide no assurance that the anticipated benefits of the Smiths transaction will be fully realized in the time frame anticipated or at all. We have limited prior history of integrating acquired companies or businesses into our operations, much less one of this size and complexity. Integrating the operations of the Smiths business with that of our own will be a complex, costly and time-consuming process and the nature of a carve out acquisition makes it inherently more difficult to assume operations on closing day as well as to integrate activities, as certain systems, processes and people may not all transfer with the acquired business to support such activities. The integration process may disrupt the businesses and, if implemented ineffectively, would restrict the realization of the full expected benefits. The failure to meet the challenges involved in integrating the two businesses could cause an interruption of, or a loss of momentum in, the activities of the combined businesses and could adversely affect the results of operations of the combined businesses. Potential difficulties that may be encountered in the integration process include the following:</w:t>
      </w:r>
    </w:p>
    <w:p>
      <w:pPr>
        <w:spacing w:after="0" w:line="199" w:lineRule="exact"/>
        <w:rPr>
          <w:sz w:val="20"/>
          <w:szCs w:val="20"/>
          <w:color w:val="auto"/>
        </w:rPr>
      </w:pPr>
    </w:p>
    <w:p>
      <w:pPr>
        <w:ind w:left="620" w:hanging="307"/>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challenges in preserving important strategic customer and other third-party relationships of both businesses;</w:t>
      </w:r>
    </w:p>
    <w:p>
      <w:pPr>
        <w:spacing w:after="0" w:line="23" w:lineRule="exact"/>
        <w:rPr>
          <w:rFonts w:ascii="Arial" w:cs="Arial" w:eastAsia="Arial" w:hAnsi="Arial"/>
          <w:sz w:val="17"/>
          <w:szCs w:val="17"/>
          <w:color w:val="auto"/>
        </w:rPr>
      </w:pPr>
    </w:p>
    <w:p>
      <w:pPr>
        <w:ind w:left="620" w:hanging="307"/>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diversion of management’s attention to integration matters;</w:t>
      </w:r>
    </w:p>
    <w:p>
      <w:pPr>
        <w:ind w:left="620" w:hanging="307"/>
        <w:spacing w:after="0" w:line="237" w:lineRule="auto"/>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challenges in maintaining employee morale and retaining or attracting key employees;</w:t>
      </w:r>
    </w:p>
    <w:p>
      <w:pPr>
        <w:ind w:left="620" w:hanging="307"/>
        <w:spacing w:after="0" w:line="237" w:lineRule="auto"/>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potential incompatibility of corporate cultures;</w:t>
      </w:r>
    </w:p>
    <w:p>
      <w:pPr>
        <w:ind w:left="620" w:hanging="307"/>
        <w:spacing w:after="0" w:line="237" w:lineRule="auto"/>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changes in the combined business due to potential divestitures or requirements imposed by antitrust regulators;</w:t>
      </w:r>
    </w:p>
    <w:p>
      <w:pPr>
        <w:ind w:left="620" w:right="380" w:hanging="307"/>
        <w:spacing w:after="0" w:line="250" w:lineRule="auto"/>
        <w:tabs>
          <w:tab w:leader="none" w:pos="616" w:val="left"/>
        </w:tabs>
        <w:numPr>
          <w:ilvl w:val="0"/>
          <w:numId w:val="24"/>
        </w:numPr>
        <w:rPr>
          <w:rFonts w:ascii="Arial" w:cs="Arial" w:eastAsia="Arial" w:hAnsi="Arial"/>
          <w:sz w:val="17"/>
          <w:szCs w:val="17"/>
          <w:color w:val="auto"/>
        </w:rPr>
      </w:pPr>
      <w:r>
        <w:rPr>
          <w:rFonts w:ascii="Arial" w:cs="Arial" w:eastAsia="Arial" w:hAnsi="Arial"/>
          <w:sz w:val="17"/>
          <w:szCs w:val="17"/>
          <w:color w:val="auto"/>
        </w:rPr>
        <w:t>costs, delays and other difficulties consolidating corporate and administrative infrastructures and information systems and in implementing common systems and procedures including, in particular, our internal controls over financial reporting; and</w:t>
      </w: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44" w:name="page45"/>
    <w:bookmarkEnd w:id="4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620" w:hanging="307"/>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coordinating and integrating a geographically dispersed organization, including operations in jurisdictions we currently do not operate in.</w:t>
      </w:r>
    </w:p>
    <w:p>
      <w:pPr>
        <w:spacing w:after="0" w:line="231" w:lineRule="exact"/>
        <w:rPr>
          <w:sz w:val="20"/>
          <w:szCs w:val="20"/>
          <w:color w:val="auto"/>
        </w:rPr>
      </w:pPr>
    </w:p>
    <w:p>
      <w:pPr>
        <w:ind w:right="400"/>
        <w:spacing w:after="0" w:line="263" w:lineRule="auto"/>
        <w:rPr>
          <w:sz w:val="20"/>
          <w:szCs w:val="20"/>
          <w:color w:val="auto"/>
        </w:rPr>
      </w:pPr>
      <w:r>
        <w:rPr>
          <w:rFonts w:ascii="Arial" w:cs="Arial" w:eastAsia="Arial" w:hAnsi="Arial"/>
          <w:sz w:val="17"/>
          <w:szCs w:val="17"/>
          <w:color w:val="auto"/>
        </w:rPr>
        <w:t>Any one or all of these factors may increase operating costs or lower anticipated financial performance. Achieving the anticipated benefits and the potential benefits underlying our reasons for the Smiths business acquisition will depend on successful integration of the businesses. Because of the significance of the Smiths business acquisition to us, our failure to successfully integrate the Smiths business with that of our own could have a material adverse impact on our business, financial condition and results of operations.</w:t>
      </w:r>
    </w:p>
    <w:p>
      <w:pPr>
        <w:spacing w:after="0" w:line="203" w:lineRule="exact"/>
        <w:rPr>
          <w:sz w:val="20"/>
          <w:szCs w:val="20"/>
          <w:color w:val="auto"/>
        </w:rPr>
      </w:pPr>
    </w:p>
    <w:p>
      <w:pPr>
        <w:ind w:right="540"/>
        <w:spacing w:after="0" w:line="268" w:lineRule="auto"/>
        <w:rPr>
          <w:sz w:val="20"/>
          <w:szCs w:val="20"/>
          <w:color w:val="auto"/>
        </w:rPr>
      </w:pPr>
      <w:r>
        <w:rPr>
          <w:rFonts w:ascii="Arial" w:cs="Arial" w:eastAsia="Arial" w:hAnsi="Arial"/>
          <w:sz w:val="17"/>
          <w:szCs w:val="17"/>
          <w:i w:val="1"/>
          <w:iCs w:val="1"/>
          <w:color w:val="auto"/>
        </w:rPr>
        <w:t>We plan to use a significant portion of our cash on hand and incur a substantial amount of debt to finance the cash consideration portion and certain other amounts to be paid in connection with the Smiths transaction, which could adversely affect our business, including by restricting our ability to engage in additional transactions or incur additional indebtedness.</w:t>
      </w:r>
    </w:p>
    <w:p>
      <w:pPr>
        <w:spacing w:after="0" w:line="198" w:lineRule="exact"/>
        <w:rPr>
          <w:sz w:val="20"/>
          <w:szCs w:val="20"/>
          <w:color w:val="auto"/>
        </w:rPr>
      </w:pPr>
    </w:p>
    <w:p>
      <w:pPr>
        <w:ind w:right="20"/>
        <w:spacing w:after="0" w:line="274" w:lineRule="auto"/>
        <w:rPr>
          <w:sz w:val="20"/>
          <w:szCs w:val="20"/>
          <w:color w:val="auto"/>
        </w:rPr>
      </w:pPr>
      <w:r>
        <w:rPr>
          <w:rFonts w:ascii="Arial" w:cs="Arial" w:eastAsia="Arial" w:hAnsi="Arial"/>
          <w:sz w:val="16"/>
          <w:szCs w:val="16"/>
          <w:color w:val="auto"/>
        </w:rPr>
        <w:t>Following the consummation of the Smiths transaction, we expect to have significantly less cash, cash equivalents and investment securities on hand than the approximately $544.7 million of cash, cash equivalents and investment securities we had as of September 30, 2021. Although our management believes that it will have access to cash sufficient to meet our business objectives and capital needs, the lessened availability of cash, cash equivalents and investment securities for a period of time following the consummation of the Smiths transaction could constrain our ability to grow our business. In connection with the Smiths transaction and the payment of the cash consideration, we also expect that at closing we will enter senior secured credit facilities of up to $2.2 billion consisting of a term loan A facility of $850.0 million, a term loan B facility of $850.0 million and a revolving credit facility of $500.0 million. As a result, we will incur borrowing costs going forward. Our more leveraged financial position following the Smiths transaction could make us vulnerable to general economic downturns and industry conditions, and place us at a competitive disadvantage relative to our competitors. In the event that we do not have adequate capital to maintain or develop our business, additional capital may not be available to us on a timely basis, on favorable terms, or at all. Moreover, our senior credit facilities may restrict how we may operate our business, including limiting our ability to engage in certain transactions and to incur additional indebtedness, and our business may be materially and adversely affected if these restrictions prevent us from implementing our business plan.</w:t>
      </w:r>
    </w:p>
    <w:p>
      <w:pPr>
        <w:spacing w:after="0" w:line="196" w:lineRule="exact"/>
        <w:rPr>
          <w:sz w:val="20"/>
          <w:szCs w:val="20"/>
          <w:color w:val="auto"/>
        </w:rPr>
      </w:pPr>
    </w:p>
    <w:p>
      <w:pPr>
        <w:ind w:right="300"/>
        <w:spacing w:after="0" w:line="283" w:lineRule="auto"/>
        <w:rPr>
          <w:sz w:val="20"/>
          <w:szCs w:val="20"/>
          <w:color w:val="auto"/>
        </w:rPr>
      </w:pPr>
      <w:r>
        <w:rPr>
          <w:rFonts w:ascii="Arial" w:cs="Arial" w:eastAsia="Arial" w:hAnsi="Arial"/>
          <w:sz w:val="17"/>
          <w:szCs w:val="17"/>
          <w:color w:val="auto"/>
        </w:rPr>
        <w:t>There have been no other material changes in the risk factors other than those mentioned above from those previously disclosed under “Risk Factors” in Part I, Item 1A of our Annual Report on Form 10-K with the SEC for the year ended December 31, 2020.</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Item 2. Unregistered Sales of Equity Securities and Use of Proceeds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Purchase of Equity Securities</w:t>
      </w:r>
    </w:p>
    <w:p>
      <w:pPr>
        <w:spacing w:after="0" w:line="244"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following is a summary of our stock repurchasing activity during the third quarter of 2021:</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87"/>
              </w:rPr>
              <w:t>Total number of shares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vMerge w:val="restart"/>
          </w:tcPr>
          <w:p>
            <w:pPr>
              <w:jc w:val="center"/>
              <w:ind w:right="103"/>
              <w:spacing w:after="0"/>
              <w:rPr>
                <w:sz w:val="20"/>
                <w:szCs w:val="20"/>
                <w:color w:val="auto"/>
              </w:rPr>
            </w:pPr>
            <w:r>
              <w:rPr>
                <w:rFonts w:ascii="Arial" w:cs="Arial" w:eastAsia="Arial" w:hAnsi="Arial"/>
                <w:sz w:val="14"/>
                <w:szCs w:val="14"/>
                <w:b w:val="1"/>
                <w:bCs w:val="1"/>
                <w:color w:val="auto"/>
                <w:w w:val="91"/>
              </w:rPr>
              <w:t>Approximate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4"/>
              </w:rPr>
              <w:t>purchased as</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6"/>
              </w:rPr>
              <w:t>Average</w:t>
            </w:r>
          </w:p>
        </w:tc>
        <w:tc>
          <w:tcPr>
            <w:tcW w:w="14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part of a</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tcPr>
          <w:p>
            <w:pPr>
              <w:jc w:val="center"/>
              <w:ind w:right="83"/>
              <w:spacing w:after="0" w:line="129" w:lineRule="exact"/>
              <w:rPr>
                <w:sz w:val="20"/>
                <w:szCs w:val="20"/>
                <w:color w:val="auto"/>
              </w:rPr>
            </w:pPr>
            <w:r>
              <w:rPr>
                <w:rFonts w:ascii="Arial" w:cs="Arial" w:eastAsia="Arial" w:hAnsi="Arial"/>
                <w:sz w:val="14"/>
                <w:szCs w:val="14"/>
                <w:b w:val="1"/>
                <w:bCs w:val="1"/>
                <w:color w:val="auto"/>
                <w:w w:val="89"/>
              </w:rPr>
              <w:t>dollar value that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89"/>
              </w:rPr>
              <w:t>Total number of shares</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4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publicly</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tcPr>
          <w:p>
            <w:pPr>
              <w:jc w:val="center"/>
              <w:ind w:right="83"/>
              <w:spacing w:after="0" w:line="129" w:lineRule="exact"/>
              <w:rPr>
                <w:sz w:val="20"/>
                <w:szCs w:val="20"/>
                <w:color w:val="auto"/>
              </w:rPr>
            </w:pPr>
            <w:r>
              <w:rPr>
                <w:rFonts w:ascii="Arial" w:cs="Arial" w:eastAsia="Arial" w:hAnsi="Arial"/>
                <w:sz w:val="14"/>
                <w:szCs w:val="14"/>
                <w:b w:val="1"/>
                <w:bCs w:val="1"/>
                <w:color w:val="auto"/>
                <w:w w:val="88"/>
              </w:rPr>
              <w:t>may yet be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0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00" w:type="dxa"/>
            <w:vAlign w:val="bottom"/>
            <w:vMerge w:val="restart"/>
          </w:tcPr>
          <w:p>
            <w:pPr>
              <w:spacing w:after="0"/>
              <w:rPr>
                <w:sz w:val="11"/>
                <w:szCs w:val="11"/>
                <w:color w:val="auto"/>
              </w:rPr>
            </w:pPr>
          </w:p>
        </w:tc>
        <w:tc>
          <w:tcPr>
            <w:tcW w:w="14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2"/>
          </w:tcPr>
          <w:p>
            <w:pPr>
              <w:jc w:val="center"/>
              <w:ind w:right="380"/>
              <w:spacing w:after="0" w:line="129" w:lineRule="exact"/>
              <w:rPr>
                <w:sz w:val="20"/>
                <w:szCs w:val="20"/>
                <w:color w:val="auto"/>
              </w:rPr>
            </w:pPr>
            <w:r>
              <w:rPr>
                <w:rFonts w:ascii="Arial" w:cs="Arial" w:eastAsia="Arial" w:hAnsi="Arial"/>
                <w:sz w:val="14"/>
                <w:szCs w:val="14"/>
                <w:b w:val="1"/>
                <w:bCs w:val="1"/>
                <w:color w:val="auto"/>
                <w:w w:val="90"/>
              </w:rPr>
              <w:t>price paid</w:t>
            </w:r>
          </w:p>
        </w:tc>
        <w:tc>
          <w:tcPr>
            <w:tcW w:w="14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announced</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tcPr>
          <w:p>
            <w:pPr>
              <w:jc w:val="center"/>
              <w:ind w:right="83"/>
              <w:spacing w:after="0" w:line="129" w:lineRule="exact"/>
              <w:rPr>
                <w:sz w:val="20"/>
                <w:szCs w:val="20"/>
                <w:color w:val="auto"/>
              </w:rPr>
            </w:pPr>
            <w:r>
              <w:rPr>
                <w:rFonts w:ascii="Arial" w:cs="Arial" w:eastAsia="Arial" w:hAnsi="Arial"/>
                <w:sz w:val="14"/>
                <w:szCs w:val="14"/>
                <w:b w:val="1"/>
                <w:bCs w:val="1"/>
                <w:color w:val="auto"/>
                <w:w w:val="88"/>
              </w:rPr>
              <w:t>purchased under</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0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44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purchased</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81"/>
              <w:spacing w:after="0"/>
              <w:rPr>
                <w:sz w:val="20"/>
                <w:szCs w:val="20"/>
                <w:color w:val="auto"/>
              </w:rPr>
            </w:pPr>
            <w:r>
              <w:rPr>
                <w:rFonts w:ascii="Arial" w:cs="Arial" w:eastAsia="Arial" w:hAnsi="Arial"/>
                <w:sz w:val="14"/>
                <w:szCs w:val="14"/>
                <w:b w:val="1"/>
                <w:bCs w:val="1"/>
                <w:color w:val="auto"/>
                <w:w w:val="85"/>
              </w:rPr>
              <w:t>per share</w:t>
            </w:r>
          </w:p>
        </w:tc>
        <w:tc>
          <w:tcPr>
            <w:tcW w:w="10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program</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83"/>
              <w:spacing w:after="0" w:line="181" w:lineRule="exact"/>
              <w:rPr>
                <w:sz w:val="20"/>
                <w:szCs w:val="20"/>
                <w:color w:val="auto"/>
              </w:rPr>
            </w:pPr>
            <w:r>
              <w:rPr>
                <w:rFonts w:ascii="Arial" w:cs="Arial" w:eastAsia="Arial" w:hAnsi="Arial"/>
                <w:sz w:val="14"/>
                <w:szCs w:val="14"/>
                <w:b w:val="1"/>
                <w:bCs w:val="1"/>
                <w:color w:val="auto"/>
                <w:w w:val="87"/>
              </w:rPr>
              <w:t>the program</w:t>
            </w:r>
            <w:r>
              <w:rPr>
                <w:rFonts w:ascii="Arial" w:cs="Arial" w:eastAsia="Arial" w:hAnsi="Arial"/>
                <w:sz w:val="17"/>
                <w:szCs w:val="17"/>
                <w:b w:val="1"/>
                <w:bCs w:val="1"/>
                <w:color w:val="auto"/>
                <w:w w:val="87"/>
                <w:vertAlign w:val="superscript"/>
              </w:rPr>
              <w:t>(1)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07/01/2021 — 07/31/2021</w:t>
            </w:r>
          </w:p>
        </w:tc>
        <w:tc>
          <w:tcPr>
            <w:tcW w:w="1440" w:type="dxa"/>
            <w:vAlign w:val="bottom"/>
            <w:shd w:val="clear" w:color="auto" w:fill="CCEEFF"/>
          </w:tcPr>
          <w:p>
            <w:pPr>
              <w:ind w:left="1200"/>
              <w:spacing w:after="0"/>
              <w:rPr>
                <w:sz w:val="20"/>
                <w:szCs w:val="20"/>
                <w:color w:val="auto"/>
              </w:rPr>
            </w:pPr>
            <w:r>
              <w:rPr>
                <w:rFonts w:ascii="Arial" w:cs="Arial" w:eastAsia="Arial" w:hAnsi="Arial"/>
                <w:sz w:val="17"/>
                <w:szCs w:val="17"/>
                <w:color w:val="auto"/>
              </w:rPr>
              <w:t>—</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7"/>
                <w:szCs w:val="17"/>
                <w:color w:val="auto"/>
              </w:rPr>
              <w:t>—</w:t>
            </w:r>
          </w:p>
        </w:tc>
        <w:tc>
          <w:tcPr>
            <w:tcW w:w="1440" w:type="dxa"/>
            <w:vAlign w:val="bottom"/>
            <w:shd w:val="clear" w:color="auto" w:fill="CCEEFF"/>
          </w:tcPr>
          <w:p>
            <w:pPr>
              <w:ind w:left="1200"/>
              <w:spacing w:after="0"/>
              <w:rPr>
                <w:sz w:val="20"/>
                <w:szCs w:val="20"/>
                <w:color w:val="auto"/>
              </w:rPr>
            </w:pPr>
            <w:r>
              <w:rPr>
                <w:rFonts w:ascii="Arial" w:cs="Arial" w:eastAsia="Arial" w:hAnsi="Arial"/>
                <w:sz w:val="17"/>
                <w:szCs w:val="17"/>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7"/>
                <w:szCs w:val="17"/>
                <w:color w:val="auto"/>
              </w:rPr>
              <w:t>100,000,000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180" w:type="dxa"/>
            <w:vAlign w:val="bottom"/>
            <w:gridSpan w:val="2"/>
          </w:tcPr>
          <w:p>
            <w:pPr>
              <w:ind w:left="20"/>
              <w:spacing w:after="0"/>
              <w:rPr>
                <w:sz w:val="20"/>
                <w:szCs w:val="20"/>
                <w:color w:val="auto"/>
              </w:rPr>
            </w:pPr>
            <w:r>
              <w:rPr>
                <w:rFonts w:ascii="Arial" w:cs="Arial" w:eastAsia="Arial" w:hAnsi="Arial"/>
                <w:sz w:val="17"/>
                <w:szCs w:val="17"/>
                <w:color w:val="auto"/>
              </w:rPr>
              <w:t>08/01/2021 — 08/31/2021</w:t>
            </w:r>
          </w:p>
        </w:tc>
        <w:tc>
          <w:tcPr>
            <w:tcW w:w="1440" w:type="dxa"/>
            <w:vAlign w:val="bottom"/>
          </w:tcPr>
          <w:p>
            <w:pPr>
              <w:ind w:left="1200"/>
              <w:spacing w:after="0"/>
              <w:rPr>
                <w:sz w:val="20"/>
                <w:szCs w:val="20"/>
                <w:color w:val="auto"/>
              </w:rPr>
            </w:pPr>
            <w:r>
              <w:rPr>
                <w:rFonts w:ascii="Arial" w:cs="Arial" w:eastAsia="Arial" w:hAnsi="Arial"/>
                <w:sz w:val="17"/>
                <w:szCs w:val="17"/>
                <w:color w:val="auto"/>
              </w:rPr>
              <w:t>—</w:t>
            </w:r>
          </w:p>
        </w:tc>
        <w:tc>
          <w:tcPr>
            <w:tcW w:w="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60" w:type="dxa"/>
            <w:vAlign w:val="bottom"/>
            <w:gridSpan w:val="2"/>
          </w:tcPr>
          <w:p>
            <w:pPr>
              <w:ind w:left="920"/>
              <w:spacing w:after="0"/>
              <w:rPr>
                <w:sz w:val="20"/>
                <w:szCs w:val="20"/>
                <w:color w:val="auto"/>
              </w:rPr>
            </w:pPr>
            <w:r>
              <w:rPr>
                <w:rFonts w:ascii="Arial" w:cs="Arial" w:eastAsia="Arial" w:hAnsi="Arial"/>
                <w:sz w:val="17"/>
                <w:szCs w:val="17"/>
                <w:color w:val="auto"/>
              </w:rPr>
              <w:t>—</w:t>
            </w:r>
          </w:p>
        </w:tc>
        <w:tc>
          <w:tcPr>
            <w:tcW w:w="1440" w:type="dxa"/>
            <w:vAlign w:val="bottom"/>
          </w:tcPr>
          <w:p>
            <w:pPr>
              <w:ind w:left="1200"/>
              <w:spacing w:after="0"/>
              <w:rPr>
                <w:sz w:val="20"/>
                <w:szCs w:val="20"/>
                <w:color w:val="auto"/>
              </w:rPr>
            </w:pPr>
            <w:r>
              <w:rPr>
                <w:rFonts w:ascii="Arial" w:cs="Arial" w:eastAsia="Arial" w:hAnsi="Arial"/>
                <w:sz w:val="17"/>
                <w:szCs w:val="17"/>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3"/>
              <w:spacing w:after="0"/>
              <w:rPr>
                <w:sz w:val="20"/>
                <w:szCs w:val="20"/>
                <w:color w:val="auto"/>
              </w:rPr>
            </w:pPr>
            <w:r>
              <w:rPr>
                <w:rFonts w:ascii="Arial" w:cs="Arial" w:eastAsia="Arial" w:hAnsi="Arial"/>
                <w:sz w:val="17"/>
                <w:szCs w:val="17"/>
                <w:color w:val="auto"/>
              </w:rPr>
              <w:t>100,000,000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1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09/01/2021 — 09/30/2021</w:t>
            </w:r>
          </w:p>
        </w:tc>
        <w:tc>
          <w:tcPr>
            <w:tcW w:w="1440" w:type="dxa"/>
            <w:vAlign w:val="bottom"/>
            <w:tcBorders>
              <w:bottom w:val="single" w:sz="8" w:color="auto"/>
            </w:tcBorders>
            <w:shd w:val="clear" w:color="auto" w:fill="CCEEFF"/>
          </w:tcPr>
          <w:p>
            <w:pPr>
              <w:ind w:left="1200"/>
              <w:spacing w:after="0"/>
              <w:rPr>
                <w:sz w:val="20"/>
                <w:szCs w:val="20"/>
                <w:color w:val="auto"/>
              </w:rPr>
            </w:pPr>
            <w:r>
              <w:rPr>
                <w:rFonts w:ascii="Arial" w:cs="Arial" w:eastAsia="Arial" w:hAnsi="Arial"/>
                <w:sz w:val="17"/>
                <w:szCs w:val="17"/>
                <w:color w:val="auto"/>
              </w:rPr>
              <w:t>—</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shd w:val="clear" w:color="auto" w:fill="CCEEFF"/>
          </w:tcPr>
          <w:p>
            <w:pPr>
              <w:ind w:left="1200"/>
              <w:spacing w:after="0"/>
              <w:rPr>
                <w:sz w:val="20"/>
                <w:szCs w:val="20"/>
                <w:color w:val="auto"/>
              </w:rPr>
            </w:pPr>
            <w:r>
              <w:rPr>
                <w:rFonts w:ascii="Arial" w:cs="Arial" w:eastAsia="Arial" w:hAnsi="Arial"/>
                <w:sz w:val="17"/>
                <w:szCs w:val="17"/>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7"/>
                <w:szCs w:val="17"/>
                <w:color w:val="auto"/>
              </w:rPr>
              <w:t>100,000,000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80" w:type="dxa"/>
            <w:vAlign w:val="bottom"/>
            <w:gridSpan w:val="2"/>
          </w:tcPr>
          <w:p>
            <w:pPr>
              <w:ind w:left="20"/>
              <w:spacing w:after="0"/>
              <w:rPr>
                <w:sz w:val="20"/>
                <w:szCs w:val="20"/>
                <w:color w:val="auto"/>
              </w:rPr>
            </w:pPr>
            <w:r>
              <w:rPr>
                <w:rFonts w:ascii="Arial" w:cs="Arial" w:eastAsia="Arial" w:hAnsi="Arial"/>
                <w:sz w:val="17"/>
                <w:szCs w:val="17"/>
                <w:color w:val="auto"/>
              </w:rPr>
              <w:t>Third quarter of 2021 total</w:t>
            </w:r>
          </w:p>
        </w:tc>
        <w:tc>
          <w:tcPr>
            <w:tcW w:w="1440" w:type="dxa"/>
            <w:vAlign w:val="bottom"/>
            <w:tcBorders>
              <w:bottom w:val="single" w:sz="8" w:color="auto"/>
            </w:tcBorders>
          </w:tcPr>
          <w:p>
            <w:pPr>
              <w:ind w:left="1200"/>
              <w:spacing w:after="0"/>
              <w:rPr>
                <w:sz w:val="20"/>
                <w:szCs w:val="20"/>
                <w:color w:val="auto"/>
              </w:rPr>
            </w:pPr>
            <w:r>
              <w:rPr>
                <w:rFonts w:ascii="Arial" w:cs="Arial" w:eastAsia="Arial" w:hAnsi="Arial"/>
                <w:sz w:val="17"/>
                <w:szCs w:val="17"/>
                <w:color w:val="auto"/>
              </w:rPr>
              <w:t>—</w:t>
            </w:r>
          </w:p>
        </w:tc>
        <w:tc>
          <w:tcPr>
            <w:tcW w:w="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60" w:type="dxa"/>
            <w:vAlign w:val="bottom"/>
            <w:gridSpan w:val="2"/>
          </w:tcPr>
          <w:p>
            <w:pPr>
              <w:ind w:left="920"/>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tcPr>
          <w:p>
            <w:pPr>
              <w:ind w:left="1200"/>
              <w:spacing w:after="0"/>
              <w:rPr>
                <w:sz w:val="20"/>
                <w:szCs w:val="20"/>
                <w:color w:val="auto"/>
              </w:rPr>
            </w:pPr>
            <w:r>
              <w:rPr>
                <w:rFonts w:ascii="Arial" w:cs="Arial" w:eastAsia="Arial" w:hAnsi="Arial"/>
                <w:sz w:val="17"/>
                <w:szCs w:val="17"/>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3"/>
              <w:spacing w:after="0"/>
              <w:rPr>
                <w:sz w:val="20"/>
                <w:szCs w:val="20"/>
                <w:color w:val="auto"/>
              </w:rPr>
            </w:pPr>
            <w:r>
              <w:rPr>
                <w:rFonts w:ascii="Arial" w:cs="Arial" w:eastAsia="Arial" w:hAnsi="Arial"/>
                <w:sz w:val="17"/>
                <w:szCs w:val="17"/>
                <w:color w:val="auto"/>
              </w:rPr>
              <w:t>100,000,000</w:t>
            </w:r>
          </w:p>
        </w:tc>
        <w:tc>
          <w:tcPr>
            <w:tcW w:w="0" w:type="dxa"/>
            <w:vAlign w:val="bottom"/>
          </w:tcPr>
          <w:p>
            <w:pPr>
              <w:spacing w:after="0"/>
              <w:rPr>
                <w:sz w:val="1"/>
                <w:szCs w:val="1"/>
                <w:color w:val="auto"/>
              </w:rPr>
            </w:pPr>
          </w:p>
        </w:tc>
      </w:tr>
      <w:tr>
        <w:trPr>
          <w:trHeight w:val="20"/>
        </w:trPr>
        <w:tc>
          <w:tcPr>
            <w:tcW w:w="5100" w:type="dxa"/>
            <w:vAlign w:val="bottom"/>
            <w:gridSpan w:val="2"/>
            <w:vMerge w:val="restart"/>
          </w:tcPr>
          <w:p>
            <w:pPr>
              <w:jc w:val="right"/>
              <w:ind w:right="2357"/>
              <w:spacing w:after="0"/>
              <w:rPr>
                <w:sz w:val="20"/>
                <w:szCs w:val="20"/>
                <w:color w:val="auto"/>
              </w:rPr>
            </w:pPr>
            <w:r>
              <w:rPr>
                <w:rFonts w:ascii="Arial" w:cs="Arial" w:eastAsia="Arial" w:hAnsi="Arial"/>
                <w:sz w:val="19"/>
                <w:szCs w:val="19"/>
                <w:color w:val="auto"/>
                <w:w w:val="89"/>
              </w:rPr>
              <w:t>____________________________</w:t>
            </w: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51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320" w:hanging="317"/>
        <w:spacing w:after="0" w:line="284" w:lineRule="auto"/>
        <w:tabs>
          <w:tab w:leader="none" w:pos="230" w:val="left"/>
        </w:tabs>
        <w:numPr>
          <w:ilvl w:val="0"/>
          <w:numId w:val="26"/>
        </w:numPr>
        <w:rPr>
          <w:rFonts w:ascii="Arial" w:cs="Arial" w:eastAsia="Arial" w:hAnsi="Arial"/>
          <w:sz w:val="19"/>
          <w:szCs w:val="19"/>
          <w:color w:val="auto"/>
          <w:vertAlign w:val="superscript"/>
        </w:rPr>
      </w:pPr>
      <w:r>
        <w:rPr>
          <w:rFonts w:ascii="Arial" w:cs="Arial" w:eastAsia="Arial" w:hAnsi="Arial"/>
          <w:sz w:val="15"/>
          <w:szCs w:val="15"/>
          <w:color w:val="auto"/>
        </w:rPr>
        <w:t>Our common stock purchase plan, which authorized the repurchase of up to $100.0 million of our common stock, was authorized by our Board of Directors and publicly announced in August, 2019. This plan has no expiration date. We are not obligated to make any purchases under our stock purchase program. Subject to applicable state and federal corporate and securities laws, purchases under a stock purchase program may be made at such times and in such amounts as we deem appropriate. Purchases made under our stock purchase program can be discontinued at any time we feel additional purchases are not warranted.</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5" w:name="page46"/>
    <w:bookmarkEnd w:id="4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Item 6. Exhibits</w:t>
      </w:r>
    </w:p>
    <w:p>
      <w:pPr>
        <w:spacing w:after="0" w:line="340" w:lineRule="exact"/>
        <w:rPr>
          <w:sz w:val="20"/>
          <w:szCs w:val="20"/>
          <w:color w:val="auto"/>
        </w:rPr>
      </w:pPr>
    </w:p>
    <w:p>
      <w:pPr>
        <w:ind w:firstLine="172"/>
        <w:spacing w:after="0" w:line="283" w:lineRule="auto"/>
        <w:rPr>
          <w:sz w:val="20"/>
          <w:szCs w:val="20"/>
          <w:color w:val="auto"/>
        </w:rPr>
      </w:pPr>
      <w:r>
        <w:rPr>
          <w:rFonts w:ascii="Arial" w:cs="Arial" w:eastAsia="Arial" w:hAnsi="Arial"/>
          <w:sz w:val="17"/>
          <w:szCs w:val="17"/>
          <w:color w:val="auto"/>
        </w:rPr>
        <w:t>See the Exhibit Index following the signature page to this Quarterly Report on Form 10-Q for a list of exhibits filed or furnished with this report, which Exhibit Index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60"/>
          </w:cols>
          <w:pgMar w:left="320" w:top="127" w:right="419" w:bottom="1440" w:gutter="0" w:footer="0" w:header="0"/>
        </w:sectPr>
      </w:pPr>
    </w:p>
    <w:bookmarkStart w:id="46" w:name="page47"/>
    <w:bookmarkEnd w:id="4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Signature</w:t>
      </w:r>
    </w:p>
    <w:p>
      <w:pPr>
        <w:spacing w:after="0" w:line="224" w:lineRule="exact"/>
        <w:rPr>
          <w:sz w:val="20"/>
          <w:szCs w:val="20"/>
          <w:color w:val="auto"/>
        </w:rPr>
      </w:pPr>
    </w:p>
    <w:p>
      <w:pPr>
        <w:ind w:right="720" w:firstLine="620"/>
        <w:spacing w:after="0" w:line="283"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ICU Medical, Inc.</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3760" w:type="dxa"/>
            <w:vAlign w:val="bottom"/>
          </w:tcPr>
          <w:p>
            <w:pPr>
              <w:ind w:left="20"/>
              <w:spacing w:after="0"/>
              <w:rPr>
                <w:sz w:val="20"/>
                <w:szCs w:val="20"/>
                <w:color w:val="auto"/>
              </w:rPr>
            </w:pPr>
            <w:r>
              <w:rPr>
                <w:rFonts w:ascii="Arial" w:cs="Arial" w:eastAsia="Arial" w:hAnsi="Arial"/>
                <w:sz w:val="17"/>
                <w:szCs w:val="17"/>
                <w:color w:val="auto"/>
              </w:rPr>
              <w:t>(Registrant)</w:t>
            </w:r>
          </w:p>
        </w:tc>
        <w:tc>
          <w:tcPr>
            <w:tcW w:w="1800" w:type="dxa"/>
            <w:vAlign w:val="bottom"/>
          </w:tcPr>
          <w:p>
            <w:pPr>
              <w:spacing w:after="0"/>
              <w:rPr>
                <w:sz w:val="19"/>
                <w:szCs w:val="19"/>
                <w:color w:val="auto"/>
              </w:rPr>
            </w:pPr>
          </w:p>
        </w:tc>
        <w:tc>
          <w:tcPr>
            <w:tcW w:w="5680" w:type="dxa"/>
            <w:vAlign w:val="bottom"/>
          </w:tcPr>
          <w:p>
            <w:pPr>
              <w:spacing w:after="0"/>
              <w:rPr>
                <w:sz w:val="19"/>
                <w:szCs w:val="19"/>
                <w:color w:val="auto"/>
              </w:rPr>
            </w:pPr>
          </w:p>
        </w:tc>
      </w:tr>
      <w:tr>
        <w:trPr>
          <w:trHeight w:val="439"/>
        </w:trPr>
        <w:tc>
          <w:tcPr>
            <w:tcW w:w="37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Brian M. Bonnell</w:t>
            </w:r>
          </w:p>
        </w:tc>
        <w:tc>
          <w:tcPr>
            <w:tcW w:w="1800" w:type="dxa"/>
            <w:vAlign w:val="bottom"/>
            <w:tcBorders>
              <w:bottom w:val="single" w:sz="8" w:color="auto"/>
            </w:tcBorders>
          </w:tcPr>
          <w:p>
            <w:pPr>
              <w:spacing w:after="0"/>
              <w:rPr>
                <w:sz w:val="24"/>
                <w:szCs w:val="24"/>
                <w:color w:val="auto"/>
              </w:rPr>
            </w:pPr>
          </w:p>
        </w:tc>
        <w:tc>
          <w:tcPr>
            <w:tcW w:w="5680" w:type="dxa"/>
            <w:vAlign w:val="bottom"/>
          </w:tcPr>
          <w:p>
            <w:pPr>
              <w:jc w:val="right"/>
              <w:ind w:right="3634"/>
              <w:spacing w:after="0"/>
              <w:rPr>
                <w:sz w:val="20"/>
                <w:szCs w:val="20"/>
                <w:color w:val="auto"/>
              </w:rPr>
            </w:pPr>
            <w:r>
              <w:rPr>
                <w:rFonts w:ascii="Arial" w:cs="Arial" w:eastAsia="Arial" w:hAnsi="Arial"/>
                <w:sz w:val="17"/>
                <w:szCs w:val="17"/>
                <w:color w:val="auto"/>
              </w:rPr>
              <w:t>Date: November 5, 2021</w:t>
            </w:r>
          </w:p>
        </w:tc>
      </w:tr>
      <w:tr>
        <w:trPr>
          <w:trHeight w:val="213"/>
        </w:trPr>
        <w:tc>
          <w:tcPr>
            <w:tcW w:w="3760" w:type="dxa"/>
            <w:vAlign w:val="bottom"/>
          </w:tcPr>
          <w:p>
            <w:pPr>
              <w:ind w:left="20"/>
              <w:spacing w:after="0"/>
              <w:rPr>
                <w:sz w:val="20"/>
                <w:szCs w:val="20"/>
                <w:color w:val="auto"/>
              </w:rPr>
            </w:pPr>
            <w:r>
              <w:rPr>
                <w:rFonts w:ascii="Arial" w:cs="Arial" w:eastAsia="Arial" w:hAnsi="Arial"/>
                <w:sz w:val="17"/>
                <w:szCs w:val="17"/>
                <w:color w:val="auto"/>
              </w:rPr>
              <w:t>Brian M. Bonnell</w:t>
            </w:r>
          </w:p>
        </w:tc>
        <w:tc>
          <w:tcPr>
            <w:tcW w:w="1800" w:type="dxa"/>
            <w:vAlign w:val="bottom"/>
          </w:tcPr>
          <w:p>
            <w:pPr>
              <w:spacing w:after="0"/>
              <w:rPr>
                <w:sz w:val="18"/>
                <w:szCs w:val="18"/>
                <w:color w:val="auto"/>
              </w:rPr>
            </w:pPr>
          </w:p>
        </w:tc>
        <w:tc>
          <w:tcPr>
            <w:tcW w:w="5680" w:type="dxa"/>
            <w:vAlign w:val="bottom"/>
          </w:tcPr>
          <w:p>
            <w:pPr>
              <w:spacing w:after="0"/>
              <w:rPr>
                <w:sz w:val="18"/>
                <w:szCs w:val="18"/>
                <w:color w:val="auto"/>
              </w:rPr>
            </w:pPr>
          </w:p>
        </w:tc>
      </w:tr>
      <w:tr>
        <w:trPr>
          <w:trHeight w:val="220"/>
        </w:trPr>
        <w:tc>
          <w:tcPr>
            <w:tcW w:w="3760" w:type="dxa"/>
            <w:vAlign w:val="bottom"/>
          </w:tcPr>
          <w:p>
            <w:pPr>
              <w:ind w:left="20"/>
              <w:spacing w:after="0"/>
              <w:rPr>
                <w:sz w:val="20"/>
                <w:szCs w:val="20"/>
                <w:color w:val="auto"/>
              </w:rPr>
            </w:pPr>
            <w:r>
              <w:rPr>
                <w:rFonts w:ascii="Arial" w:cs="Arial" w:eastAsia="Arial" w:hAnsi="Arial"/>
                <w:sz w:val="17"/>
                <w:szCs w:val="17"/>
                <w:color w:val="auto"/>
              </w:rPr>
              <w:t>Chief Financial Officer</w:t>
            </w:r>
          </w:p>
        </w:tc>
        <w:tc>
          <w:tcPr>
            <w:tcW w:w="1800" w:type="dxa"/>
            <w:vAlign w:val="bottom"/>
          </w:tcPr>
          <w:p>
            <w:pPr>
              <w:spacing w:after="0"/>
              <w:rPr>
                <w:sz w:val="19"/>
                <w:szCs w:val="19"/>
                <w:color w:val="auto"/>
              </w:rPr>
            </w:pPr>
          </w:p>
        </w:tc>
        <w:tc>
          <w:tcPr>
            <w:tcW w:w="5680" w:type="dxa"/>
            <w:vAlign w:val="bottom"/>
          </w:tcPr>
          <w:p>
            <w:pPr>
              <w:spacing w:after="0"/>
              <w:rPr>
                <w:sz w:val="19"/>
                <w:szCs w:val="19"/>
                <w:color w:val="auto"/>
              </w:rPr>
            </w:pPr>
          </w:p>
        </w:tc>
      </w:tr>
      <w:tr>
        <w:trPr>
          <w:trHeight w:val="220"/>
        </w:trPr>
        <w:tc>
          <w:tcPr>
            <w:tcW w:w="3760" w:type="dxa"/>
            <w:vAlign w:val="bottom"/>
          </w:tcPr>
          <w:p>
            <w:pPr>
              <w:ind w:left="20"/>
              <w:spacing w:after="0"/>
              <w:rPr>
                <w:sz w:val="20"/>
                <w:szCs w:val="20"/>
                <w:color w:val="auto"/>
              </w:rPr>
            </w:pPr>
            <w:r>
              <w:rPr>
                <w:rFonts w:ascii="Arial" w:cs="Arial" w:eastAsia="Arial" w:hAnsi="Arial"/>
                <w:sz w:val="17"/>
                <w:szCs w:val="17"/>
                <w:color w:val="auto"/>
              </w:rPr>
              <w:t>(Principal Financial Officer)</w:t>
            </w:r>
          </w:p>
        </w:tc>
        <w:tc>
          <w:tcPr>
            <w:tcW w:w="1800" w:type="dxa"/>
            <w:vAlign w:val="bottom"/>
          </w:tcPr>
          <w:p>
            <w:pPr>
              <w:spacing w:after="0"/>
              <w:rPr>
                <w:sz w:val="19"/>
                <w:szCs w:val="19"/>
                <w:color w:val="auto"/>
              </w:rPr>
            </w:pPr>
          </w:p>
        </w:tc>
        <w:tc>
          <w:tcPr>
            <w:tcW w:w="5680" w:type="dxa"/>
            <w:vAlign w:val="bottom"/>
          </w:tcPr>
          <w:p>
            <w:pPr>
              <w:spacing w:after="0"/>
              <w:rPr>
                <w:sz w:val="19"/>
                <w:szCs w:val="19"/>
                <w:color w:val="auto"/>
              </w:rPr>
            </w:pPr>
          </w:p>
        </w:tc>
      </w:tr>
      <w:tr>
        <w:trPr>
          <w:trHeight w:val="814"/>
        </w:trPr>
        <w:tc>
          <w:tcPr>
            <w:tcW w:w="3760" w:type="dxa"/>
            <w:vAlign w:val="bottom"/>
          </w:tcPr>
          <w:p>
            <w:pPr>
              <w:spacing w:after="0"/>
              <w:rPr>
                <w:sz w:val="24"/>
                <w:szCs w:val="24"/>
                <w:color w:val="auto"/>
              </w:rPr>
            </w:pPr>
          </w:p>
        </w:tc>
        <w:tc>
          <w:tcPr>
            <w:tcW w:w="7480" w:type="dxa"/>
            <w:vAlign w:val="bottom"/>
            <w:gridSpan w:val="2"/>
          </w:tcPr>
          <w:p>
            <w:pPr>
              <w:jc w:val="right"/>
              <w:ind w:right="5434"/>
              <w:spacing w:after="0"/>
              <w:rPr>
                <w:sz w:val="20"/>
                <w:szCs w:val="20"/>
                <w:color w:val="auto"/>
              </w:rPr>
            </w:pPr>
            <w:r>
              <w:rPr>
                <w:rFonts w:ascii="Arial" w:cs="Arial" w:eastAsia="Arial" w:hAnsi="Arial"/>
                <w:sz w:val="17"/>
                <w:szCs w:val="17"/>
                <w:color w:val="auto"/>
              </w:rPr>
              <w:t>47</w:t>
            </w:r>
          </w:p>
        </w:tc>
      </w:tr>
      <w:tr>
        <w:trPr>
          <w:trHeight w:val="109"/>
        </w:trPr>
        <w:tc>
          <w:tcPr>
            <w:tcW w:w="3760" w:type="dxa"/>
            <w:vAlign w:val="bottom"/>
            <w:tcBorders>
              <w:bottom w:val="single" w:sz="8" w:color="9A9A9A"/>
            </w:tcBorders>
          </w:tcPr>
          <w:p>
            <w:pPr>
              <w:spacing w:after="0"/>
              <w:rPr>
                <w:sz w:val="9"/>
                <w:szCs w:val="9"/>
                <w:color w:val="auto"/>
              </w:rPr>
            </w:pPr>
          </w:p>
        </w:tc>
        <w:tc>
          <w:tcPr>
            <w:tcW w:w="1800" w:type="dxa"/>
            <w:vAlign w:val="bottom"/>
            <w:tcBorders>
              <w:bottom w:val="single" w:sz="8" w:color="9A9A9A"/>
            </w:tcBorders>
          </w:tcPr>
          <w:p>
            <w:pPr>
              <w:spacing w:after="0"/>
              <w:rPr>
                <w:sz w:val="9"/>
                <w:szCs w:val="9"/>
                <w:color w:val="auto"/>
              </w:rPr>
            </w:pPr>
          </w:p>
        </w:tc>
        <w:tc>
          <w:tcPr>
            <w:tcW w:w="56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195"/>
        </w:trPr>
        <w:tc>
          <w:tcPr>
            <w:tcW w:w="1020" w:type="dxa"/>
            <w:vAlign w:val="bottom"/>
            <w:tcBorders>
              <w:bottom w:val="single" w:sz="8" w:color="auto"/>
            </w:tcBorders>
            <w:gridSpan w:val="5"/>
          </w:tcPr>
          <w:p>
            <w:pPr>
              <w:spacing w:after="0"/>
              <w:rPr>
                <w:sz w:val="20"/>
                <w:szCs w:val="20"/>
                <w:color w:val="auto"/>
              </w:rPr>
            </w:pPr>
            <w:r>
              <w:rPr>
                <w:rFonts w:ascii="Arial" w:cs="Arial" w:eastAsia="Arial" w:hAnsi="Arial"/>
                <w:sz w:val="17"/>
                <w:szCs w:val="17"/>
                <w:b w:val="1"/>
                <w:bCs w:val="1"/>
                <w:color w:val="auto"/>
                <w:w w:val="94"/>
              </w:rPr>
              <w:t>Exhibit Index</w:t>
            </w:r>
          </w:p>
        </w:tc>
        <w:tc>
          <w:tcPr>
            <w:tcW w:w="560" w:type="dxa"/>
            <w:vAlign w:val="bottom"/>
          </w:tcPr>
          <w:p>
            <w:pPr>
              <w:spacing w:after="0"/>
              <w:rPr>
                <w:sz w:val="16"/>
                <w:szCs w:val="16"/>
                <w:color w:val="auto"/>
              </w:rPr>
            </w:pPr>
          </w:p>
        </w:tc>
        <w:tc>
          <w:tcPr>
            <w:tcW w:w="9280" w:type="dxa"/>
            <w:vAlign w:val="bottom"/>
          </w:tcPr>
          <w:p>
            <w:pPr>
              <w:spacing w:after="0"/>
              <w:rPr>
                <w:sz w:val="16"/>
                <w:szCs w:val="16"/>
                <w:color w:val="auto"/>
              </w:rPr>
            </w:pPr>
          </w:p>
        </w:tc>
      </w:tr>
      <w:tr>
        <w:trPr>
          <w:trHeight w:val="523"/>
        </w:trPr>
        <w:tc>
          <w:tcPr>
            <w:tcW w:w="1580" w:type="dxa"/>
            <w:vAlign w:val="bottom"/>
            <w:gridSpan w:val="6"/>
          </w:tcPr>
          <w:p>
            <w:pPr>
              <w:ind w:left="20"/>
              <w:spacing w:after="0"/>
              <w:rPr>
                <w:rFonts w:ascii="Arial" w:cs="Arial" w:eastAsia="Arial" w:hAnsi="Arial"/>
                <w:sz w:val="17"/>
                <w:szCs w:val="17"/>
                <w:color w:val="auto"/>
              </w:rPr>
            </w:pPr>
            <w:r>
              <w:rPr>
                <w:rFonts w:ascii="Arial" w:cs="Arial" w:eastAsia="Arial" w:hAnsi="Arial"/>
                <w:sz w:val="17"/>
                <w:szCs w:val="17"/>
                <w:color w:val="auto"/>
              </w:rPr>
              <w:t xml:space="preserve">Exhibit </w:t>
            </w:r>
            <w:hyperlink r:id="rId60">
              <w:r>
                <w:rPr>
                  <w:rFonts w:ascii="Arial" w:cs="Arial" w:eastAsia="Arial" w:hAnsi="Arial"/>
                  <w:sz w:val="17"/>
                  <w:szCs w:val="17"/>
                  <w:color w:val="0000FF"/>
                </w:rPr>
                <w:t>2.1</w:t>
              </w:r>
            </w:hyperlink>
          </w:p>
        </w:tc>
        <w:tc>
          <w:tcPr>
            <w:tcW w:w="9280" w:type="dxa"/>
            <w:vAlign w:val="bottom"/>
          </w:tcPr>
          <w:p>
            <w:pPr>
              <w:ind w:left="360"/>
              <w:spacing w:after="0"/>
              <w:rPr>
                <w:sz w:val="20"/>
                <w:szCs w:val="20"/>
                <w:color w:val="auto"/>
              </w:rPr>
            </w:pPr>
            <w:r>
              <w:rPr>
                <w:rFonts w:ascii="Arial" w:cs="Arial" w:eastAsia="Arial" w:hAnsi="Arial"/>
                <w:sz w:val="17"/>
                <w:szCs w:val="17"/>
                <w:color w:val="auto"/>
                <w:w w:val="91"/>
              </w:rPr>
              <w:t>Share Sale and Purchase Agreement, dated September 8, 2021, by and between Smiths Group International Holdings Limited, a</w:t>
            </w:r>
          </w:p>
        </w:tc>
      </w:tr>
      <w:tr>
        <w:trPr>
          <w:trHeight w:val="136"/>
        </w:trPr>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280" w:type="dxa"/>
            <w:vAlign w:val="bottom"/>
          </w:tcPr>
          <w:p>
            <w:pPr>
              <w:ind w:left="360"/>
              <w:spacing w:after="0" w:line="136" w:lineRule="exact"/>
              <w:rPr>
                <w:sz w:val="20"/>
                <w:szCs w:val="20"/>
                <w:color w:val="auto"/>
              </w:rPr>
            </w:pPr>
            <w:r>
              <w:rPr>
                <w:rFonts w:ascii="Arial" w:cs="Arial" w:eastAsia="Arial" w:hAnsi="Arial"/>
                <w:sz w:val="15"/>
                <w:szCs w:val="15"/>
                <w:color w:val="auto"/>
              </w:rPr>
              <w:t>private limited company incorporated in England &amp; Wales, and ICU Medical, Inc., a Delaware corporation. Filed as an Exhibit to</w:t>
            </w:r>
          </w:p>
        </w:tc>
      </w:tr>
      <w:tr>
        <w:trPr>
          <w:trHeight w:val="219"/>
        </w:trPr>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80" w:type="dxa"/>
            <w:vAlign w:val="bottom"/>
          </w:tcPr>
          <w:p>
            <w:pPr>
              <w:ind w:left="360"/>
              <w:spacing w:after="0"/>
              <w:rPr>
                <w:sz w:val="20"/>
                <w:szCs w:val="20"/>
                <w:color w:val="auto"/>
              </w:rPr>
            </w:pPr>
            <w:r>
              <w:rPr>
                <w:rFonts w:ascii="Arial" w:cs="Arial" w:eastAsia="Arial" w:hAnsi="Arial"/>
                <w:sz w:val="17"/>
                <w:szCs w:val="17"/>
                <w:color w:val="auto"/>
              </w:rPr>
              <w:t>Registrant's Current Report on Form 8-K filed September 8, 2021 and incorporated herein by reference.</w:t>
            </w:r>
          </w:p>
        </w:tc>
      </w:tr>
      <w:tr>
        <w:trPr>
          <w:trHeight w:val="232"/>
        </w:trPr>
        <w:tc>
          <w:tcPr>
            <w:tcW w:w="1580" w:type="dxa"/>
            <w:vAlign w:val="bottom"/>
            <w:gridSpan w:val="6"/>
          </w:tcPr>
          <w:p>
            <w:pPr>
              <w:ind w:left="20"/>
              <w:spacing w:after="0"/>
              <w:rPr>
                <w:rFonts w:ascii="Arial" w:cs="Arial" w:eastAsia="Arial" w:hAnsi="Arial"/>
                <w:sz w:val="17"/>
                <w:szCs w:val="17"/>
                <w:color w:val="auto"/>
              </w:rPr>
            </w:pPr>
            <w:r>
              <w:rPr>
                <w:rFonts w:ascii="Arial" w:cs="Arial" w:eastAsia="Arial" w:hAnsi="Arial"/>
                <w:sz w:val="17"/>
                <w:szCs w:val="17"/>
                <w:color w:val="auto"/>
              </w:rPr>
              <w:t xml:space="preserve">Exhibit </w:t>
            </w:r>
            <w:hyperlink r:id="rId61">
              <w:r>
                <w:rPr>
                  <w:rFonts w:ascii="Arial" w:cs="Arial" w:eastAsia="Arial" w:hAnsi="Arial"/>
                  <w:sz w:val="17"/>
                  <w:szCs w:val="17"/>
                  <w:color w:val="0000FF"/>
                </w:rPr>
                <w:t>2.2</w:t>
              </w:r>
            </w:hyperlink>
          </w:p>
        </w:tc>
        <w:tc>
          <w:tcPr>
            <w:tcW w:w="9280" w:type="dxa"/>
            <w:vAlign w:val="bottom"/>
          </w:tcPr>
          <w:p>
            <w:pPr>
              <w:ind w:left="360"/>
              <w:spacing w:after="0"/>
              <w:rPr>
                <w:sz w:val="20"/>
                <w:szCs w:val="20"/>
                <w:color w:val="auto"/>
              </w:rPr>
            </w:pPr>
            <w:r>
              <w:rPr>
                <w:rFonts w:ascii="Arial" w:cs="Arial" w:eastAsia="Arial" w:hAnsi="Arial"/>
                <w:sz w:val="17"/>
                <w:szCs w:val="17"/>
                <w:color w:val="auto"/>
                <w:w w:val="97"/>
              </w:rPr>
              <w:t>Put Option Deed from ICU Medical, Inc., a Delaware corporation to Smiths Group International Holdings Limited, a private</w:t>
            </w:r>
          </w:p>
        </w:tc>
      </w:tr>
      <w:tr>
        <w:trPr>
          <w:trHeight w:val="136"/>
        </w:trPr>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280" w:type="dxa"/>
            <w:vAlign w:val="bottom"/>
          </w:tcPr>
          <w:p>
            <w:pPr>
              <w:ind w:left="360"/>
              <w:spacing w:after="0" w:line="136" w:lineRule="exact"/>
              <w:rPr>
                <w:sz w:val="20"/>
                <w:szCs w:val="20"/>
                <w:color w:val="auto"/>
              </w:rPr>
            </w:pPr>
            <w:r>
              <w:rPr>
                <w:rFonts w:ascii="Arial" w:cs="Arial" w:eastAsia="Arial" w:hAnsi="Arial"/>
                <w:sz w:val="15"/>
                <w:szCs w:val="15"/>
                <w:color w:val="auto"/>
              </w:rPr>
              <w:t>limited company incorporated in England &amp; Wales. Filed as an Exhibit to Registrant's Current Report on Form 8-K filed</w:t>
            </w:r>
          </w:p>
        </w:tc>
      </w:tr>
      <w:tr>
        <w:trPr>
          <w:trHeight w:val="219"/>
        </w:trPr>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80" w:type="dxa"/>
            <w:vAlign w:val="bottom"/>
          </w:tcPr>
          <w:p>
            <w:pPr>
              <w:ind w:left="360"/>
              <w:spacing w:after="0"/>
              <w:rPr>
                <w:sz w:val="20"/>
                <w:szCs w:val="20"/>
                <w:color w:val="auto"/>
              </w:rPr>
            </w:pPr>
            <w:r>
              <w:rPr>
                <w:rFonts w:ascii="Arial" w:cs="Arial" w:eastAsia="Arial" w:hAnsi="Arial"/>
                <w:sz w:val="17"/>
                <w:szCs w:val="17"/>
                <w:color w:val="auto"/>
              </w:rPr>
              <w:t>September 8, 2021 and incorporated herein by reference.</w:t>
            </w:r>
          </w:p>
        </w:tc>
      </w:tr>
      <w:tr>
        <w:trPr>
          <w:trHeight w:val="232"/>
        </w:trPr>
        <w:tc>
          <w:tcPr>
            <w:tcW w:w="1580" w:type="dxa"/>
            <w:vAlign w:val="bottom"/>
            <w:gridSpan w:val="6"/>
          </w:tcPr>
          <w:p>
            <w:pPr>
              <w:ind w:left="20"/>
              <w:spacing w:after="0"/>
              <w:rPr>
                <w:rFonts w:ascii="Arial" w:cs="Arial" w:eastAsia="Arial" w:hAnsi="Arial"/>
                <w:sz w:val="17"/>
                <w:szCs w:val="17"/>
                <w:color w:val="auto"/>
              </w:rPr>
            </w:pPr>
            <w:r>
              <w:rPr>
                <w:rFonts w:ascii="Arial" w:cs="Arial" w:eastAsia="Arial" w:hAnsi="Arial"/>
                <w:sz w:val="17"/>
                <w:szCs w:val="17"/>
                <w:color w:val="auto"/>
              </w:rPr>
              <w:t xml:space="preserve">Exhibit </w:t>
            </w:r>
            <w:hyperlink r:id="rId62">
              <w:r>
                <w:rPr>
                  <w:rFonts w:ascii="Arial" w:cs="Arial" w:eastAsia="Arial" w:hAnsi="Arial"/>
                  <w:sz w:val="17"/>
                  <w:szCs w:val="17"/>
                  <w:color w:val="0000FF"/>
                </w:rPr>
                <w:t>10.1</w:t>
              </w:r>
            </w:hyperlink>
          </w:p>
        </w:tc>
        <w:tc>
          <w:tcPr>
            <w:tcW w:w="9280" w:type="dxa"/>
            <w:vAlign w:val="bottom"/>
          </w:tcPr>
          <w:p>
            <w:pPr>
              <w:ind w:left="360"/>
              <w:spacing w:after="0"/>
              <w:rPr>
                <w:sz w:val="20"/>
                <w:szCs w:val="20"/>
                <w:color w:val="auto"/>
              </w:rPr>
            </w:pPr>
            <w:r>
              <w:rPr>
                <w:rFonts w:ascii="Arial" w:cs="Arial" w:eastAsia="Arial" w:hAnsi="Arial"/>
                <w:sz w:val="17"/>
                <w:szCs w:val="17"/>
                <w:color w:val="auto"/>
                <w:w w:val="93"/>
              </w:rPr>
              <w:t>Debt Commitment Letter, dated as of September 7, 2021, by and among Wells Fargo Bank, National Association, Wells Fargo</w:t>
            </w:r>
          </w:p>
        </w:tc>
      </w:tr>
      <w:tr>
        <w:trPr>
          <w:trHeight w:val="136"/>
        </w:trPr>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280" w:type="dxa"/>
            <w:vAlign w:val="bottom"/>
          </w:tcPr>
          <w:p>
            <w:pPr>
              <w:ind w:left="360"/>
              <w:spacing w:after="0" w:line="136" w:lineRule="exact"/>
              <w:rPr>
                <w:sz w:val="20"/>
                <w:szCs w:val="20"/>
                <w:color w:val="auto"/>
              </w:rPr>
            </w:pPr>
            <w:r>
              <w:rPr>
                <w:rFonts w:ascii="Arial" w:cs="Arial" w:eastAsia="Arial" w:hAnsi="Arial"/>
                <w:sz w:val="15"/>
                <w:szCs w:val="15"/>
                <w:color w:val="auto"/>
              </w:rPr>
              <w:t>Securities, LLC, Barclays Bank PLC and ICU Medical, Inc. a Delaware corporation. Filed as an Exhibit to Registrant's Current</w:t>
            </w:r>
          </w:p>
        </w:tc>
      </w:tr>
      <w:tr>
        <w:trPr>
          <w:trHeight w:val="219"/>
        </w:trPr>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80" w:type="dxa"/>
            <w:vAlign w:val="bottom"/>
          </w:tcPr>
          <w:p>
            <w:pPr>
              <w:ind w:left="360"/>
              <w:spacing w:after="0"/>
              <w:rPr>
                <w:sz w:val="20"/>
                <w:szCs w:val="20"/>
                <w:color w:val="auto"/>
              </w:rPr>
            </w:pPr>
            <w:r>
              <w:rPr>
                <w:rFonts w:ascii="Arial" w:cs="Arial" w:eastAsia="Arial" w:hAnsi="Arial"/>
                <w:sz w:val="17"/>
                <w:szCs w:val="17"/>
                <w:color w:val="auto"/>
              </w:rPr>
              <w:t>Report on Form 8-K filed September 8, 2021 and incorporated herein by reference.</w:t>
            </w:r>
          </w:p>
        </w:tc>
      </w:tr>
      <w:tr>
        <w:trPr>
          <w:trHeight w:val="232"/>
        </w:trPr>
        <w:tc>
          <w:tcPr>
            <w:tcW w:w="1580" w:type="dxa"/>
            <w:vAlign w:val="bottom"/>
            <w:gridSpan w:val="6"/>
          </w:tcPr>
          <w:p>
            <w:pPr>
              <w:ind w:left="20"/>
              <w:spacing w:after="0"/>
              <w:rPr>
                <w:rFonts w:ascii="Arial" w:cs="Arial" w:eastAsia="Arial" w:hAnsi="Arial"/>
                <w:sz w:val="17"/>
                <w:szCs w:val="17"/>
                <w:color w:val="auto"/>
              </w:rPr>
            </w:pPr>
            <w:r>
              <w:rPr>
                <w:rFonts w:ascii="Arial" w:cs="Arial" w:eastAsia="Arial" w:hAnsi="Arial"/>
                <w:sz w:val="17"/>
                <w:szCs w:val="17"/>
                <w:color w:val="auto"/>
              </w:rPr>
              <w:t xml:space="preserve">Exhibit </w:t>
            </w:r>
            <w:hyperlink w:anchor="page49">
              <w:r>
                <w:rPr>
                  <w:rFonts w:ascii="Arial" w:cs="Arial" w:eastAsia="Arial" w:hAnsi="Arial"/>
                  <w:sz w:val="17"/>
                  <w:szCs w:val="17"/>
                  <w:color w:val="0000FF"/>
                </w:rPr>
                <w:t>31.1</w:t>
              </w:r>
            </w:hyperlink>
          </w:p>
        </w:tc>
        <w:tc>
          <w:tcPr>
            <w:tcW w:w="9280" w:type="dxa"/>
            <w:vAlign w:val="bottom"/>
          </w:tcPr>
          <w:p>
            <w:pPr>
              <w:ind w:left="360"/>
              <w:spacing w:after="0"/>
              <w:rPr>
                <w:sz w:val="20"/>
                <w:szCs w:val="20"/>
                <w:color w:val="auto"/>
              </w:rPr>
            </w:pPr>
            <w:r>
              <w:rPr>
                <w:rFonts w:ascii="Arial" w:cs="Arial" w:eastAsia="Arial" w:hAnsi="Arial"/>
                <w:sz w:val="17"/>
                <w:szCs w:val="17"/>
                <w:color w:val="auto"/>
              </w:rPr>
              <w:t>Certification of Chief Executive Officer pursuant to Section 302 of the Sarbanes-Oxley Act of 2002</w:t>
            </w:r>
          </w:p>
        </w:tc>
      </w:tr>
      <w:tr>
        <w:trPr>
          <w:trHeight w:val="20"/>
        </w:trPr>
        <w:tc>
          <w:tcPr>
            <w:tcW w:w="580" w:type="dxa"/>
            <w:vAlign w:val="bottom"/>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9280" w:type="dxa"/>
            <w:vAlign w:val="bottom"/>
          </w:tcPr>
          <w:p>
            <w:pPr>
              <w:spacing w:after="0" w:line="20" w:lineRule="exact"/>
              <w:rPr>
                <w:sz w:val="1"/>
                <w:szCs w:val="1"/>
                <w:color w:val="auto"/>
              </w:rPr>
            </w:pPr>
          </w:p>
        </w:tc>
      </w:tr>
      <w:tr>
        <w:trPr>
          <w:trHeight w:val="251"/>
        </w:trPr>
        <w:tc>
          <w:tcPr>
            <w:tcW w:w="1580" w:type="dxa"/>
            <w:vAlign w:val="bottom"/>
            <w:gridSpan w:val="6"/>
          </w:tcPr>
          <w:p>
            <w:pPr>
              <w:ind w:left="20"/>
              <w:spacing w:after="0"/>
              <w:rPr>
                <w:rFonts w:ascii="Arial" w:cs="Arial" w:eastAsia="Arial" w:hAnsi="Arial"/>
                <w:sz w:val="17"/>
                <w:szCs w:val="17"/>
                <w:color w:val="auto"/>
              </w:rPr>
            </w:pPr>
            <w:r>
              <w:rPr>
                <w:rFonts w:ascii="Arial" w:cs="Arial" w:eastAsia="Arial" w:hAnsi="Arial"/>
                <w:sz w:val="17"/>
                <w:szCs w:val="17"/>
                <w:color w:val="auto"/>
              </w:rPr>
              <w:t xml:space="preserve">Exhibit </w:t>
            </w:r>
            <w:hyperlink w:anchor="page50">
              <w:r>
                <w:rPr>
                  <w:rFonts w:ascii="Arial" w:cs="Arial" w:eastAsia="Arial" w:hAnsi="Arial"/>
                  <w:sz w:val="17"/>
                  <w:szCs w:val="17"/>
                  <w:color w:val="0000FF"/>
                </w:rPr>
                <w:t>31.2</w:t>
              </w:r>
            </w:hyperlink>
          </w:p>
        </w:tc>
        <w:tc>
          <w:tcPr>
            <w:tcW w:w="9280" w:type="dxa"/>
            <w:vAlign w:val="bottom"/>
          </w:tcPr>
          <w:p>
            <w:pPr>
              <w:ind w:left="360"/>
              <w:spacing w:after="0"/>
              <w:rPr>
                <w:sz w:val="20"/>
                <w:szCs w:val="20"/>
                <w:color w:val="auto"/>
              </w:rPr>
            </w:pPr>
            <w:r>
              <w:rPr>
                <w:rFonts w:ascii="Arial" w:cs="Arial" w:eastAsia="Arial" w:hAnsi="Arial"/>
                <w:sz w:val="17"/>
                <w:szCs w:val="17"/>
                <w:color w:val="auto"/>
              </w:rPr>
              <w:t>Certification of Chief Financial Officer pursuant to Section 302 of the Sarbanes-Oxley Act of 2002</w:t>
            </w:r>
          </w:p>
        </w:tc>
      </w:tr>
      <w:tr>
        <w:trPr>
          <w:trHeight w:val="20"/>
        </w:trPr>
        <w:tc>
          <w:tcPr>
            <w:tcW w:w="580" w:type="dxa"/>
            <w:vAlign w:val="bottom"/>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9280" w:type="dxa"/>
            <w:vAlign w:val="bottom"/>
          </w:tcPr>
          <w:p>
            <w:pPr>
              <w:spacing w:after="0" w:line="20" w:lineRule="exact"/>
              <w:rPr>
                <w:sz w:val="1"/>
                <w:szCs w:val="1"/>
                <w:color w:val="auto"/>
              </w:rPr>
            </w:pPr>
          </w:p>
        </w:tc>
      </w:tr>
      <w:tr>
        <w:trPr>
          <w:trHeight w:val="251"/>
        </w:trPr>
        <w:tc>
          <w:tcPr>
            <w:tcW w:w="1580" w:type="dxa"/>
            <w:vAlign w:val="bottom"/>
            <w:gridSpan w:val="6"/>
          </w:tcPr>
          <w:p>
            <w:pPr>
              <w:ind w:left="20"/>
              <w:spacing w:after="0"/>
              <w:rPr>
                <w:rFonts w:ascii="Arial" w:cs="Arial" w:eastAsia="Arial" w:hAnsi="Arial"/>
                <w:sz w:val="17"/>
                <w:szCs w:val="17"/>
                <w:color w:val="auto"/>
              </w:rPr>
            </w:pPr>
            <w:r>
              <w:rPr>
                <w:rFonts w:ascii="Arial" w:cs="Arial" w:eastAsia="Arial" w:hAnsi="Arial"/>
                <w:sz w:val="17"/>
                <w:szCs w:val="17"/>
                <w:color w:val="auto"/>
              </w:rPr>
              <w:t xml:space="preserve">Exhibit </w:t>
            </w:r>
            <w:hyperlink w:anchor="page51">
              <w:r>
                <w:rPr>
                  <w:rFonts w:ascii="Arial" w:cs="Arial" w:eastAsia="Arial" w:hAnsi="Arial"/>
                  <w:sz w:val="17"/>
                  <w:szCs w:val="17"/>
                  <w:color w:val="0000FF"/>
                </w:rPr>
                <w:t>32.1</w:t>
              </w:r>
            </w:hyperlink>
          </w:p>
        </w:tc>
        <w:tc>
          <w:tcPr>
            <w:tcW w:w="9280" w:type="dxa"/>
            <w:vAlign w:val="bottom"/>
          </w:tcPr>
          <w:p>
            <w:pPr>
              <w:ind w:left="360"/>
              <w:spacing w:after="0"/>
              <w:rPr>
                <w:sz w:val="20"/>
                <w:szCs w:val="20"/>
                <w:color w:val="auto"/>
              </w:rPr>
            </w:pPr>
            <w:r>
              <w:rPr>
                <w:rFonts w:ascii="Arial" w:cs="Arial" w:eastAsia="Arial" w:hAnsi="Arial"/>
                <w:sz w:val="17"/>
                <w:szCs w:val="17"/>
                <w:color w:val="auto"/>
                <w:w w:val="93"/>
              </w:rPr>
              <w:t>Certifications of Chief Executive Officer and Chief Financial Officer pursuant to Section 906 of the Sarbanes-Oxley Act of 2002</w:t>
            </w:r>
          </w:p>
        </w:tc>
      </w:tr>
      <w:tr>
        <w:trPr>
          <w:trHeight w:val="20"/>
        </w:trPr>
        <w:tc>
          <w:tcPr>
            <w:tcW w:w="600" w:type="dxa"/>
            <w:vAlign w:val="bottom"/>
            <w:gridSpan w:val="2"/>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9280" w:type="dxa"/>
            <w:vAlign w:val="bottom"/>
          </w:tcPr>
          <w:p>
            <w:pPr>
              <w:spacing w:after="0" w:line="20" w:lineRule="exact"/>
              <w:rPr>
                <w:sz w:val="1"/>
                <w:szCs w:val="1"/>
                <w:color w:val="auto"/>
              </w:rPr>
            </w:pPr>
          </w:p>
        </w:tc>
      </w:tr>
      <w:tr>
        <w:trPr>
          <w:trHeight w:val="239"/>
        </w:trPr>
        <w:tc>
          <w:tcPr>
            <w:tcW w:w="1580" w:type="dxa"/>
            <w:vAlign w:val="bottom"/>
            <w:gridSpan w:val="6"/>
          </w:tcPr>
          <w:p>
            <w:pPr>
              <w:ind w:left="20"/>
              <w:spacing w:after="0"/>
              <w:rPr>
                <w:sz w:val="20"/>
                <w:szCs w:val="20"/>
                <w:color w:val="auto"/>
              </w:rPr>
            </w:pPr>
            <w:r>
              <w:rPr>
                <w:rFonts w:ascii="Arial" w:cs="Arial" w:eastAsia="Arial" w:hAnsi="Arial"/>
                <w:sz w:val="17"/>
                <w:szCs w:val="17"/>
                <w:color w:val="auto"/>
              </w:rPr>
              <w:t>Exhibit 101.INS</w:t>
            </w:r>
          </w:p>
        </w:tc>
        <w:tc>
          <w:tcPr>
            <w:tcW w:w="9280" w:type="dxa"/>
            <w:vAlign w:val="bottom"/>
          </w:tcPr>
          <w:p>
            <w:pPr>
              <w:ind w:left="360"/>
              <w:spacing w:after="0"/>
              <w:rPr>
                <w:sz w:val="20"/>
                <w:szCs w:val="20"/>
                <w:color w:val="auto"/>
              </w:rPr>
            </w:pPr>
            <w:r>
              <w:rPr>
                <w:rFonts w:ascii="Arial" w:cs="Arial" w:eastAsia="Arial" w:hAnsi="Arial"/>
                <w:sz w:val="17"/>
                <w:szCs w:val="17"/>
                <w:color w:val="auto"/>
                <w:w w:val="96"/>
              </w:rPr>
              <w:t>XBRL Instance Document - this instance document does not appear in the Interactive Data File because its XBRL tags are</w:t>
            </w:r>
          </w:p>
        </w:tc>
      </w:tr>
      <w:tr>
        <w:trPr>
          <w:trHeight w:val="219"/>
        </w:trPr>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80" w:type="dxa"/>
            <w:vAlign w:val="bottom"/>
          </w:tcPr>
          <w:p>
            <w:pPr>
              <w:ind w:left="360"/>
              <w:spacing w:after="0"/>
              <w:rPr>
                <w:sz w:val="20"/>
                <w:szCs w:val="20"/>
                <w:color w:val="auto"/>
              </w:rPr>
            </w:pPr>
            <w:r>
              <w:rPr>
                <w:rFonts w:ascii="Arial" w:cs="Arial" w:eastAsia="Arial" w:hAnsi="Arial"/>
                <w:sz w:val="17"/>
                <w:szCs w:val="17"/>
                <w:color w:val="auto"/>
              </w:rPr>
              <w:t>embedded within the Inline XBRL document.</w:t>
            </w:r>
          </w:p>
        </w:tc>
      </w:tr>
      <w:tr>
        <w:trPr>
          <w:trHeight w:val="271"/>
        </w:trPr>
        <w:tc>
          <w:tcPr>
            <w:tcW w:w="1580" w:type="dxa"/>
            <w:vAlign w:val="bottom"/>
            <w:gridSpan w:val="6"/>
          </w:tcPr>
          <w:p>
            <w:pPr>
              <w:ind w:left="20"/>
              <w:spacing w:after="0"/>
              <w:rPr>
                <w:sz w:val="20"/>
                <w:szCs w:val="20"/>
                <w:color w:val="auto"/>
              </w:rPr>
            </w:pPr>
            <w:r>
              <w:rPr>
                <w:rFonts w:ascii="Arial" w:cs="Arial" w:eastAsia="Arial" w:hAnsi="Arial"/>
                <w:sz w:val="17"/>
                <w:szCs w:val="17"/>
                <w:color w:val="auto"/>
              </w:rPr>
              <w:t>Exhibit 101.SCH</w:t>
            </w:r>
          </w:p>
        </w:tc>
        <w:tc>
          <w:tcPr>
            <w:tcW w:w="9280" w:type="dxa"/>
            <w:vAlign w:val="bottom"/>
          </w:tcPr>
          <w:p>
            <w:pPr>
              <w:ind w:left="360"/>
              <w:spacing w:after="0"/>
              <w:rPr>
                <w:sz w:val="20"/>
                <w:szCs w:val="20"/>
                <w:color w:val="auto"/>
              </w:rPr>
            </w:pPr>
            <w:r>
              <w:rPr>
                <w:rFonts w:ascii="Arial" w:cs="Arial" w:eastAsia="Arial" w:hAnsi="Arial"/>
                <w:sz w:val="17"/>
                <w:szCs w:val="17"/>
                <w:color w:val="auto"/>
              </w:rPr>
              <w:t>XBRL Taxonomy Extension Schema Document</w:t>
            </w:r>
          </w:p>
        </w:tc>
      </w:tr>
      <w:tr>
        <w:trPr>
          <w:trHeight w:val="271"/>
        </w:trPr>
        <w:tc>
          <w:tcPr>
            <w:tcW w:w="1580" w:type="dxa"/>
            <w:vAlign w:val="bottom"/>
            <w:gridSpan w:val="6"/>
          </w:tcPr>
          <w:p>
            <w:pPr>
              <w:ind w:left="20"/>
              <w:spacing w:after="0"/>
              <w:rPr>
                <w:sz w:val="20"/>
                <w:szCs w:val="20"/>
                <w:color w:val="auto"/>
              </w:rPr>
            </w:pPr>
            <w:r>
              <w:rPr>
                <w:rFonts w:ascii="Arial" w:cs="Arial" w:eastAsia="Arial" w:hAnsi="Arial"/>
                <w:sz w:val="17"/>
                <w:szCs w:val="17"/>
                <w:color w:val="auto"/>
              </w:rPr>
              <w:t>Exhibit 101.CAL</w:t>
            </w:r>
          </w:p>
        </w:tc>
        <w:tc>
          <w:tcPr>
            <w:tcW w:w="9280" w:type="dxa"/>
            <w:vAlign w:val="bottom"/>
          </w:tcPr>
          <w:p>
            <w:pPr>
              <w:ind w:left="360"/>
              <w:spacing w:after="0"/>
              <w:rPr>
                <w:sz w:val="20"/>
                <w:szCs w:val="20"/>
                <w:color w:val="auto"/>
              </w:rPr>
            </w:pPr>
            <w:r>
              <w:rPr>
                <w:rFonts w:ascii="Arial" w:cs="Arial" w:eastAsia="Arial" w:hAnsi="Arial"/>
                <w:sz w:val="17"/>
                <w:szCs w:val="17"/>
                <w:color w:val="auto"/>
              </w:rPr>
              <w:t>XBRL Taxonomy Extension Calculation Linkbase Document</w:t>
            </w:r>
          </w:p>
        </w:tc>
      </w:tr>
      <w:tr>
        <w:trPr>
          <w:trHeight w:val="271"/>
        </w:trPr>
        <w:tc>
          <w:tcPr>
            <w:tcW w:w="1580" w:type="dxa"/>
            <w:vAlign w:val="bottom"/>
            <w:gridSpan w:val="6"/>
          </w:tcPr>
          <w:p>
            <w:pPr>
              <w:ind w:left="20"/>
              <w:spacing w:after="0"/>
              <w:rPr>
                <w:sz w:val="20"/>
                <w:szCs w:val="20"/>
                <w:color w:val="auto"/>
              </w:rPr>
            </w:pPr>
            <w:r>
              <w:rPr>
                <w:rFonts w:ascii="Arial" w:cs="Arial" w:eastAsia="Arial" w:hAnsi="Arial"/>
                <w:sz w:val="17"/>
                <w:szCs w:val="17"/>
                <w:color w:val="auto"/>
              </w:rPr>
              <w:t>Exhibit 101.DEF</w:t>
            </w:r>
          </w:p>
        </w:tc>
        <w:tc>
          <w:tcPr>
            <w:tcW w:w="9280" w:type="dxa"/>
            <w:vAlign w:val="bottom"/>
          </w:tcPr>
          <w:p>
            <w:pPr>
              <w:ind w:left="360"/>
              <w:spacing w:after="0"/>
              <w:rPr>
                <w:sz w:val="20"/>
                <w:szCs w:val="20"/>
                <w:color w:val="auto"/>
              </w:rPr>
            </w:pPr>
            <w:r>
              <w:rPr>
                <w:rFonts w:ascii="Arial" w:cs="Arial" w:eastAsia="Arial" w:hAnsi="Arial"/>
                <w:sz w:val="17"/>
                <w:szCs w:val="17"/>
                <w:color w:val="auto"/>
              </w:rPr>
              <w:t>XBRL Taxonomy Extension Definition Linkbase Document</w:t>
            </w:r>
          </w:p>
        </w:tc>
      </w:tr>
      <w:tr>
        <w:trPr>
          <w:trHeight w:val="271"/>
        </w:trPr>
        <w:tc>
          <w:tcPr>
            <w:tcW w:w="1580" w:type="dxa"/>
            <w:vAlign w:val="bottom"/>
            <w:gridSpan w:val="6"/>
          </w:tcPr>
          <w:p>
            <w:pPr>
              <w:ind w:left="20"/>
              <w:spacing w:after="0"/>
              <w:rPr>
                <w:sz w:val="20"/>
                <w:szCs w:val="20"/>
                <w:color w:val="auto"/>
              </w:rPr>
            </w:pPr>
            <w:r>
              <w:rPr>
                <w:rFonts w:ascii="Arial" w:cs="Arial" w:eastAsia="Arial" w:hAnsi="Arial"/>
                <w:sz w:val="17"/>
                <w:szCs w:val="17"/>
                <w:color w:val="auto"/>
              </w:rPr>
              <w:t>Exhibit 101.LAB</w:t>
            </w:r>
          </w:p>
        </w:tc>
        <w:tc>
          <w:tcPr>
            <w:tcW w:w="9280" w:type="dxa"/>
            <w:vAlign w:val="bottom"/>
          </w:tcPr>
          <w:p>
            <w:pPr>
              <w:ind w:left="360"/>
              <w:spacing w:after="0"/>
              <w:rPr>
                <w:sz w:val="20"/>
                <w:szCs w:val="20"/>
                <w:color w:val="auto"/>
              </w:rPr>
            </w:pPr>
            <w:r>
              <w:rPr>
                <w:rFonts w:ascii="Arial" w:cs="Arial" w:eastAsia="Arial" w:hAnsi="Arial"/>
                <w:sz w:val="17"/>
                <w:szCs w:val="17"/>
                <w:color w:val="auto"/>
              </w:rPr>
              <w:t>XBRL Taxonomy Extension Label Linkbase Document</w:t>
            </w:r>
          </w:p>
        </w:tc>
      </w:tr>
      <w:tr>
        <w:trPr>
          <w:trHeight w:val="271"/>
        </w:trPr>
        <w:tc>
          <w:tcPr>
            <w:tcW w:w="1580" w:type="dxa"/>
            <w:vAlign w:val="bottom"/>
            <w:gridSpan w:val="6"/>
          </w:tcPr>
          <w:p>
            <w:pPr>
              <w:ind w:left="20"/>
              <w:spacing w:after="0"/>
              <w:rPr>
                <w:sz w:val="20"/>
                <w:szCs w:val="20"/>
                <w:color w:val="auto"/>
              </w:rPr>
            </w:pPr>
            <w:r>
              <w:rPr>
                <w:rFonts w:ascii="Arial" w:cs="Arial" w:eastAsia="Arial" w:hAnsi="Arial"/>
                <w:sz w:val="17"/>
                <w:szCs w:val="17"/>
                <w:color w:val="auto"/>
              </w:rPr>
              <w:t>Exhibit 101.PRE</w:t>
            </w:r>
          </w:p>
        </w:tc>
        <w:tc>
          <w:tcPr>
            <w:tcW w:w="9280" w:type="dxa"/>
            <w:vAlign w:val="bottom"/>
          </w:tcPr>
          <w:p>
            <w:pPr>
              <w:ind w:left="360"/>
              <w:spacing w:after="0"/>
              <w:rPr>
                <w:sz w:val="20"/>
                <w:szCs w:val="20"/>
                <w:color w:val="auto"/>
              </w:rPr>
            </w:pPr>
            <w:r>
              <w:rPr>
                <w:rFonts w:ascii="Arial" w:cs="Arial" w:eastAsia="Arial" w:hAnsi="Arial"/>
                <w:sz w:val="17"/>
                <w:szCs w:val="17"/>
                <w:color w:val="auto"/>
              </w:rPr>
              <w:t>XBRL Taxonomy Extension Presentation Linkbase Document</w:t>
            </w:r>
          </w:p>
        </w:tc>
      </w:tr>
      <w:tr>
        <w:trPr>
          <w:trHeight w:val="271"/>
        </w:trPr>
        <w:tc>
          <w:tcPr>
            <w:tcW w:w="1580" w:type="dxa"/>
            <w:vAlign w:val="bottom"/>
            <w:gridSpan w:val="6"/>
          </w:tcPr>
          <w:p>
            <w:pPr>
              <w:ind w:left="20"/>
              <w:spacing w:after="0"/>
              <w:rPr>
                <w:sz w:val="20"/>
                <w:szCs w:val="20"/>
                <w:color w:val="auto"/>
              </w:rPr>
            </w:pPr>
            <w:r>
              <w:rPr>
                <w:rFonts w:ascii="Arial" w:cs="Arial" w:eastAsia="Arial" w:hAnsi="Arial"/>
                <w:sz w:val="17"/>
                <w:szCs w:val="17"/>
                <w:color w:val="auto"/>
              </w:rPr>
              <w:t>Exhibit 104</w:t>
            </w:r>
          </w:p>
        </w:tc>
        <w:tc>
          <w:tcPr>
            <w:tcW w:w="9280" w:type="dxa"/>
            <w:vAlign w:val="bottom"/>
          </w:tcPr>
          <w:p>
            <w:pPr>
              <w:ind w:left="360"/>
              <w:spacing w:after="0"/>
              <w:rPr>
                <w:sz w:val="20"/>
                <w:szCs w:val="20"/>
                <w:color w:val="auto"/>
              </w:rPr>
            </w:pPr>
            <w:r>
              <w:rPr>
                <w:rFonts w:ascii="Arial" w:cs="Arial" w:eastAsia="Arial" w:hAnsi="Arial"/>
                <w:sz w:val="17"/>
                <w:szCs w:val="17"/>
                <w:color w:val="auto"/>
              </w:rPr>
              <w:t>Cover Page Interactive Data File (formatted as Inline XBRL and contained in Exhibit 101)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48</w:t>
      </w:r>
    </w:p>
    <w:p>
      <w:pPr>
        <w:sectPr>
          <w:pgSz w:w="11900" w:h="16838" w:orient="portrait"/>
          <w:cols w:equalWidth="0" w:num="1">
            <w:col w:w="10860"/>
          </w:cols>
          <w:pgMar w:left="320" w:top="849" w:right="719" w:bottom="1440" w:gutter="0" w:footer="0" w:header="0"/>
        </w:sectPr>
      </w:pPr>
    </w:p>
    <w:bookmarkStart w:id="48" w:name="page49"/>
    <w:bookmarkEnd w:id="48"/>
    <w:p>
      <w:pPr>
        <w:jc w:val="right"/>
        <w:spacing w:after="0"/>
        <w:rPr>
          <w:sz w:val="20"/>
          <w:szCs w:val="20"/>
          <w:color w:val="auto"/>
        </w:rPr>
      </w:pPr>
      <w:r>
        <w:rPr>
          <w:rFonts w:ascii="Arial" w:cs="Arial" w:eastAsia="Arial" w:hAnsi="Arial"/>
          <w:sz w:val="17"/>
          <w:szCs w:val="17"/>
          <w:b w:val="1"/>
          <w:bCs w:val="1"/>
          <w:color w:val="auto"/>
        </w:rPr>
        <w:t>Exhibit 31.1</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CERTIFICATION OF CHIEF EXECUTIVE OFFICER PURSUANT TO SECTION 302 OF THE SARBANES-OXLEY ACT OF 2002</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I, Vivek Jain, certify that:</w:t>
      </w:r>
    </w:p>
    <w:p>
      <w:pPr>
        <w:spacing w:after="0" w:line="244" w:lineRule="exact"/>
        <w:rPr>
          <w:sz w:val="20"/>
          <w:szCs w:val="20"/>
          <w:color w:val="auto"/>
        </w:rPr>
      </w:pPr>
    </w:p>
    <w:p>
      <w:pPr>
        <w:ind w:left="1240" w:hanging="616"/>
        <w:spacing w:after="0"/>
        <w:tabs>
          <w:tab w:leader="none" w:pos="12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ICU Medical, Inc.;</w:t>
      </w:r>
    </w:p>
    <w:p>
      <w:pPr>
        <w:spacing w:after="0" w:line="243" w:lineRule="exact"/>
        <w:rPr>
          <w:rFonts w:ascii="Arial" w:cs="Arial" w:eastAsia="Arial" w:hAnsi="Arial"/>
          <w:sz w:val="17"/>
          <w:szCs w:val="17"/>
          <w:color w:val="auto"/>
        </w:rPr>
      </w:pPr>
    </w:p>
    <w:p>
      <w:pPr>
        <w:ind w:left="1240" w:right="40" w:hanging="616"/>
        <w:spacing w:after="0" w:line="268" w:lineRule="auto"/>
        <w:tabs>
          <w:tab w:leader="none" w:pos="12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7" w:lineRule="exact"/>
        <w:rPr>
          <w:rFonts w:ascii="Arial" w:cs="Arial" w:eastAsia="Arial" w:hAnsi="Arial"/>
          <w:sz w:val="17"/>
          <w:szCs w:val="17"/>
          <w:color w:val="auto"/>
        </w:rPr>
      </w:pPr>
    </w:p>
    <w:p>
      <w:pPr>
        <w:ind w:left="1240" w:right="200" w:hanging="616"/>
        <w:spacing w:after="0" w:line="315" w:lineRule="auto"/>
        <w:tabs>
          <w:tab w:leader="none" w:pos="12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Arial" w:cs="Arial" w:eastAsia="Arial" w:hAnsi="Arial"/>
          <w:sz w:val="16"/>
          <w:szCs w:val="16"/>
          <w:color w:val="auto"/>
        </w:rPr>
      </w:pPr>
    </w:p>
    <w:p>
      <w:pPr>
        <w:ind w:left="1240" w:right="160" w:hanging="616"/>
        <w:spacing w:after="0" w:line="296" w:lineRule="auto"/>
        <w:tabs>
          <w:tab w:leader="none" w:pos="1240" w:val="left"/>
        </w:tabs>
        <w:numPr>
          <w:ilvl w:val="0"/>
          <w:numId w:val="27"/>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1240"/>
        <w:spacing w:after="0"/>
        <w:rPr>
          <w:rFonts w:ascii="Arial" w:cs="Arial" w:eastAsia="Arial" w:hAnsi="Arial"/>
          <w:sz w:val="15"/>
          <w:szCs w:val="15"/>
          <w:color w:val="auto"/>
        </w:rPr>
      </w:pPr>
      <w:r>
        <w:rPr>
          <w:rFonts w:ascii="Arial" w:cs="Arial" w:eastAsia="Arial" w:hAnsi="Arial"/>
          <w:sz w:val="17"/>
          <w:szCs w:val="17"/>
          <w:color w:val="auto"/>
        </w:rPr>
        <w:t>15d-15(f)) for the registrant and have:</w:t>
      </w:r>
    </w:p>
    <w:p>
      <w:pPr>
        <w:spacing w:after="0" w:line="231" w:lineRule="exact"/>
        <w:rPr>
          <w:sz w:val="20"/>
          <w:szCs w:val="20"/>
          <w:color w:val="auto"/>
        </w:rPr>
      </w:pPr>
    </w:p>
    <w:p>
      <w:pPr>
        <w:ind w:left="1240" w:right="240" w:hanging="616"/>
        <w:spacing w:after="0" w:line="268" w:lineRule="auto"/>
        <w:tabs>
          <w:tab w:leader="none" w:pos="1232" w:val="left"/>
        </w:tabs>
        <w:numPr>
          <w:ilvl w:val="0"/>
          <w:numId w:val="2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7" w:lineRule="exact"/>
        <w:rPr>
          <w:rFonts w:ascii="Arial" w:cs="Arial" w:eastAsia="Arial" w:hAnsi="Arial"/>
          <w:sz w:val="17"/>
          <w:szCs w:val="17"/>
          <w:color w:val="auto"/>
        </w:rPr>
      </w:pPr>
    </w:p>
    <w:p>
      <w:pPr>
        <w:ind w:left="1240" w:right="520" w:hanging="616"/>
        <w:spacing w:after="0" w:line="268" w:lineRule="auto"/>
        <w:tabs>
          <w:tab w:leader="none" w:pos="1228" w:val="left"/>
        </w:tabs>
        <w:numPr>
          <w:ilvl w:val="0"/>
          <w:numId w:val="2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7" w:lineRule="exact"/>
        <w:rPr>
          <w:rFonts w:ascii="Arial" w:cs="Arial" w:eastAsia="Arial" w:hAnsi="Arial"/>
          <w:sz w:val="17"/>
          <w:szCs w:val="17"/>
          <w:color w:val="auto"/>
        </w:rPr>
      </w:pPr>
    </w:p>
    <w:p>
      <w:pPr>
        <w:jc w:val="both"/>
        <w:ind w:left="1240" w:right="680" w:hanging="616"/>
        <w:spacing w:after="0" w:line="353" w:lineRule="auto"/>
        <w:tabs>
          <w:tab w:leader="none" w:pos="1232" w:val="left"/>
        </w:tabs>
        <w:numPr>
          <w:ilvl w:val="0"/>
          <w:numId w:val="28"/>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Arial" w:cs="Arial" w:eastAsia="Arial" w:hAnsi="Arial"/>
          <w:sz w:val="15"/>
          <w:szCs w:val="15"/>
          <w:color w:val="auto"/>
        </w:rPr>
      </w:pPr>
    </w:p>
    <w:p>
      <w:pPr>
        <w:ind w:left="1240" w:right="240" w:hanging="616"/>
        <w:spacing w:after="0" w:line="268" w:lineRule="auto"/>
        <w:tabs>
          <w:tab w:leader="none" w:pos="1228" w:val="left"/>
        </w:tabs>
        <w:numPr>
          <w:ilvl w:val="0"/>
          <w:numId w:val="2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8" w:lineRule="exact"/>
        <w:rPr>
          <w:sz w:val="20"/>
          <w:szCs w:val="20"/>
          <w:color w:val="auto"/>
        </w:rPr>
      </w:pPr>
    </w:p>
    <w:p>
      <w:pPr>
        <w:ind w:left="1240" w:right="120" w:hanging="616"/>
        <w:spacing w:after="0" w:line="315" w:lineRule="auto"/>
        <w:tabs>
          <w:tab w:leader="none" w:pos="12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sz w:val="20"/>
          <w:szCs w:val="20"/>
          <w:color w:val="auto"/>
        </w:rPr>
      </w:pPr>
    </w:p>
    <w:p>
      <w:pPr>
        <w:ind w:left="1240" w:right="140" w:hanging="616"/>
        <w:spacing w:after="0" w:line="283" w:lineRule="auto"/>
        <w:tabs>
          <w:tab w:leader="none" w:pos="1232" w:val="left"/>
        </w:tabs>
        <w:numPr>
          <w:ilvl w:val="0"/>
          <w:numId w:val="3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7"/>
          <w:szCs w:val="17"/>
          <w:color w:val="auto"/>
        </w:rPr>
      </w:pPr>
    </w:p>
    <w:p>
      <w:pPr>
        <w:ind w:left="1240" w:right="100" w:hanging="616"/>
        <w:spacing w:after="0" w:line="277" w:lineRule="auto"/>
        <w:tabs>
          <w:tab w:leader="none" w:pos="1228" w:val="left"/>
        </w:tabs>
        <w:numPr>
          <w:ilvl w:val="0"/>
          <w:numId w:val="30"/>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 w:lineRule="exact"/>
        <w:rPr>
          <w:sz w:val="20"/>
          <w:szCs w:val="20"/>
          <w:color w:val="auto"/>
        </w:rPr>
      </w:pPr>
    </w:p>
    <w:p>
      <w:pPr>
        <w:ind w:left="1440"/>
        <w:spacing w:after="0"/>
        <w:tabs>
          <w:tab w:leader="none" w:pos="6340" w:val="left"/>
        </w:tabs>
        <w:rPr>
          <w:sz w:val="20"/>
          <w:szCs w:val="20"/>
          <w:color w:val="auto"/>
        </w:rPr>
      </w:pPr>
      <w:r>
        <w:rPr>
          <w:rFonts w:ascii="Arial" w:cs="Arial" w:eastAsia="Arial" w:hAnsi="Arial"/>
          <w:sz w:val="17"/>
          <w:szCs w:val="17"/>
          <w:color w:val="auto"/>
        </w:rPr>
        <w:t>Date: November 5, 2021</w:t>
      </w:r>
      <w:r>
        <w:rPr>
          <w:sz w:val="20"/>
          <w:szCs w:val="20"/>
          <w:color w:val="auto"/>
        </w:rPr>
        <w:tab/>
      </w:r>
      <w:r>
        <w:rPr>
          <w:rFonts w:ascii="Arial" w:cs="Arial" w:eastAsia="Arial" w:hAnsi="Arial"/>
          <w:sz w:val="15"/>
          <w:szCs w:val="15"/>
          <w:color w:val="auto"/>
        </w:rPr>
        <w:t>/s/ Vivek Jain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4022725</wp:posOffset>
            </wp:positionH>
            <wp:positionV relativeFrom="paragraph">
              <wp:posOffset>15240</wp:posOffset>
            </wp:positionV>
            <wp:extent cx="309308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3093085" cy="8255"/>
                    </a:xfrm>
                    <a:prstGeom prst="rect">
                      <a:avLst/>
                    </a:prstGeom>
                    <a:noFill/>
                  </pic:spPr>
                </pic:pic>
              </a:graphicData>
            </a:graphic>
          </wp:anchor>
        </w:drawing>
      </w:r>
    </w:p>
    <w:p>
      <w:pPr>
        <w:spacing w:after="0" w:line="17" w:lineRule="exact"/>
        <w:rPr>
          <w:sz w:val="20"/>
          <w:szCs w:val="20"/>
          <w:color w:val="auto"/>
        </w:rPr>
      </w:pPr>
    </w:p>
    <w:p>
      <w:pPr>
        <w:ind w:left="6360"/>
        <w:spacing w:after="0"/>
        <w:rPr>
          <w:sz w:val="20"/>
          <w:szCs w:val="20"/>
          <w:color w:val="auto"/>
        </w:rPr>
      </w:pPr>
      <w:r>
        <w:rPr>
          <w:rFonts w:ascii="Arial" w:cs="Arial" w:eastAsia="Arial" w:hAnsi="Arial"/>
          <w:sz w:val="17"/>
          <w:szCs w:val="17"/>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113665</wp:posOffset>
            </wp:positionV>
            <wp:extent cx="7121525" cy="165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7121525" cy="165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7"/>
          <w:szCs w:val="17"/>
          <w:b w:val="1"/>
          <w:bCs w:val="1"/>
          <w:color w:val="auto"/>
        </w:rPr>
        <w:t>Exhibit 31.2</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CERTIFICATION OF CHIEF FINANCIAL OFFICER PURSUANT TO SECTION 302 OF THE SARBANES-OXLEY ACT OF 2002</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I, Brian M. Bonnell, certify that:</w:t>
      </w:r>
    </w:p>
    <w:p>
      <w:pPr>
        <w:spacing w:after="0" w:line="218" w:lineRule="exact"/>
        <w:rPr>
          <w:sz w:val="20"/>
          <w:szCs w:val="20"/>
          <w:color w:val="auto"/>
        </w:rPr>
      </w:pPr>
    </w:p>
    <w:p>
      <w:pPr>
        <w:ind w:left="1100" w:hanging="554"/>
        <w:spacing w:after="0"/>
        <w:tabs>
          <w:tab w:leader="none" w:pos="11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ICU Medical, Inc.;</w:t>
      </w:r>
    </w:p>
    <w:p>
      <w:pPr>
        <w:spacing w:after="0" w:line="243" w:lineRule="exact"/>
        <w:rPr>
          <w:rFonts w:ascii="Arial" w:cs="Arial" w:eastAsia="Arial" w:hAnsi="Arial"/>
          <w:sz w:val="17"/>
          <w:szCs w:val="17"/>
          <w:color w:val="auto"/>
        </w:rPr>
      </w:pPr>
    </w:p>
    <w:p>
      <w:pPr>
        <w:jc w:val="both"/>
        <w:ind w:left="1080" w:right="140" w:hanging="534"/>
        <w:spacing w:after="0" w:line="268" w:lineRule="auto"/>
        <w:tabs>
          <w:tab w:leader="none" w:pos="10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7" w:lineRule="exact"/>
        <w:rPr>
          <w:rFonts w:ascii="Arial" w:cs="Arial" w:eastAsia="Arial" w:hAnsi="Arial"/>
          <w:sz w:val="17"/>
          <w:szCs w:val="17"/>
          <w:color w:val="auto"/>
        </w:rPr>
      </w:pPr>
    </w:p>
    <w:p>
      <w:pPr>
        <w:ind w:left="1080" w:right="60" w:hanging="534"/>
        <w:spacing w:after="0" w:line="315" w:lineRule="auto"/>
        <w:tabs>
          <w:tab w:leader="none" w:pos="1123"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Arial" w:cs="Arial" w:eastAsia="Arial" w:hAnsi="Arial"/>
          <w:sz w:val="16"/>
          <w:szCs w:val="16"/>
          <w:color w:val="auto"/>
        </w:rPr>
      </w:pPr>
    </w:p>
    <w:p>
      <w:pPr>
        <w:ind w:left="1080" w:right="120" w:hanging="534"/>
        <w:spacing w:after="0" w:line="268" w:lineRule="auto"/>
        <w:tabs>
          <w:tab w:leader="none" w:pos="10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8" w:lineRule="exact"/>
        <w:rPr>
          <w:sz w:val="20"/>
          <w:szCs w:val="20"/>
          <w:color w:val="auto"/>
        </w:rPr>
      </w:pPr>
    </w:p>
    <w:p>
      <w:pPr>
        <w:ind w:left="1080" w:right="380" w:hanging="534"/>
        <w:spacing w:after="0" w:line="268" w:lineRule="auto"/>
        <w:tabs>
          <w:tab w:leader="none" w:pos="1071" w:val="left"/>
        </w:tabs>
        <w:numPr>
          <w:ilvl w:val="0"/>
          <w:numId w:val="3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7" w:lineRule="exact"/>
        <w:rPr>
          <w:rFonts w:ascii="Arial" w:cs="Arial" w:eastAsia="Arial" w:hAnsi="Arial"/>
          <w:sz w:val="17"/>
          <w:szCs w:val="17"/>
          <w:color w:val="auto"/>
        </w:rPr>
      </w:pPr>
    </w:p>
    <w:p>
      <w:pPr>
        <w:ind w:left="1080" w:right="80" w:hanging="534"/>
        <w:spacing w:after="0" w:line="268" w:lineRule="auto"/>
        <w:tabs>
          <w:tab w:leader="none" w:pos="1068" w:val="left"/>
        </w:tabs>
        <w:numPr>
          <w:ilvl w:val="0"/>
          <w:numId w:val="3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7" w:lineRule="exact"/>
        <w:rPr>
          <w:rFonts w:ascii="Arial" w:cs="Arial" w:eastAsia="Arial" w:hAnsi="Arial"/>
          <w:sz w:val="17"/>
          <w:szCs w:val="17"/>
          <w:color w:val="auto"/>
        </w:rPr>
      </w:pPr>
    </w:p>
    <w:p>
      <w:pPr>
        <w:jc w:val="both"/>
        <w:ind w:left="1080" w:right="840" w:hanging="534"/>
        <w:spacing w:after="0" w:line="353" w:lineRule="auto"/>
        <w:tabs>
          <w:tab w:leader="none" w:pos="1071" w:val="left"/>
        </w:tabs>
        <w:numPr>
          <w:ilvl w:val="0"/>
          <w:numId w:val="32"/>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Arial" w:cs="Arial" w:eastAsia="Arial" w:hAnsi="Arial"/>
          <w:sz w:val="15"/>
          <w:szCs w:val="15"/>
          <w:color w:val="auto"/>
        </w:rPr>
      </w:pPr>
    </w:p>
    <w:p>
      <w:pPr>
        <w:ind w:left="1080" w:right="100" w:hanging="534"/>
        <w:spacing w:after="0" w:line="268" w:lineRule="auto"/>
        <w:tabs>
          <w:tab w:leader="none" w:pos="1068" w:val="left"/>
        </w:tabs>
        <w:numPr>
          <w:ilvl w:val="0"/>
          <w:numId w:val="3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8" w:lineRule="exact"/>
        <w:rPr>
          <w:sz w:val="20"/>
          <w:szCs w:val="20"/>
          <w:color w:val="auto"/>
        </w:rPr>
      </w:pPr>
    </w:p>
    <w:p>
      <w:pPr>
        <w:ind w:left="1080" w:right="240" w:hanging="534"/>
        <w:spacing w:after="0" w:line="315" w:lineRule="auto"/>
        <w:tabs>
          <w:tab w:leader="none" w:pos="1123"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sz w:val="20"/>
          <w:szCs w:val="20"/>
          <w:color w:val="auto"/>
        </w:rPr>
      </w:pPr>
    </w:p>
    <w:p>
      <w:pPr>
        <w:ind w:left="1080" w:right="300" w:hanging="534"/>
        <w:spacing w:after="0" w:line="283" w:lineRule="auto"/>
        <w:tabs>
          <w:tab w:leader="none" w:pos="1071" w:val="left"/>
        </w:tabs>
        <w:numPr>
          <w:ilvl w:val="0"/>
          <w:numId w:val="3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7"/>
          <w:szCs w:val="17"/>
          <w:color w:val="auto"/>
        </w:rPr>
      </w:pPr>
    </w:p>
    <w:p>
      <w:pPr>
        <w:ind w:left="1080" w:right="260" w:hanging="534"/>
        <w:spacing w:after="0" w:line="283" w:lineRule="auto"/>
        <w:tabs>
          <w:tab w:leader="none" w:pos="1068" w:val="left"/>
        </w:tabs>
        <w:numPr>
          <w:ilvl w:val="0"/>
          <w:numId w:val="34"/>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88" w:lineRule="exact"/>
        <w:rPr>
          <w:sz w:val="20"/>
          <w:szCs w:val="20"/>
          <w:color w:val="auto"/>
        </w:rPr>
      </w:pPr>
    </w:p>
    <w:p>
      <w:pPr>
        <w:ind w:left="1260"/>
        <w:spacing w:after="0"/>
        <w:tabs>
          <w:tab w:leader="none" w:pos="2280" w:val="left"/>
          <w:tab w:leader="none" w:pos="6760" w:val="left"/>
        </w:tabs>
        <w:rPr>
          <w:sz w:val="20"/>
          <w:szCs w:val="20"/>
          <w:color w:val="auto"/>
        </w:rPr>
      </w:pPr>
      <w:r>
        <w:rPr>
          <w:rFonts w:ascii="Arial" w:cs="Arial" w:eastAsia="Arial" w:hAnsi="Arial"/>
          <w:sz w:val="17"/>
          <w:szCs w:val="17"/>
          <w:color w:val="auto"/>
        </w:rPr>
        <w:t>Date:</w:t>
      </w:r>
      <w:r>
        <w:rPr>
          <w:sz w:val="20"/>
          <w:szCs w:val="20"/>
          <w:color w:val="auto"/>
        </w:rPr>
        <w:tab/>
      </w:r>
      <w:r>
        <w:rPr>
          <w:rFonts w:ascii="Arial" w:cs="Arial" w:eastAsia="Arial" w:hAnsi="Arial"/>
          <w:sz w:val="17"/>
          <w:szCs w:val="17"/>
          <w:color w:val="auto"/>
        </w:rPr>
        <w:t>November 5, 2021</w:t>
      </w:r>
      <w:r>
        <w:rPr>
          <w:sz w:val="20"/>
          <w:szCs w:val="20"/>
          <w:color w:val="auto"/>
        </w:rPr>
        <w:tab/>
      </w:r>
      <w:r>
        <w:rPr>
          <w:rFonts w:ascii="Arial" w:cs="Arial" w:eastAsia="Arial" w:hAnsi="Arial"/>
          <w:sz w:val="16"/>
          <w:szCs w:val="16"/>
          <w:color w:val="auto"/>
        </w:rPr>
        <w:t>/s/ Brian M. Bonnell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3899535</wp:posOffset>
            </wp:positionH>
            <wp:positionV relativeFrom="paragraph">
              <wp:posOffset>15240</wp:posOffset>
            </wp:positionV>
            <wp:extent cx="330136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3301365" cy="8255"/>
                    </a:xfrm>
                    <a:prstGeom prst="rect">
                      <a:avLst/>
                    </a:prstGeom>
                    <a:noFill/>
                  </pic:spPr>
                </pic:pic>
              </a:graphicData>
            </a:graphic>
          </wp:anchor>
        </w:drawing>
      </w:r>
    </w:p>
    <w:p>
      <w:pPr>
        <w:spacing w:after="0" w:line="17" w:lineRule="exact"/>
        <w:rPr>
          <w:sz w:val="20"/>
          <w:szCs w:val="20"/>
          <w:color w:val="auto"/>
        </w:rPr>
      </w:pPr>
    </w:p>
    <w:p>
      <w:pPr>
        <w:ind w:left="6780"/>
        <w:spacing w:after="0"/>
        <w:rPr>
          <w:sz w:val="20"/>
          <w:szCs w:val="20"/>
          <w:color w:val="auto"/>
        </w:rPr>
      </w:pPr>
      <w:r>
        <w:rPr>
          <w:rFonts w:ascii="Arial" w:cs="Arial" w:eastAsia="Arial" w:hAnsi="Arial"/>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396240</wp:posOffset>
            </wp:positionH>
            <wp:positionV relativeFrom="paragraph">
              <wp:posOffset>105410</wp:posOffset>
            </wp:positionV>
            <wp:extent cx="6804660" cy="165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6804660" cy="165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7"/>
          <w:szCs w:val="17"/>
          <w:b w:val="1"/>
          <w:bCs w:val="1"/>
          <w:color w:val="auto"/>
        </w:rPr>
        <w:t>Exhibit 32.1</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CHIEF EXECUTIVE OFFICER</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connection with the Quarterly Report of ICU Medical, Inc. (the “Company”) on Form 10-Q for the period ended September 30, 2021 as filed with the Securities and Exchange Commission on the date hereof (the “Report”), I, Vivek Jain, Chief Executive Officer of the Company, certify, pursuant to 18 U.S.C. § 1350, as adopted pursuant to § 906 of the Sarbanes-Oxley Act of 2002, that:</w:t>
      </w:r>
    </w:p>
    <w:p>
      <w:pPr>
        <w:spacing w:after="0" w:line="172" w:lineRule="exact"/>
        <w:rPr>
          <w:sz w:val="20"/>
          <w:szCs w:val="20"/>
          <w:color w:val="auto"/>
        </w:rPr>
      </w:pPr>
    </w:p>
    <w:p>
      <w:pPr>
        <w:ind w:left="300" w:hanging="297"/>
        <w:spacing w:after="0"/>
        <w:tabs>
          <w:tab w:leader="none" w:pos="3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43" w:lineRule="exact"/>
        <w:rPr>
          <w:rFonts w:ascii="Arial" w:cs="Arial" w:eastAsia="Arial" w:hAnsi="Arial"/>
          <w:sz w:val="17"/>
          <w:szCs w:val="17"/>
          <w:color w:val="auto"/>
        </w:rPr>
      </w:pPr>
    </w:p>
    <w:p>
      <w:pPr>
        <w:ind w:left="300" w:hanging="297"/>
        <w:spacing w:after="0"/>
        <w:tabs>
          <w:tab w:leader="none" w:pos="3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50" w:lineRule="exact"/>
        <w:rPr>
          <w:sz w:val="20"/>
          <w:szCs w:val="20"/>
          <w:color w:val="auto"/>
        </w:rPr>
      </w:pPr>
    </w:p>
    <w:p>
      <w:pPr>
        <w:ind w:left="340"/>
        <w:spacing w:after="0"/>
        <w:tabs>
          <w:tab w:leader="none" w:pos="5700" w:val="left"/>
        </w:tabs>
        <w:rPr>
          <w:sz w:val="20"/>
          <w:szCs w:val="20"/>
          <w:color w:val="auto"/>
        </w:rPr>
      </w:pPr>
      <w:r>
        <w:rPr>
          <w:rFonts w:ascii="Arial" w:cs="Arial" w:eastAsia="Arial" w:hAnsi="Arial"/>
          <w:sz w:val="17"/>
          <w:szCs w:val="17"/>
          <w:color w:val="auto"/>
        </w:rPr>
        <w:t>November 5, 2021</w:t>
      </w:r>
      <w:r>
        <w:rPr>
          <w:sz w:val="20"/>
          <w:szCs w:val="20"/>
          <w:color w:val="auto"/>
        </w:rPr>
        <w:tab/>
      </w:r>
      <w:r>
        <w:rPr>
          <w:rFonts w:ascii="Arial" w:cs="Arial" w:eastAsia="Arial" w:hAnsi="Arial"/>
          <w:sz w:val="15"/>
          <w:szCs w:val="15"/>
          <w:color w:val="auto"/>
        </w:rPr>
        <w:t>/s/ Vivek Jain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3620770</wp:posOffset>
            </wp:positionH>
            <wp:positionV relativeFrom="paragraph">
              <wp:posOffset>15240</wp:posOffset>
            </wp:positionV>
            <wp:extent cx="331470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3314700" cy="8255"/>
                    </a:xfrm>
                    <a:prstGeom prst="rect">
                      <a:avLst/>
                    </a:prstGeom>
                    <a:noFill/>
                  </pic:spPr>
                </pic:pic>
              </a:graphicData>
            </a:graphic>
          </wp:anchor>
        </w:drawing>
      </w:r>
    </w:p>
    <w:p>
      <w:pPr>
        <w:spacing w:after="0" w:line="17"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Vivek Jain</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CHIEF FINANCIAL OFFICER</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connection with the Quarterly Report of ICU Medical, Inc. (the “Company”) on Form 10-Q for the period ended September 30, 2021 as filed with the Securities and Exchange Commission on the date hereof (the “Report”), I, Brian M. Bonnell, Chief Financial Officer of the Company, certify, pursuant to 18 U.S.C. § 1350, as adopted pursuant to § 906 of the Sarbanes-Oxley Act of 2002, that:</w:t>
      </w:r>
    </w:p>
    <w:p>
      <w:pPr>
        <w:spacing w:after="0" w:line="172" w:lineRule="exact"/>
        <w:rPr>
          <w:sz w:val="20"/>
          <w:szCs w:val="20"/>
          <w:color w:val="auto"/>
        </w:rPr>
      </w:pPr>
    </w:p>
    <w:p>
      <w:pPr>
        <w:ind w:left="300" w:hanging="297"/>
        <w:spacing w:after="0"/>
        <w:tabs>
          <w:tab w:leader="none" w:pos="3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43" w:lineRule="exact"/>
        <w:rPr>
          <w:rFonts w:ascii="Arial" w:cs="Arial" w:eastAsia="Arial" w:hAnsi="Arial"/>
          <w:sz w:val="17"/>
          <w:szCs w:val="17"/>
          <w:color w:val="auto"/>
        </w:rPr>
      </w:pPr>
    </w:p>
    <w:p>
      <w:pPr>
        <w:ind w:left="300" w:hanging="297"/>
        <w:spacing w:after="0"/>
        <w:tabs>
          <w:tab w:leader="none" w:pos="3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34"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7"/>
          <w:szCs w:val="17"/>
          <w:color w:val="auto"/>
        </w:rPr>
        <w:t>November 5, 2021</w:t>
      </w:r>
      <w:r>
        <w:rPr>
          <w:sz w:val="20"/>
          <w:szCs w:val="20"/>
          <w:color w:val="auto"/>
        </w:rPr>
        <w:tab/>
      </w:r>
      <w:r>
        <w:rPr>
          <w:rFonts w:ascii="Arial" w:cs="Arial" w:eastAsia="Arial" w:hAnsi="Arial"/>
          <w:sz w:val="16"/>
          <w:szCs w:val="16"/>
          <w:color w:val="auto"/>
        </w:rPr>
        <w:t>/s/ Brian M. Bonnell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3628390</wp:posOffset>
            </wp:positionH>
            <wp:positionV relativeFrom="paragraph">
              <wp:posOffset>15240</wp:posOffset>
            </wp:positionV>
            <wp:extent cx="350329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3503295" cy="8255"/>
                    </a:xfrm>
                    <a:prstGeom prst="rect">
                      <a:avLst/>
                    </a:prstGeom>
                    <a:noFill/>
                  </pic:spPr>
                </pic:pic>
              </a:graphicData>
            </a:graphic>
          </wp:anchor>
        </w:drawing>
      </w:r>
    </w:p>
    <w:p>
      <w:pPr>
        <w:spacing w:after="0" w:line="17"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Brian M. Bonnell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113665</wp:posOffset>
            </wp:positionV>
            <wp:extent cx="7121525" cy="165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7121525" cy="16510"/>
                    </a:xfrm>
                    <a:prstGeom prst="rect">
                      <a:avLst/>
                    </a:prstGeom>
                    <a:noFill/>
                  </pic:spPr>
                </pic:pic>
              </a:graphicData>
            </a:graphic>
          </wp:anchor>
        </w:drawing>
      </w:r>
    </w:p>
    <w:sectPr>
      <w:pgSz w:w="11900" w:h="16838" w:orient="portrait"/>
      <w:cols w:equalWidth="0" w:num="1">
        <w:col w:w="11240"/>
      </w:cols>
      <w:pgMar w:left="320" w:top="85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1)"/>
      <w:numFmt w:val="decimal"/>
      <w:start w:val="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1)"/>
      <w:numFmt w:val="decimal"/>
      <w:start w:val="1"/>
    </w:lvl>
  </w:abstractNum>
  <w:abstractNum w:abstractNumId="5">
    <w:nsid w:val="628C895D"/>
    <w:multiLevelType w:val="hybridMultilevel"/>
    <w:lvl w:ilvl="0">
      <w:lvlJc w:val="left"/>
      <w:lvlText w:val="*"/>
      <w:numFmt w:val="bullet"/>
      <w:start w:val="1"/>
    </w:lvl>
  </w:abstractNum>
  <w:abstractNum w:abstractNumId="6">
    <w:nsid w:val="333AB105"/>
    <w:multiLevelType w:val="hybridMultilevel"/>
    <w:lvl w:ilvl="0">
      <w:lvlJc w:val="left"/>
      <w:lvlText w:val="*"/>
      <w:numFmt w:val="bullet"/>
      <w:start w:val="1"/>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1)"/>
      <w:numFmt w:val="lowerRoman"/>
      <w:start w:val="1"/>
    </w:lvl>
  </w:abstractNum>
  <w:abstractNum w:abstractNumId="10">
    <w:nsid w:val="6763845E"/>
    <w:multiLevelType w:val="hybridMultilevel"/>
    <w:lvl w:ilvl="0">
      <w:lvlJc w:val="left"/>
      <w:lvlText w:val="•"/>
      <w:numFmt w:val="bullet"/>
      <w:start w:val="1"/>
    </w:lvl>
  </w:abstractNum>
  <w:abstractNum w:abstractNumId="11">
    <w:nsid w:val="75A2A8D4"/>
    <w:multiLevelType w:val="hybridMultilevel"/>
    <w:lvl w:ilvl="0">
      <w:lvlJc w:val="left"/>
      <w:lvlText w:val="•"/>
      <w:numFmt w:val="bullet"/>
      <w:start w:val="1"/>
    </w:lvl>
  </w:abstractNum>
  <w:abstractNum w:abstractNumId="12">
    <w:nsid w:val="8EDBDAB"/>
    <w:multiLevelType w:val="hybridMultilevel"/>
    <w:lvl w:ilvl="0">
      <w:lvlJc w:val="left"/>
      <w:lvlText w:val="◦"/>
      <w:numFmt w:val="bullet"/>
      <w:start w:val="1"/>
    </w:lvl>
  </w:abstractNum>
  <w:abstractNum w:abstractNumId="13">
    <w:nsid w:val="79838CB2"/>
    <w:multiLevelType w:val="hybridMultilevel"/>
    <w:lvl w:ilvl="0">
      <w:lvlJc w:val="left"/>
      <w:lvlText w:val="•"/>
      <w:numFmt w:val="bullet"/>
      <w:start w:val="1"/>
    </w:lvl>
  </w:abstractNum>
  <w:abstractNum w:abstractNumId="14">
    <w:nsid w:val="4353D0CD"/>
    <w:multiLevelType w:val="hybridMultilevel"/>
    <w:lvl w:ilvl="0">
      <w:lvlJc w:val="left"/>
      <w:lvlText w:val="•"/>
      <w:numFmt w:val="bullet"/>
      <w:start w:val="1"/>
    </w:lvl>
  </w:abstractNum>
  <w:abstractNum w:abstractNumId="15">
    <w:nsid w:val="B03E0C6"/>
    <w:multiLevelType w:val="hybridMultilevel"/>
    <w:lvl w:ilvl="0">
      <w:lvlJc w:val="left"/>
      <w:lvlText w:val="•"/>
      <w:numFmt w:val="bullet"/>
      <w:start w:val="1"/>
    </w:lvl>
  </w:abstractNum>
  <w:abstractNum w:abstractNumId="16">
    <w:nsid w:val="189A769B"/>
    <w:multiLevelType w:val="hybridMultilevel"/>
    <w:lvl w:ilvl="0">
      <w:lvlJc w:val="left"/>
      <w:lvlText w:val="•"/>
      <w:numFmt w:val="bullet"/>
      <w:start w:val="1"/>
    </w:lvl>
  </w:abstractNum>
  <w:abstractNum w:abstractNumId="17">
    <w:nsid w:val="54E49EB4"/>
    <w:multiLevelType w:val="hybridMultilevel"/>
    <w:lvl w:ilvl="0">
      <w:lvlJc w:val="left"/>
      <w:lvlText w:val="•"/>
      <w:numFmt w:val="bullet"/>
      <w:start w:val="1"/>
    </w:lvl>
  </w:abstractNum>
  <w:abstractNum w:abstractNumId="18">
    <w:nsid w:val="71F32454"/>
    <w:multiLevelType w:val="hybridMultilevel"/>
    <w:lvl w:ilvl="0">
      <w:lvlJc w:val="left"/>
      <w:lvlText w:val="•"/>
      <w:numFmt w:val="bullet"/>
      <w:start w:val="1"/>
    </w:lvl>
  </w:abstractNum>
  <w:abstractNum w:abstractNumId="19">
    <w:nsid w:val="2CA88611"/>
    <w:multiLevelType w:val="hybridMultilevel"/>
    <w:lvl w:ilvl="0">
      <w:lvlJc w:val="left"/>
      <w:lvlText w:val="(%1)"/>
      <w:numFmt w:val="decimal"/>
      <w:start w:val="1"/>
    </w:lvl>
  </w:abstractNum>
  <w:abstractNum w:abstractNumId="20">
    <w:nsid w:val="836C40E"/>
    <w:multiLevelType w:val="hybridMultilevel"/>
    <w:lvl w:ilvl="0">
      <w:lvlJc w:val="left"/>
      <w:lvlText w:val="(%1)"/>
      <w:numFmt w:val="decimal"/>
      <w:start w:val="1"/>
    </w:lvl>
  </w:abstractNum>
  <w:abstractNum w:abstractNumId="21">
    <w:nsid w:val="2901D82"/>
    <w:multiLevelType w:val="hybridMultilevel"/>
    <w:lvl w:ilvl="0">
      <w:lvlJc w:val="left"/>
      <w:lvlText w:val="•"/>
      <w:numFmt w:val="bullet"/>
      <w:start w:val="1"/>
    </w:lvl>
  </w:abstractNum>
  <w:abstractNum w:abstractNumId="22">
    <w:nsid w:val="3A95F874"/>
    <w:multiLevelType w:val="hybridMultilevel"/>
    <w:lvl w:ilvl="0">
      <w:lvlJc w:val="left"/>
      <w:lvlText w:val="•"/>
      <w:numFmt w:val="bullet"/>
      <w:start w:val="1"/>
    </w:lvl>
  </w:abstractNum>
  <w:abstractNum w:abstractNumId="23">
    <w:nsid w:val="8138641"/>
    <w:multiLevelType w:val="hybridMultilevel"/>
    <w:lvl w:ilvl="0">
      <w:lvlJc w:val="left"/>
      <w:lvlText w:val="•"/>
      <w:numFmt w:val="bullet"/>
      <w:start w:val="1"/>
    </w:lvl>
  </w:abstractNum>
  <w:abstractNum w:abstractNumId="24">
    <w:nsid w:val="1E7FF521"/>
    <w:multiLevelType w:val="hybridMultilevel"/>
    <w:lvl w:ilvl="0">
      <w:lvlJc w:val="left"/>
      <w:lvlText w:val="•"/>
      <w:numFmt w:val="bullet"/>
      <w:start w:val="1"/>
    </w:lvl>
  </w:abstractNum>
  <w:abstractNum w:abstractNumId="25">
    <w:nsid w:val="7C3DBD3D"/>
    <w:multiLevelType w:val="hybridMultilevel"/>
    <w:lvl w:ilvl="0">
      <w:lvlJc w:val="left"/>
      <w:lvlText w:val="(%1)"/>
      <w:numFmt w:val="decimal"/>
      <w:start w:val="1"/>
    </w:lvl>
  </w:abstractNum>
  <w:abstractNum w:abstractNumId="26">
    <w:nsid w:val="737B8DDC"/>
    <w:multiLevelType w:val="hybridMultilevel"/>
    <w:lvl w:ilvl="0">
      <w:lvlJc w:val="left"/>
      <w:lvlText w:val="%1."/>
      <w:numFmt w:val="decimal"/>
      <w:start w:val="1"/>
    </w:lvl>
  </w:abstractNum>
  <w:abstractNum w:abstractNumId="27">
    <w:nsid w:val="6CEAF087"/>
    <w:multiLevelType w:val="hybridMultilevel"/>
    <w:lvl w:ilvl="0">
      <w:lvlJc w:val="left"/>
      <w:lvlText w:val="%1)"/>
      <w:numFmt w:val="lowerLetter"/>
      <w:start w:val="1"/>
    </w:lvl>
  </w:abstractNum>
  <w:abstractNum w:abstractNumId="28">
    <w:nsid w:val="22221A70"/>
    <w:multiLevelType w:val="hybridMultilevel"/>
    <w:lvl w:ilvl="0">
      <w:lvlJc w:val="left"/>
      <w:lvlText w:val="%1."/>
      <w:numFmt w:val="decimal"/>
      <w:start w:val="5"/>
    </w:lvl>
  </w:abstractNum>
  <w:abstractNum w:abstractNumId="29">
    <w:nsid w:val="4516DDE9"/>
    <w:multiLevelType w:val="hybridMultilevel"/>
    <w:lvl w:ilvl="0">
      <w:lvlJc w:val="left"/>
      <w:lvlText w:val="%1)"/>
      <w:numFmt w:val="lowerLetter"/>
      <w:start w:val="1"/>
    </w:lvl>
  </w:abstractNum>
  <w:abstractNum w:abstractNumId="30">
    <w:nsid w:val="3006C83E"/>
    <w:multiLevelType w:val="hybridMultilevel"/>
    <w:lvl w:ilvl="0">
      <w:lvlJc w:val="left"/>
      <w:lvlText w:val="%1."/>
      <w:numFmt w:val="decimal"/>
      <w:start w:val="1"/>
    </w:lvl>
  </w:abstractNum>
  <w:abstractNum w:abstractNumId="31">
    <w:nsid w:val="614FD4A1"/>
    <w:multiLevelType w:val="hybridMultilevel"/>
    <w:lvl w:ilvl="0">
      <w:lvlJc w:val="left"/>
      <w:lvlText w:val="%1)"/>
      <w:numFmt w:val="lowerLetter"/>
      <w:start w:val="1"/>
    </w:lvl>
  </w:abstractNum>
  <w:abstractNum w:abstractNumId="32">
    <w:nsid w:val="419AC241"/>
    <w:multiLevelType w:val="hybridMultilevel"/>
    <w:lvl w:ilvl="0">
      <w:lvlJc w:val="left"/>
      <w:lvlText w:val="%1."/>
      <w:numFmt w:val="decimal"/>
      <w:start w:val="5"/>
    </w:lvl>
  </w:abstractNum>
  <w:abstractNum w:abstractNumId="33">
    <w:nsid w:val="5577F8E1"/>
    <w:multiLevelType w:val="hybridMultilevel"/>
    <w:lvl w:ilvl="0">
      <w:lvlJc w:val="left"/>
      <w:lvlText w:val="%1)"/>
      <w:numFmt w:val="lowerLetter"/>
      <w:start w:val="1"/>
    </w:lvl>
  </w:abstractNum>
  <w:abstractNum w:abstractNumId="34">
    <w:nsid w:val="440BADFC"/>
    <w:multiLevelType w:val="hybridMultilevel"/>
    <w:lvl w:ilvl="0">
      <w:lvlJc w:val="left"/>
      <w:lvlText w:val="(%1)"/>
      <w:numFmt w:val="decimal"/>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60" Type="http://schemas.openxmlformats.org/officeDocument/2006/relationships/hyperlink" Target="https://www.sec.gov/Archives/edgar/data/883984/000119312521267387/d228927dex21.htm" TargetMode="External"/><Relationship Id="rId61" Type="http://schemas.openxmlformats.org/officeDocument/2006/relationships/hyperlink" Target="http://www.sec.gov/Archives/edgar/data/883984/000119312521267387/d228927dex22.htm" TargetMode="External"/><Relationship Id="rId62" Type="http://schemas.openxmlformats.org/officeDocument/2006/relationships/hyperlink" Target="http://www.sec.gov/Archives/edgar/data/883984/000119312521267387/d228927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2021-11-05T16:17:51Z</dcterms:created>
  <dcterms:modified xsi:type="dcterms:W3CDTF">2021-11-05T16:17:51Z</dcterms:modified>
</cp:coreProperties>
</file>