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176"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9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2024</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9"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86" w:lineRule="exact"/>
        <w:rPr>
          <w:sz w:val="24"/>
          <w:szCs w:val="24"/>
          <w:color w:val="auto"/>
        </w:rPr>
      </w:pPr>
    </w:p>
    <w:tbl>
      <w:tblPr>
        <w:tblLayout w:type="fixed"/>
        <w:tblInd w:w="720" w:type="dxa"/>
        <w:tblCellMar>
          <w:top w:w="0" w:type="dxa"/>
          <w:left w:w="0" w:type="dxa"/>
          <w:bottom w:w="0" w:type="dxa"/>
          <w:right w:w="0" w:type="dxa"/>
        </w:tblCellMar>
      </w:tblPr>
      <w:tr>
        <w:trPr>
          <w:trHeight w:val="204"/>
        </w:trPr>
        <w:tc>
          <w:tcPr>
            <w:tcW w:w="6060" w:type="dxa"/>
            <w:vAlign w:val="bottom"/>
          </w:tcPr>
          <w:p>
            <w:pPr>
              <w:ind w:left="35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22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361"/>
        </w:trPr>
        <w:tc>
          <w:tcPr>
            <w:tcW w:w="6060" w:type="dxa"/>
            <w:vAlign w:val="bottom"/>
          </w:tcPr>
          <w:p>
            <w:pPr>
              <w:jc w:val="center"/>
              <w:ind w:left="3663"/>
              <w:spacing w:after="0"/>
              <w:rPr>
                <w:sz w:val="20"/>
                <w:szCs w:val="20"/>
                <w:color w:val="auto"/>
              </w:rPr>
            </w:pPr>
            <w:r>
              <w:rPr>
                <w:rFonts w:ascii="Times New Roman" w:cs="Times New Roman" w:eastAsia="Times New Roman" w:hAnsi="Times New Roman"/>
                <w:sz w:val="15"/>
                <w:szCs w:val="15"/>
                <w:b w:val="1"/>
                <w:bCs w:val="1"/>
                <w:color w:val="auto"/>
              </w:rPr>
              <w:t>Commission File No.: 001-34634</w:t>
            </w:r>
          </w:p>
        </w:tc>
        <w:tc>
          <w:tcPr>
            <w:tcW w:w="2240" w:type="dxa"/>
            <w:vAlign w:val="bottom"/>
          </w:tcPr>
          <w:p>
            <w:pPr>
              <w:spacing w:after="0"/>
              <w:rPr>
                <w:sz w:val="24"/>
                <w:szCs w:val="24"/>
                <w:color w:val="auto"/>
              </w:rPr>
            </w:pPr>
          </w:p>
        </w:tc>
      </w:tr>
      <w:tr>
        <w:trPr>
          <w:trHeight w:val="277"/>
        </w:trPr>
        <w:tc>
          <w:tcPr>
            <w:tcW w:w="6060" w:type="dxa"/>
            <w:vAlign w:val="bottom"/>
          </w:tcPr>
          <w:p>
            <w:pPr>
              <w:jc w:val="center"/>
              <w:ind w:left="3703"/>
              <w:spacing w:after="0"/>
              <w:rPr>
                <w:sz w:val="20"/>
                <w:szCs w:val="20"/>
                <w:color w:val="auto"/>
              </w:rPr>
            </w:pPr>
            <w:r>
              <w:rPr>
                <w:rFonts w:ascii="Times New Roman" w:cs="Times New Roman" w:eastAsia="Times New Roman" w:hAnsi="Times New Roman"/>
                <w:sz w:val="15"/>
                <w:szCs w:val="15"/>
                <w:b w:val="1"/>
                <w:bCs w:val="1"/>
                <w:color w:val="auto"/>
              </w:rPr>
              <w:t>ICU MEDICAL, INC.</w:t>
            </w:r>
          </w:p>
        </w:tc>
        <w:tc>
          <w:tcPr>
            <w:tcW w:w="2240" w:type="dxa"/>
            <w:vAlign w:val="bottom"/>
          </w:tcPr>
          <w:p>
            <w:pPr>
              <w:spacing w:after="0"/>
              <w:rPr>
                <w:sz w:val="24"/>
                <w:szCs w:val="24"/>
                <w:color w:val="auto"/>
              </w:rPr>
            </w:pPr>
          </w:p>
        </w:tc>
      </w:tr>
      <w:tr>
        <w:trPr>
          <w:trHeight w:val="200"/>
        </w:trPr>
        <w:tc>
          <w:tcPr>
            <w:tcW w:w="8300" w:type="dxa"/>
            <w:vAlign w:val="bottom"/>
            <w:gridSpan w:val="2"/>
          </w:tcPr>
          <w:p>
            <w:pPr>
              <w:jc w:val="center"/>
              <w:ind w:left="1383"/>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r>
      <w:tr>
        <w:trPr>
          <w:trHeight w:val="335"/>
        </w:trPr>
        <w:tc>
          <w:tcPr>
            <w:tcW w:w="6060" w:type="dxa"/>
            <w:vAlign w:val="bottom"/>
          </w:tcPr>
          <w:p>
            <w:pPr>
              <w:jc w:val="center"/>
              <w:ind w:right="184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b w:val="1"/>
                <w:bCs w:val="1"/>
                <w:color w:val="auto"/>
              </w:rPr>
              <w:t>33-0022692</w:t>
            </w:r>
          </w:p>
        </w:tc>
      </w:tr>
      <w:tr>
        <w:trPr>
          <w:trHeight w:val="206"/>
        </w:trPr>
        <w:tc>
          <w:tcPr>
            <w:tcW w:w="6060" w:type="dxa"/>
            <w:vAlign w:val="bottom"/>
          </w:tcPr>
          <w:p>
            <w:pPr>
              <w:jc w:val="center"/>
              <w:ind w:right="1823"/>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color w:val="auto"/>
              </w:rPr>
              <w:t>(I.R.S. Employer</w:t>
            </w:r>
          </w:p>
        </w:tc>
      </w:tr>
      <w:tr>
        <w:trPr>
          <w:trHeight w:val="206"/>
        </w:trPr>
        <w:tc>
          <w:tcPr>
            <w:tcW w:w="6060" w:type="dxa"/>
            <w:vAlign w:val="bottom"/>
          </w:tcPr>
          <w:p>
            <w:pPr>
              <w:jc w:val="center"/>
              <w:ind w:right="1843"/>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413"/>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951 Calle Amanecer ,   San Clemente   , California</w:t>
            </w:r>
          </w:p>
        </w:tc>
        <w:tc>
          <w:tcPr>
            <w:tcW w:w="2240" w:type="dxa"/>
            <w:vAlign w:val="bottom"/>
          </w:tcPr>
          <w:p>
            <w:pPr>
              <w:jc w:val="center"/>
              <w:ind w:left="1063"/>
              <w:spacing w:after="0"/>
              <w:rPr>
                <w:sz w:val="20"/>
                <w:szCs w:val="20"/>
                <w:color w:val="auto"/>
              </w:rPr>
            </w:pPr>
            <w:r>
              <w:rPr>
                <w:rFonts w:ascii="Times New Roman" w:cs="Times New Roman" w:eastAsia="Times New Roman" w:hAnsi="Times New Roman"/>
                <w:sz w:val="15"/>
                <w:szCs w:val="15"/>
                <w:b w:val="1"/>
                <w:bCs w:val="1"/>
                <w:color w:val="auto"/>
              </w:rPr>
              <w:t>92673</w:t>
            </w:r>
          </w:p>
        </w:tc>
      </w:tr>
      <w:tr>
        <w:trPr>
          <w:trHeight w:val="206"/>
        </w:trPr>
        <w:tc>
          <w:tcPr>
            <w:tcW w:w="6060" w:type="dxa"/>
            <w:vAlign w:val="bottom"/>
          </w:tcPr>
          <w:p>
            <w:pPr>
              <w:jc w:val="center"/>
              <w:ind w:right="1803"/>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40" w:type="dxa"/>
            <w:vAlign w:val="bottom"/>
          </w:tcPr>
          <w:p>
            <w:pPr>
              <w:jc w:val="center"/>
              <w:ind w:left="1043"/>
              <w:spacing w:after="0"/>
              <w:rPr>
                <w:sz w:val="20"/>
                <w:szCs w:val="20"/>
                <w:color w:val="auto"/>
              </w:rPr>
            </w:pPr>
            <w:r>
              <w:rPr>
                <w:rFonts w:ascii="Times New Roman" w:cs="Times New Roman" w:eastAsia="Times New Roman" w:hAnsi="Times New Roman"/>
                <w:sz w:val="15"/>
                <w:szCs w:val="15"/>
                <w:color w:val="auto"/>
              </w:rPr>
              <w:t>(Zip Code)</w:t>
            </w:r>
          </w:p>
        </w:tc>
      </w:tr>
    </w:tbl>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(949) 366-2183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312"/>
        </w:trPr>
        <w:tc>
          <w:tcPr>
            <w:tcW w:w="340" w:type="dxa"/>
            <w:vAlign w:val="bottom"/>
          </w:tcPr>
          <w:p>
            <w:pPr>
              <w:spacing w:after="0"/>
              <w:rPr>
                <w:sz w:val="24"/>
                <w:szCs w:val="24"/>
                <w:color w:val="auto"/>
              </w:rPr>
            </w:pPr>
          </w:p>
        </w:tc>
        <w:tc>
          <w:tcPr>
            <w:tcW w:w="42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4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4380" w:type="dxa"/>
            <w:vAlign w:val="bottom"/>
            <w:tcBorders>
              <w:bottom w:val="single" w:sz="8" w:color="auto"/>
            </w:tcBorders>
          </w:tcPr>
          <w:p>
            <w:pPr>
              <w:jc w:val="center"/>
              <w:ind w:right="323"/>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2"/>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245"/>
        </w:trPr>
        <w:tc>
          <w:tcPr>
            <w:tcW w:w="340" w:type="dxa"/>
            <w:vAlign w:val="bottom"/>
          </w:tcPr>
          <w:p>
            <w:pPr>
              <w:spacing w:after="0"/>
              <w:rPr>
                <w:sz w:val="21"/>
                <w:szCs w:val="21"/>
                <w:color w:val="auto"/>
              </w:rPr>
            </w:pPr>
          </w:p>
        </w:tc>
        <w:tc>
          <w:tcPr>
            <w:tcW w:w="4280" w:type="dxa"/>
            <w:vAlign w:val="bottom"/>
          </w:tcPr>
          <w:p>
            <w:pPr>
              <w:jc w:val="center"/>
              <w:ind w:left="383"/>
              <w:spacing w:after="0"/>
              <w:rPr>
                <w:sz w:val="20"/>
                <w:szCs w:val="20"/>
                <w:color w:val="auto"/>
              </w:rPr>
            </w:pPr>
            <w:r>
              <w:rPr>
                <w:rFonts w:ascii="Times New Roman" w:cs="Times New Roman" w:eastAsia="Times New Roman" w:hAnsi="Times New Roman"/>
                <w:sz w:val="15"/>
                <w:szCs w:val="15"/>
                <w:color w:val="auto"/>
              </w:rPr>
              <w:t>Common stock, par value $0.10 per share</w:t>
            </w:r>
          </w:p>
        </w:tc>
        <w:tc>
          <w:tcPr>
            <w:tcW w:w="224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ICUI</w:t>
            </w: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(Global Select Market)</w:t>
            </w:r>
          </w:p>
        </w:tc>
      </w:tr>
    </w:tbl>
    <w:p>
      <w:pPr>
        <w:spacing w:after="0" w:line="264" w:lineRule="exact"/>
        <w:rPr>
          <w:sz w:val="24"/>
          <w:szCs w:val="24"/>
          <w:color w:val="auto"/>
        </w:rPr>
      </w:pPr>
    </w:p>
    <w:p>
      <w:pPr>
        <w:jc w:val="both"/>
        <w:ind w:right="2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58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340" w:firstLine="309"/>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840" w:type="dxa"/>
        <w:tblCellMar>
          <w:top w:w="0" w:type="dxa"/>
          <w:left w:w="0" w:type="dxa"/>
          <w:bottom w:w="0" w:type="dxa"/>
          <w:right w:w="0" w:type="dxa"/>
        </w:tblCellMar>
      </w:tblP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620"/>
              <w:spacing w:after="0"/>
              <w:rPr>
                <w:sz w:val="20"/>
                <w:szCs w:val="20"/>
                <w:color w:val="auto"/>
              </w:rPr>
            </w:pPr>
            <w:r>
              <w:rPr>
                <w:rFonts w:ascii="Wingdings" w:cs="Wingdings" w:eastAsia="Wingdings" w:hAnsi="Wingdings"/>
                <w:sz w:val="15"/>
                <w:szCs w:val="15"/>
                <w:b w:val="1"/>
                <w:bCs w:val="1"/>
                <w:color w:val="auto"/>
              </w:rPr>
              <w:t>x</w:t>
            </w: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380" w:type="dxa"/>
            <w:vAlign w:val="bottom"/>
          </w:tcPr>
          <w:p>
            <w:pPr>
              <w:jc w:val="center"/>
              <w:ind w:left="1123"/>
              <w:spacing w:after="0"/>
              <w:rPr>
                <w:sz w:val="20"/>
                <w:szCs w:val="20"/>
                <w:color w:val="auto"/>
              </w:rPr>
            </w:pPr>
            <w:r>
              <w:rPr>
                <w:rFonts w:ascii="Times New Roman" w:cs="Times New Roman" w:eastAsia="Times New Roman" w:hAnsi="Times New Roman"/>
                <w:sz w:val="15"/>
                <w:szCs w:val="15"/>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2" w:lineRule="exact"/>
        <w:rPr>
          <w:sz w:val="24"/>
          <w:szCs w:val="24"/>
          <w:color w:val="auto"/>
        </w:rPr>
      </w:pPr>
    </w:p>
    <w:p>
      <w:pPr>
        <w:ind w:right="140" w:firstLine="348"/>
        <w:spacing w:after="0" w:line="289"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46"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37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issuer’s classes of common stock, as of the latest practicable date:</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3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at July 31, 2024</w:t>
            </w: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140" w:type="dxa"/>
            <w:vAlign w:val="bottom"/>
            <w:gridSpan w:val="2"/>
          </w:tcPr>
          <w:p>
            <w:pPr>
              <w:jc w:val="center"/>
              <w:ind w:right="1400"/>
              <w:spacing w:after="0"/>
              <w:rPr>
                <w:sz w:val="20"/>
                <w:szCs w:val="20"/>
                <w:color w:val="auto"/>
              </w:rPr>
            </w:pPr>
            <w:r>
              <w:rPr>
                <w:rFonts w:ascii="Times New Roman" w:cs="Times New Roman" w:eastAsia="Times New Roman" w:hAnsi="Times New Roman"/>
                <w:sz w:val="15"/>
                <w:szCs w:val="15"/>
                <w:color w:val="auto"/>
              </w:rPr>
              <w:t>Common</w:t>
            </w:r>
          </w:p>
        </w:tc>
        <w:tc>
          <w:tcPr>
            <w:tcW w:w="4760" w:type="dxa"/>
            <w:vAlign w:val="bottom"/>
          </w:tcPr>
          <w:p>
            <w:pPr>
              <w:jc w:val="right"/>
              <w:ind w:right="1963"/>
              <w:spacing w:after="0"/>
              <w:rPr>
                <w:sz w:val="20"/>
                <w:szCs w:val="20"/>
                <w:color w:val="auto"/>
              </w:rPr>
            </w:pPr>
            <w:r>
              <w:rPr>
                <w:rFonts w:ascii="Times New Roman" w:cs="Times New Roman" w:eastAsia="Times New Roman" w:hAnsi="Times New Roman"/>
                <w:sz w:val="15"/>
                <w:szCs w:val="15"/>
                <w:color w:val="auto"/>
              </w:rPr>
              <w:t>24,425,279</w:t>
            </w:r>
          </w:p>
        </w:tc>
        <w:tc>
          <w:tcPr>
            <w:tcW w:w="160" w:type="dxa"/>
            <w:vAlign w:val="bottom"/>
          </w:tcPr>
          <w:p>
            <w:pPr>
              <w:spacing w:after="0"/>
              <w:rPr>
                <w:sz w:val="17"/>
                <w:szCs w:val="17"/>
                <w:color w:val="auto"/>
              </w:rPr>
            </w:pPr>
          </w:p>
        </w:tc>
      </w:tr>
      <w:tr>
        <w:trPr>
          <w:trHeight w:val="875"/>
        </w:trPr>
        <w:tc>
          <w:tcPr>
            <w:tcW w:w="1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Forward Looking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88"/>
        </w:trPr>
        <w:tc>
          <w:tcPr>
            <w:tcW w:w="40" w:type="dxa"/>
            <w:vAlign w:val="bottom"/>
          </w:tcPr>
          <w:p>
            <w:pPr>
              <w:spacing w:after="0"/>
              <w:rPr>
                <w:sz w:val="16"/>
                <w:szCs w:val="16"/>
                <w:color w:val="auto"/>
              </w:rPr>
            </w:pPr>
          </w:p>
        </w:tc>
        <w:tc>
          <w:tcPr>
            <w:tcW w:w="6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b w:val="1"/>
                <w:bCs w:val="1"/>
                <w:color w:val="auto"/>
                <w:w w:val="94"/>
              </w:rPr>
              <w:t>PART I.</w:t>
            </w:r>
          </w:p>
        </w:tc>
        <w:tc>
          <w:tcPr>
            <w:tcW w:w="640" w:type="dxa"/>
            <w:vAlign w:val="bottom"/>
            <w:gridSpan w:val="2"/>
          </w:tcPr>
          <w:p>
            <w:pPr>
              <w:spacing w:after="0"/>
              <w:rPr>
                <w:sz w:val="16"/>
                <w:szCs w:val="16"/>
                <w:color w:val="auto"/>
              </w:rPr>
            </w:pPr>
          </w:p>
        </w:tc>
        <w:tc>
          <w:tcPr>
            <w:tcW w:w="8480" w:type="dxa"/>
            <w:vAlign w:val="bottom"/>
          </w:tcPr>
          <w:p>
            <w:pPr>
              <w:ind w:left="580"/>
              <w:spacing w:after="0" w:line="188" w:lineRule="exact"/>
              <w:rPr>
                <w:sz w:val="20"/>
                <w:szCs w:val="20"/>
                <w:color w:val="auto"/>
              </w:rPr>
            </w:pPr>
            <w:r>
              <w:rPr>
                <w:rFonts w:ascii="Times New Roman" w:cs="Times New Roman" w:eastAsia="Times New Roman" w:hAnsi="Times New Roman"/>
                <w:sz w:val="17"/>
                <w:szCs w:val="17"/>
                <w:b w:val="1"/>
                <w:bCs w:val="1"/>
                <w:color w:val="auto"/>
              </w:rPr>
              <w:t>Financial Information</w:t>
            </w:r>
          </w:p>
        </w:tc>
        <w:tc>
          <w:tcPr>
            <w:tcW w:w="148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1.</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1480" w:type="dxa"/>
            <w:vAlign w:val="bottom"/>
          </w:tcPr>
          <w:p>
            <w:pPr>
              <w:spacing w:after="0"/>
              <w:rPr>
                <w:sz w:val="20"/>
                <w:szCs w:val="20"/>
                <w:color w:val="auto"/>
              </w:rPr>
            </w:pPr>
          </w:p>
        </w:tc>
      </w:tr>
      <w:tr>
        <w:trPr>
          <w:trHeight w:val="43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Balance Sheets at June 30, 2024 and December 31,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86"/>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Operations for the Three and Six Months Ended June 30, 2024 and</w:t>
            </w:r>
          </w:p>
        </w:tc>
        <w:tc>
          <w:tcPr>
            <w:tcW w:w="148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386"/>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Comprehensive (Loss) Income for the Three and Six Months Ended</w:t>
            </w:r>
          </w:p>
        </w:tc>
        <w:tc>
          <w:tcPr>
            <w:tcW w:w="148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June 30, 2024 and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for the Three and Six Months Ended June 30,</w:t>
            </w:r>
          </w:p>
        </w:tc>
        <w:tc>
          <w:tcPr>
            <w:tcW w:w="148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2024 and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Six Months Ended June 30, 2024 and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Notes to Condensed Consolidated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3.</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4.</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Controls and Procedures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2"/>
        </w:trPr>
        <w:tc>
          <w:tcPr>
            <w:tcW w:w="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480" w:type="dxa"/>
            <w:vAlign w:val="bottom"/>
          </w:tcPr>
          <w:p>
            <w:pPr>
              <w:spacing w:after="0"/>
              <w:rPr>
                <w:sz w:val="20"/>
                <w:szCs w:val="20"/>
                <w:color w:val="auto"/>
              </w:rPr>
            </w:pPr>
          </w:p>
        </w:tc>
      </w:tr>
      <w:tr>
        <w:trPr>
          <w:trHeight w:val="238"/>
        </w:trPr>
        <w:tc>
          <w:tcPr>
            <w:tcW w:w="40" w:type="dxa"/>
            <w:vAlign w:val="bottom"/>
          </w:tcPr>
          <w:p>
            <w:pPr>
              <w:spacing w:after="0"/>
              <w:rPr>
                <w:sz w:val="20"/>
                <w:szCs w:val="20"/>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580" w:type="dxa"/>
            <w:vAlign w:val="bottom"/>
          </w:tcPr>
          <w:p>
            <w:pPr>
              <w:spacing w:after="0"/>
              <w:rPr>
                <w:sz w:val="20"/>
                <w:szCs w:val="20"/>
                <w:color w:val="auto"/>
              </w:rPr>
            </w:pP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Legal Proceedings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Item1A.</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Risk Factors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5.</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Other Information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6.</w:t>
            </w: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Exhibits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Signature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921"/>
        </w:trPr>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 contained in this Quarterly Report on Form 10-Q, including, without limitation, statements regarding our future results of operations and financial position, business strategy and approach, expected capital expenditures; expected impacts from new accounting and tax regulations; as well as plans and objectives of management for future operations may be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201"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without limitation, the following:</w:t>
      </w:r>
    </w:p>
    <w:p>
      <w:pPr>
        <w:spacing w:after="0" w:line="197"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compete successfully with our competitors and maintain market share;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 in demand for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fund substantial investment in product development and recover such investment through commercial product sales;</w:t>
      </w:r>
    </w:p>
    <w:p>
      <w:pPr>
        <w:spacing w:after="0" w:line="10" w:lineRule="exact"/>
        <w:rPr>
          <w:rFonts w:ascii="Times New Roman" w:cs="Times New Roman" w:eastAsia="Times New Roman" w:hAnsi="Times New Roman"/>
          <w:sz w:val="17"/>
          <w:szCs w:val="17"/>
          <w:color w:val="auto"/>
        </w:rPr>
      </w:pPr>
    </w:p>
    <w:p>
      <w:pPr>
        <w:ind w:left="620" w:right="8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periods of inflation, rising interest rates and the impact of foreign currency exchange rates as a result of the current global macroeconomic and geopolitical conditions, for example, armed conflicts between Ukraine and Russia and in Israel;</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exposure to risks related to foreign currency exchange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pressures to reduce healthcare costs and inadequate coverage and reimbursement;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at the FDA, other government agencies or notified bodies caused by funding shortages or global health concerns;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information technology systems against security breaches, service interruptions, or misappropriation of data;</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any of our manufacturing facilities or disruption to our supply chain network;</w:t>
      </w:r>
    </w:p>
    <w:p>
      <w:pPr>
        <w:spacing w:after="0" w:line="10" w:lineRule="exact"/>
        <w:rPr>
          <w:rFonts w:ascii="Times New Roman" w:cs="Times New Roman" w:eastAsia="Times New Roman" w:hAnsi="Times New Roman"/>
          <w:sz w:val="17"/>
          <w:szCs w:val="17"/>
          <w:color w:val="auto"/>
        </w:rPr>
      </w:pPr>
    </w:p>
    <w:p>
      <w:pPr>
        <w:ind w:left="620" w:right="44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single and limited source third-party suppliers, which subjects our business and results of operations to risks of supplier business interruptions, and a loss or degradation in performance in our suppliers;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achieve expected operating efficiencies or expense reductions associated with cost reduction and restructuring efforts;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sales through our distributors;</w:t>
      </w:r>
    </w:p>
    <w:p>
      <w:pPr>
        <w:spacing w:after="0" w:line="9" w:lineRule="exact"/>
        <w:rPr>
          <w:rFonts w:ascii="Times New Roman" w:cs="Times New Roman" w:eastAsia="Times New Roman" w:hAnsi="Times New Roman"/>
          <w:sz w:val="17"/>
          <w:szCs w:val="17"/>
          <w:color w:val="auto"/>
        </w:rPr>
      </w:pPr>
    </w:p>
    <w:p>
      <w:pPr>
        <w:ind w:left="620" w:right="400" w:hanging="307"/>
        <w:spacing w:after="0" w:line="246"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risks from international sales, related to competition with larger international companies and established local companies and our possibly higher cost structure;</w:t>
      </w:r>
    </w:p>
    <w:p>
      <w:pPr>
        <w:ind w:left="620" w:hanging="307"/>
        <w:spacing w:after="0" w:line="23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changes in U.S. trade, tax or other policies that restrict imports or increase import tariffs;</w:t>
      </w:r>
    </w:p>
    <w:p>
      <w:pPr>
        <w:ind w:left="620" w:right="60" w:hanging="307"/>
        <w:spacing w:after="0" w:line="24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failures to comply with foreign, federal, and state data privacy and security laws, regulations and standards, or certain fraud and abuse and transparency laws;</w:t>
      </w:r>
    </w:p>
    <w:p>
      <w:pPr>
        <w:ind w:left="620" w:right="560" w:hanging="307"/>
        <w:spacing w:after="0" w:line="24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defend and enforce our patents or other proprietary rights and the cost of enforcing and of defending patent claims or claims of other proprietary rights; and expiration of our patents;</w:t>
      </w:r>
    </w:p>
    <w:p>
      <w:pPr>
        <w:spacing w:after="0" w:line="1" w:lineRule="exact"/>
        <w:rPr>
          <w:rFonts w:ascii="Times New Roman" w:cs="Times New Roman" w:eastAsia="Times New Roman" w:hAnsi="Times New Roman"/>
          <w:sz w:val="17"/>
          <w:szCs w:val="17"/>
          <w:color w:val="auto"/>
        </w:rPr>
      </w:pPr>
    </w:p>
    <w:p>
      <w:pPr>
        <w:ind w:left="620" w:right="240" w:hanging="307"/>
        <w:spacing w:after="0" w:line="23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effectively manage our growth and change to our business resulting from the Smiths Medical acquisition or any other future acquisitions; and</w:t>
      </w:r>
    </w:p>
    <w:p>
      <w:pPr>
        <w:ind w:left="620" w:right="260" w:hanging="307"/>
        <w:spacing w:after="0" w:line="24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impact of the Smiths Medical acquisition on our financial results and 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spacing w:after="0" w:line="213" w:lineRule="exact"/>
        <w:rPr>
          <w:sz w:val="20"/>
          <w:szCs w:val="20"/>
          <w:color w:val="auto"/>
        </w:rPr>
      </w:pPr>
    </w:p>
    <w:p>
      <w:pPr>
        <w:jc w:val="both"/>
        <w:ind w:right="180" w:firstLine="619"/>
        <w:spacing w:after="0" w:line="264" w:lineRule="auto"/>
        <w:rPr>
          <w:sz w:val="20"/>
          <w:szCs w:val="20"/>
          <w:color w:val="auto"/>
        </w:rPr>
      </w:pPr>
      <w:r>
        <w:rPr>
          <w:rFonts w:ascii="Times New Roman" w:cs="Times New Roman" w:eastAsia="Times New Roman" w:hAnsi="Times New Roman"/>
          <w:sz w:val="17"/>
          <w:szCs w:val="17"/>
          <w:color w:val="auto"/>
        </w:rPr>
        <w:t>For a more detailed discussion of these factors, see the information under the sections entitled “Summary Risk Factors,” Part I. Item 1A. “Risk Factors” and Part II. Item 7 “Management’s Discussion and Analysis of Financial Condition and Results of Operations” in our Annual Report on Form 10-K for the fiscal year ended December 31, 2023 (the “2023 Annual Report on Form 10-K”) filed with the Securities and Exchange Commission (the “SEC”), and the sections in this Quarterly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 w:name="page4"/>
    <w:bookmarkEnd w:id="3"/>
    <w:p>
      <w:pPr>
        <w:ind w:right="180"/>
        <w:spacing w:after="0" w:line="287" w:lineRule="auto"/>
        <w:rPr>
          <w:sz w:val="20"/>
          <w:szCs w:val="20"/>
          <w:color w:val="auto"/>
        </w:rPr>
      </w:pPr>
      <w:r>
        <w:rPr>
          <w:rFonts w:ascii="Times New Roman" w:cs="Times New Roman" w:eastAsia="Times New Roman" w:hAnsi="Times New Roman"/>
          <w:sz w:val="17"/>
          <w:szCs w:val="17"/>
          <w:color w:val="auto"/>
        </w:rPr>
        <w:t>Report on Form 10-Q entitled Part II. Item 1A “Risk Factors” and Part I. Item 2 “Management’s Discussion and Analysis of Financial Condition and Results of Operations,” in each case as updated by our periodic filings with the SEC.</w:t>
      </w:r>
    </w:p>
    <w:p>
      <w:pPr>
        <w:spacing w:after="0" w:line="164"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Item1.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(In thousands, except par value data and treasury shares)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00" w:type="dxa"/>
            <w:vAlign w:val="bottom"/>
          </w:tcPr>
          <w:p>
            <w:pPr>
              <w:spacing w:after="0"/>
              <w:rPr>
                <w:sz w:val="13"/>
                <w:szCs w:val="13"/>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254,222</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 securities</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93"/>
        </w:trPr>
        <w:tc>
          <w:tcPr>
            <w:tcW w:w="82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CASH, CASH EQUIVALENTS AND SHORT-TERM INVESTMENT SECURITIES</w:t>
            </w: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302,648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254,723</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$11,772 at June 30, 2024 and $11,064 at December 31, 2023</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161,566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709,360</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80,825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73,640</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1,235,991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1,221,272</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594,085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612,909</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69,909</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1,450,935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1,472,446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870,588</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37,295</w:t>
            </w:r>
          </w:p>
        </w:tc>
        <w:tc>
          <w:tcPr>
            <w:tcW w:w="0" w:type="dxa"/>
            <w:vAlign w:val="bottom"/>
          </w:tcPr>
          <w:p>
            <w:pPr>
              <w:spacing w:after="0"/>
              <w:rPr>
                <w:sz w:val="1"/>
                <w:szCs w:val="1"/>
                <w:color w:val="auto"/>
              </w:rPr>
            </w:pPr>
          </w:p>
        </w:tc>
      </w:tr>
      <w:tr>
        <w:trPr>
          <w:trHeight w:val="19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94,593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94,020</w:t>
            </w:r>
          </w:p>
        </w:tc>
        <w:tc>
          <w:tcPr>
            <w:tcW w:w="0" w:type="dxa"/>
            <w:vAlign w:val="bottom"/>
          </w:tcPr>
          <w:p>
            <w:pPr>
              <w:spacing w:after="0"/>
              <w:rPr>
                <w:sz w:val="1"/>
                <w:szCs w:val="1"/>
                <w:color w:val="auto"/>
              </w:rPr>
            </w:pPr>
          </w:p>
        </w:tc>
      </w:tr>
      <w:tr>
        <w:trPr>
          <w:trHeight w:val="193"/>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4,286,667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4,378,439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155,515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150,030</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268,215</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payable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511,907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481,838</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1,554,822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1,577,770</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100,497</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LIABILITY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35,060</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preferred stock, $1.00 par value; Authorized — 500 shares; Issued and outstanding — none</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82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w w:val="98"/>
              </w:rPr>
              <w:t>Common stock, $0.10 par value; Authorized — 80,000 shares; Issued — 24,430 shares at June 30, 2024 and 24,144 shares at December 31, 2023;</w:t>
            </w:r>
          </w:p>
        </w:tc>
        <w:tc>
          <w:tcPr>
            <w:tcW w:w="24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outstanding — 24,425 shares at June 30, 2024 and 24,141 shares at December 31, 2023</w:t>
            </w:r>
          </w:p>
        </w:tc>
        <w:tc>
          <w:tcPr>
            <w:tcW w:w="2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1,380,703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1,366,493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(5,128 and 2,428 shares, respectively)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746,969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807,846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(91,785)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(53,081)</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2,037,812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2,123,410</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4,286,667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4,378,439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December 31, 2023 balances were derived from audited consolidated financial statements.</w:t>
      </w:r>
    </w:p>
    <w:p>
      <w:pPr>
        <w:spacing w:after="0" w:line="1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362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7600" w:type="dxa"/>
            <w:vAlign w:val="bottom"/>
            <w:gridSpan w:val="9"/>
          </w:tcPr>
          <w:p>
            <w:pPr>
              <w:jc w:val="center"/>
              <w:ind w:left="111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260" w:type="dxa"/>
            <w:vAlign w:val="bottom"/>
            <w:gridSpan w:val="4"/>
          </w:tcPr>
          <w:p>
            <w:pPr>
              <w:jc w:val="center"/>
              <w:ind w:left="294"/>
              <w:spacing w:after="0"/>
              <w:rPr>
                <w:sz w:val="20"/>
                <w:szCs w:val="20"/>
                <w:color w:val="auto"/>
              </w:rPr>
            </w:pPr>
            <w:r>
              <w:rPr>
                <w:rFonts w:ascii="Times New Roman" w:cs="Times New Roman" w:eastAsia="Times New Roman" w:hAnsi="Times New Roman"/>
                <w:sz w:val="17"/>
                <w:szCs w:val="17"/>
                <w:color w:val="auto"/>
              </w:rPr>
              <w:t>(In thousands, except per share data)</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24"/>
                <w:szCs w:val="24"/>
                <w:color w:val="auto"/>
              </w:rPr>
            </w:pPr>
          </w:p>
        </w:tc>
        <w:tc>
          <w:tcPr>
            <w:tcW w:w="2420" w:type="dxa"/>
            <w:vAlign w:val="bottom"/>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596,455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1,117,959</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389,027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356,983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770,438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733,591</w:t>
            </w:r>
          </w:p>
        </w:tc>
        <w:tc>
          <w:tcPr>
            <w:tcW w:w="0" w:type="dxa"/>
            <w:vAlign w:val="bottom"/>
          </w:tcPr>
          <w:p>
            <w:pPr>
              <w:spacing w:after="0"/>
              <w:rPr>
                <w:sz w:val="1"/>
                <w:szCs w:val="1"/>
                <w:color w:val="auto"/>
              </w:rPr>
            </w:pPr>
          </w:p>
        </w:tc>
      </w:tr>
      <w:tr>
        <w:trPr>
          <w:trHeight w:val="21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8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384,368</w:t>
            </w:r>
          </w:p>
        </w:tc>
        <w:tc>
          <w:tcPr>
            <w:tcW w:w="0" w:type="dxa"/>
            <w:vAlign w:val="bottom"/>
          </w:tcPr>
          <w:p>
            <w:pPr>
              <w:spacing w:after="0"/>
              <w:rPr>
                <w:sz w:val="1"/>
                <w:szCs w:val="1"/>
                <w:color w:val="auto"/>
              </w:rPr>
            </w:pPr>
          </w:p>
        </w:tc>
      </w:tr>
      <w:tr>
        <w:trPr>
          <w:trHeight w:val="19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303,467</w:t>
            </w:r>
          </w:p>
        </w:tc>
        <w:tc>
          <w:tcPr>
            <w:tcW w:w="0" w:type="dxa"/>
            <w:vAlign w:val="bottom"/>
          </w:tcPr>
          <w:p>
            <w:pPr>
              <w:spacing w:after="0"/>
              <w:rPr>
                <w:sz w:val="1"/>
                <w:szCs w:val="1"/>
                <w:color w:val="auto"/>
              </w:rPr>
            </w:pPr>
          </w:p>
        </w:tc>
      </w:tr>
      <w:tr>
        <w:trPr>
          <w:trHeight w:val="219"/>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42,063</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w:t>
            </w: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23,367</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1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3,316</w:t>
            </w:r>
          </w:p>
        </w:tc>
        <w:tc>
          <w:tcPr>
            <w:tcW w:w="0" w:type="dxa"/>
            <w:vAlign w:val="bottom"/>
          </w:tcPr>
          <w:p>
            <w:pPr>
              <w:spacing w:after="0"/>
              <w:rPr>
                <w:sz w:val="1"/>
                <w:szCs w:val="1"/>
                <w:color w:val="auto"/>
              </w:rPr>
            </w:pPr>
          </w:p>
        </w:tc>
      </w:tr>
      <w:tr>
        <w:trPr>
          <w:trHeight w:val="21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372,213</w:t>
            </w:r>
          </w:p>
        </w:tc>
        <w:tc>
          <w:tcPr>
            <w:tcW w:w="0" w:type="dxa"/>
            <w:vAlign w:val="bottom"/>
          </w:tcPr>
          <w:p>
            <w:pPr>
              <w:spacing w:after="0"/>
              <w:rPr>
                <w:sz w:val="1"/>
                <w:szCs w:val="1"/>
                <w:color w:val="auto"/>
              </w:rPr>
            </w:pPr>
          </w:p>
        </w:tc>
      </w:tr>
      <w:tr>
        <w:trPr>
          <w:trHeight w:val="21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12,155</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(46,636)</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0" w:type="dxa"/>
            <w:vAlign w:val="bottom"/>
          </w:tcPr>
          <w:p>
            <w:pPr>
              <w:spacing w:after="0"/>
              <w:rPr>
                <w:sz w:val="1"/>
                <w:szCs w:val="1"/>
                <w:color w:val="auto"/>
              </w:rPr>
            </w:pPr>
          </w:p>
        </w:tc>
      </w:tr>
      <w:tr>
        <w:trPr>
          <w:trHeight w:val="21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(36,252)</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16,506</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NET LOSS PER SHARE</w:t>
            </w:r>
          </w:p>
        </w:tc>
        <w:tc>
          <w:tcPr>
            <w:tcW w:w="1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21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0" w:type="dxa"/>
            <w:vAlign w:val="bottom"/>
          </w:tcPr>
          <w:p>
            <w:pPr>
              <w:spacing w:after="0"/>
              <w:rPr>
                <w:sz w:val="1"/>
                <w:szCs w:val="1"/>
                <w:color w:val="auto"/>
              </w:rPr>
            </w:pPr>
          </w:p>
        </w:tc>
      </w:tr>
      <w:tr>
        <w:trPr>
          <w:trHeight w:val="219"/>
        </w:trPr>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21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w:t>
            </w: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24,045</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24,045</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6200" w:type="dxa"/>
            <w:vAlign w:val="bottom"/>
            <w:gridSpan w:val="4"/>
          </w:tcPr>
          <w:p>
            <w:pPr>
              <w:jc w:val="center"/>
              <w:ind w:left="253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8820" w:type="dxa"/>
            <w:vAlign w:val="bottom"/>
            <w:gridSpan w:val="10"/>
          </w:tcPr>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 (Unaudited)</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1220" w:type="dxa"/>
            <w:vAlign w:val="bottom"/>
          </w:tcPr>
          <w:p>
            <w:pPr>
              <w:spacing w:after="0"/>
              <w:rPr>
                <w:sz w:val="19"/>
                <w:szCs w:val="19"/>
                <w:color w:val="auto"/>
              </w:rPr>
            </w:pPr>
          </w:p>
        </w:tc>
        <w:tc>
          <w:tcPr>
            <w:tcW w:w="4900" w:type="dxa"/>
            <w:vAlign w:val="bottom"/>
          </w:tcPr>
          <w:p>
            <w:pPr>
              <w:jc w:val="center"/>
              <w:ind w:left="3834"/>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89"/>
        </w:trPr>
        <w:tc>
          <w:tcPr>
            <w:tcW w:w="12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24"/>
                <w:szCs w:val="24"/>
                <w:color w:val="auto"/>
              </w:rPr>
            </w:pPr>
          </w:p>
        </w:tc>
        <w:tc>
          <w:tcPr>
            <w:tcW w:w="2240" w:type="dxa"/>
            <w:vAlign w:val="bottom"/>
            <w:gridSpan w:val="4"/>
          </w:tcPr>
          <w:p>
            <w:pPr>
              <w:jc w:val="right"/>
              <w:ind w:right="541"/>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0"/>
        </w:trPr>
        <w:tc>
          <w:tcPr>
            <w:tcW w:w="12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15"/>
        </w:trPr>
        <w:tc>
          <w:tcPr>
            <w:tcW w:w="122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(19,746)</w:t>
            </w:r>
          </w:p>
        </w:tc>
      </w:tr>
      <w:tr>
        <w:trPr>
          <w:trHeight w:val="21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68"/>
        </w:trPr>
        <w:tc>
          <w:tcPr>
            <w:tcW w:w="612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Cash flow hedge adjustments, net of tax of $(2,054) and $1,687 for the three months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612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ended June 30, 2024 and 2023, respectively, and $(25) and $(57) for the six months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2"/>
        </w:trPr>
        <w:tc>
          <w:tcPr>
            <w:tcW w:w="6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ended June 30, 2024 and 2023, respectively.</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r>
      <w:tr>
        <w:trPr>
          <w:trHeight w:val="219"/>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 net of tax of $0 for all periods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32,552</w:t>
            </w:r>
          </w:p>
        </w:tc>
      </w:tr>
      <w:tr>
        <w:trPr>
          <w:trHeight w:val="219"/>
        </w:trPr>
        <w:tc>
          <w:tcPr>
            <w:tcW w:w="6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adjustments, net of tax of $0 for all periods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12"/>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(22,247)</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(38,704)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32,184</w:t>
            </w:r>
          </w:p>
        </w:tc>
      </w:tr>
      <w:tr>
        <w:trPr>
          <w:trHeight w:val="237"/>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(43,653)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12,438</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60" w:type="dxa"/>
            <w:vAlign w:val="bottom"/>
          </w:tcPr>
          <w:p>
            <w:pPr>
              <w:spacing w:after="0"/>
              <w:rPr>
                <w:sz w:val="9"/>
                <w:szCs w:val="9"/>
                <w:color w:val="auto"/>
              </w:rPr>
            </w:pPr>
          </w:p>
        </w:tc>
        <w:tc>
          <w:tcPr>
            <w:tcW w:w="86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6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24,144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1,366,493</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807,846</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(53,081)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2,123,410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6"/>
              </w:rPr>
              <w:t>(16,457)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(16,457)</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(39,471)</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1,371,244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768,375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(69,538)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2,067,830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40" w:type="dxa"/>
            <w:vAlign w:val="bottom"/>
            <w:tcBorders>
              <w:top w:val="single" w:sz="8" w:color="CCEEFF"/>
            </w:tcBorders>
            <w:vMerge w:val="continue"/>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(1,537)</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4,459</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8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2,924</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10,998</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6"/>
              </w:rPr>
              <w:t>(22,247)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(22,249)</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1,380,703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746,969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(91,785)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2,037,812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9"/>
                <w:szCs w:val="9"/>
                <w:color w:val="auto"/>
              </w:rPr>
            </w:pPr>
          </w:p>
        </w:tc>
        <w:tc>
          <w:tcPr>
            <w:tcW w:w="8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9"/>
                <w:szCs w:val="9"/>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23,995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1,331,249</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837,501</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(80,978)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2,089,928</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(8,425)</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19,379</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1,339,908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827,689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2,100,399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40" w:type="dxa"/>
            <w:vAlign w:val="bottom"/>
            <w:tcBorders>
              <w:top w:val="single" w:sz="8" w:color="CCEEFF"/>
            </w:tcBorders>
            <w:vMerge w:val="continue"/>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(4,626)</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6,688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2,062</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12,811</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(9,934)</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1,345,057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817,755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2,114,818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(In thousands)</w:t>
      </w:r>
    </w:p>
    <w:p>
      <w:pPr>
        <w:spacing w:after="0" w:line="35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95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(60,877)</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(19,746)</w:t>
            </w: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113,244</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11,110</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warranty, returns and field action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compensation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18,931</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on disposal of property, plant and equipment and other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 amortization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Usage of spare parts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10,056</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 net of amounts acquired:</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46,796</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(76,040)</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(12,698)</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(46,864)</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taxes, including excess tax benefits and deferred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(26,022)</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127,744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39,771</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(32,489)</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additions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(4,651)</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and maturities of investment securities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(32,789)</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repayments of long-term debt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(14,813)</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contingent earn-out liability</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(8,718)</w:t>
            </w: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(21,734)</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w:t>
            </w:r>
          </w:p>
        </w:tc>
      </w:tr>
      <w:tr>
        <w:trPr>
          <w:trHeight w:val="19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(12,897)</w:t>
            </w:r>
          </w:p>
        </w:tc>
      </w:tr>
      <w:tr>
        <w:trPr>
          <w:trHeight w:val="18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208,784</w:t>
            </w: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302,648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 -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(In thousands)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center"/>
              <w:ind w:right="28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7"/>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578"/>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198"/>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1"/>
        </w:trPr>
        <w:tc>
          <w:tcPr>
            <w:tcW w:w="8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Purchases of property, plant, and equipment in accounts payable</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3,868</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2,362</w:t>
            </w: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Presentation</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2023.</w:t>
      </w:r>
    </w:p>
    <w:p>
      <w:pPr>
        <w:spacing w:after="0" w:line="17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develop, manufacture and sell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We sell the majority of our products globally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05"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Certain reclassifications have been made to the prior year cash flows from operating activities within the condensed consolidated statements of cash flows to conform to the presentation used in the current year. We reclassified bond premium amortization to other. The reclassification had no impact on cash flows from operating activities as previously reported.</w:t>
      </w:r>
    </w:p>
    <w:p>
      <w:pPr>
        <w:spacing w:after="0" w:line="18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2:</w:t>
        <w:tab/>
        <w:t>New Accounting Pronouncements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234"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consolidated financial statements and related disclosures.</w:t>
      </w:r>
    </w:p>
    <w:p>
      <w:pPr>
        <w:spacing w:after="0" w:line="187"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 Improvements to Reportable Segment Disclosures. The amendments in this update expand disclosures about a public entity’s reportable segments and requires more enhanced information about a reportable segment’s significant expenses, interim segment profit or loss, and a description of how a public entity’s chief operating decision maker uses reported segment profit or loss information in assessing segment performance and allocating resources. The amendments clarify that a single reportable segment entity must apply ASC 280 in its entirety. The update will be effective for annual periods beginning after December 15, 2023, and for interim periods within fiscal years beginning after December 15, 2024. This ASU is applicable to our Annual Report on Form 10-K for the fiscal year ended December 31, 2024, and subsequent interim periods, with early application permitted. We are currently assessing the effect of this update on our consolidated financial statements and related disclosures.</w:t>
      </w:r>
    </w:p>
    <w:p>
      <w:pPr>
        <w:spacing w:after="0" w:line="200" w:lineRule="exact"/>
        <w:rPr>
          <w:sz w:val="20"/>
          <w:szCs w:val="20"/>
          <w:color w:val="auto"/>
        </w:rPr>
      </w:pPr>
    </w:p>
    <w:p>
      <w:pPr>
        <w:ind w:right="300" w:firstLine="619"/>
        <w:spacing w:after="0" w:line="248"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The amendments in this update expand disclosures in an entity’s income tax rate reconciliation table and regarding cash taxes paid information. The update will be effective for annual periods beginning after December 15, 2024 and is applicable to our Annual Report on Form 10-K for the fiscal year December 31, 2025, with early application permitted. We are currently assessing the effect of this update on our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Restructuring, Strategic Transaction and Integration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6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$17.1 million and $33.2 million for the three and six months ended June 30, 2024, respectively, as compared to $12.4 million and $23.4 million for the three and six months ended June 30,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247" w:lineRule="exact"/>
        <w:rPr>
          <w:sz w:val="20"/>
          <w:szCs w:val="20"/>
          <w:color w:val="auto"/>
        </w:rPr>
      </w:pPr>
    </w:p>
    <w:p>
      <w:pPr>
        <w:ind w:right="40" w:firstLine="172"/>
        <w:spacing w:after="0" w:line="264" w:lineRule="auto"/>
        <w:rPr>
          <w:sz w:val="20"/>
          <w:szCs w:val="20"/>
          <w:color w:val="auto"/>
        </w:rPr>
      </w:pPr>
      <w:r>
        <w:rPr>
          <w:rFonts w:ascii="Times New Roman" w:cs="Times New Roman" w:eastAsia="Times New Roman" w:hAnsi="Times New Roman"/>
          <w:sz w:val="17"/>
          <w:szCs w:val="17"/>
          <w:color w:val="auto"/>
        </w:rPr>
        <w:t>During the three and six months ended June 30, 2024, restructuring charges were $7.7 million and $13.0 million, respectively, as compared to $1.3 million and $4.0 million respectively, for the three and six months ended June 30, 2023 and were primarily related to severance costs for the periods. The restructuring charges for the six months ended June 30, 2023 is net of $0.9 million related to facility closures costs and severance costs that were reversed during the first fiscal quarter of 2023.</w:t>
      </w:r>
    </w:p>
    <w:p>
      <w:pPr>
        <w:spacing w:after="0" w:line="171" w:lineRule="exact"/>
        <w:rPr>
          <w:sz w:val="20"/>
          <w:szCs w:val="20"/>
          <w:color w:val="auto"/>
        </w:rPr>
      </w:pPr>
    </w:p>
    <w:p>
      <w:pPr>
        <w:ind w:right="680" w:firstLine="619"/>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activity in our restructuring-related accrual by major type of cost for the six months ended June 30, 2024 (in thousands):</w:t>
      </w:r>
    </w:p>
    <w:tbl>
      <w:tblPr>
        <w:tblLayout w:type="fixed"/>
        <w:tblInd w:w="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5"/>
                <w:szCs w:val="15"/>
                <w:b w:val="1"/>
                <w:bCs w:val="1"/>
                <w:color w:val="auto"/>
              </w:rPr>
              <w:t>Severance Pay and</w:t>
            </w:r>
          </w:p>
        </w:tc>
        <w:tc>
          <w:tcPr>
            <w:tcW w:w="120" w:type="dxa"/>
            <w:vAlign w:val="bottom"/>
          </w:tcPr>
          <w:p>
            <w:pPr>
              <w:spacing w:after="0"/>
              <w:rPr>
                <w:sz w:val="13"/>
                <w:szCs w:val="13"/>
                <w:color w:val="auto"/>
              </w:rPr>
            </w:pPr>
          </w:p>
        </w:tc>
        <w:tc>
          <w:tcPr>
            <w:tcW w:w="17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5"/>
                <w:szCs w:val="15"/>
                <w:b w:val="1"/>
                <w:bCs w:val="1"/>
                <w:color w:val="auto"/>
              </w:rPr>
              <w:t>Retention and Facility</w:t>
            </w:r>
          </w:p>
        </w:tc>
        <w:tc>
          <w:tcPr>
            <w:tcW w:w="400" w:type="dxa"/>
            <w:vAlign w:val="bottom"/>
          </w:tcPr>
          <w:p>
            <w:pPr>
              <w:spacing w:after="0"/>
              <w:rPr>
                <w:sz w:val="13"/>
                <w:szCs w:val="13"/>
                <w:color w:val="auto"/>
              </w:rPr>
            </w:pPr>
          </w:p>
        </w:tc>
        <w:tc>
          <w:tcPr>
            <w:tcW w:w="1380" w:type="dxa"/>
            <w:vAlign w:val="bottom"/>
            <w:vMerge w:val="restart"/>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Benefits</w:t>
            </w:r>
          </w:p>
        </w:tc>
        <w:tc>
          <w:tcPr>
            <w:tcW w:w="12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Closure Costs</w:t>
            </w: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5,360</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June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__________________________</w:t>
      </w:r>
    </w:p>
    <w:p>
      <w:pPr>
        <w:spacing w:after="0" w:line="118" w:lineRule="exact"/>
        <w:rPr>
          <w:sz w:val="20"/>
          <w:szCs w:val="20"/>
          <w:color w:val="auto"/>
        </w:rPr>
      </w:pPr>
    </w:p>
    <w:p>
      <w:pPr>
        <w:ind w:right="420" w:firstLine="3"/>
        <w:spacing w:after="0" w:line="245" w:lineRule="auto"/>
        <w:tabs>
          <w:tab w:leader="none" w:pos="173"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prior year accrued restructuring charges for estimated severances costs that will not be utilized and were reversed during the three months ended March 31, 2024.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47" w:lineRule="exact"/>
        <w:rPr>
          <w:sz w:val="20"/>
          <w:szCs w:val="20"/>
          <w:color w:val="auto"/>
        </w:rPr>
      </w:pPr>
    </w:p>
    <w:p>
      <w:pPr>
        <w:ind w:right="20" w:firstLine="169"/>
        <w:spacing w:after="0" w:line="261" w:lineRule="auto"/>
        <w:rPr>
          <w:sz w:val="20"/>
          <w:szCs w:val="20"/>
          <w:color w:val="auto"/>
        </w:rPr>
      </w:pPr>
      <w:r>
        <w:rPr>
          <w:rFonts w:ascii="Times New Roman" w:cs="Times New Roman" w:eastAsia="Times New Roman" w:hAnsi="Times New Roman"/>
          <w:sz w:val="17"/>
          <w:szCs w:val="17"/>
          <w:color w:val="auto"/>
        </w:rPr>
        <w:t>We incurred and expensed $9.4 million and $20.2 million in strategic transaction and integration expenses during the three and six months ended June 30, 2024, respectively, as compared to $11.1 million and $19.4 million in strategic transaction and integration expenses during the three and six months ended June 30, 2023, respectively, which are included in restructuring, strategic transaction and integration expenses in our condensed consolidated statements of operations. The strategic transaction and integration expenses during the three and six months ended June 30, 2024 and 2023 were primarily related to consulting expenses and employee costs incurred to integrate our Smiths Medical business acquired in 2022.</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Related-party Transition Services Expenses</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Smiths Group plc ("Smiths") became a related party to us when we issued 2.5 million shares of our common stock as partial consideration to Smiths for the acquisition of Smiths Medical 2020 Limited ("Smiths Medical"). Additionally, we entered into a transition services agreement ("TSA") with certain Smiths legal entities. The TSA included certain information technology, human resource and tax support services for an initial term of twelve months with the option to extend up to 24 months. During the three and six months ended June 30, 2023, we expensed $3.9 million and $7.9 million, respectively, for services provided by Smiths under the TSA. Since December 31, 2023, there were no services being provided under the TSA and we had no remaining related-party open payables as of December 31,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Revenue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80" w:firstLine="172"/>
        <w:spacing w:after="0" w:line="264" w:lineRule="auto"/>
        <w:rPr>
          <w:sz w:val="20"/>
          <w:szCs w:val="20"/>
          <w:color w:val="auto"/>
        </w:rPr>
      </w:pPr>
      <w:r>
        <w:rPr>
          <w:rFonts w:ascii="Times New Roman" w:cs="Times New Roman" w:eastAsia="Times New Roman" w:hAnsi="Times New Roman"/>
          <w:sz w:val="17"/>
          <w:szCs w:val="17"/>
          <w:color w:val="auto"/>
        </w:rPr>
        <w:t>Our business units are Consumables, Infusion Systems and Vital Care. The vast majority of our sales of products within these business units are made on a stand-alone basis to hospitals and distributors. Revenue is typically recognized upon transfer of control of the products, which we deem to be at point of shipment. Our software license renewals are considered to be transferred to a customer at a point in time at the start of each renewal period, therefore revenue is recognized at that time.</w:t>
      </w:r>
    </w:p>
    <w:p>
      <w:pPr>
        <w:spacing w:after="0" w:line="197" w:lineRule="exact"/>
        <w:rPr>
          <w:sz w:val="20"/>
          <w:szCs w:val="20"/>
          <w:color w:val="auto"/>
        </w:rPr>
      </w:pPr>
    </w:p>
    <w:p>
      <w:pPr>
        <w:ind w:right="160" w:firstLine="172"/>
        <w:spacing w:after="0" w:line="264" w:lineRule="auto"/>
        <w:rPr>
          <w:sz w:val="20"/>
          <w:szCs w:val="20"/>
          <w:color w:val="auto"/>
        </w:rPr>
      </w:pPr>
      <w:r>
        <w:rPr>
          <w:rFonts w:ascii="Times New Roman" w:cs="Times New Roman" w:eastAsia="Times New Roman" w:hAnsi="Times New Roman"/>
          <w:sz w:val="17"/>
          <w:szCs w:val="17"/>
          <w:color w:val="auto"/>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w:t>
      </w:r>
    </w:p>
    <w:p>
      <w:pPr>
        <w:spacing w:after="0" w:line="197"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w:t>
      </w:r>
    </w:p>
    <w:p>
      <w:pPr>
        <w:spacing w:after="0" w:line="19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spacing w:after="0" w:line="191" w:lineRule="exact"/>
        <w:rPr>
          <w:sz w:val="20"/>
          <w:szCs w:val="20"/>
          <w:color w:val="auto"/>
        </w:rPr>
      </w:pPr>
    </w:p>
    <w:p>
      <w:pPr>
        <w:ind w:right="280" w:firstLine="622"/>
        <w:spacing w:after="0" w:line="287" w:lineRule="auto"/>
        <w:tabs>
          <w:tab w:leader="none" w:pos="8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chargeback amount (the difference between the price we invoice the distributor and the contractually agreed price with specified end customers); and</w:t>
      </w:r>
    </w:p>
    <w:p>
      <w:pPr>
        <w:spacing w:after="0" w:line="177"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period of time between the sale to the distributor and the receipt of a chargeback claim.</w:t>
      </w:r>
    </w:p>
    <w:p>
      <w:pPr>
        <w:spacing w:after="0" w:line="243" w:lineRule="exact"/>
        <w:rPr>
          <w:sz w:val="20"/>
          <w:szCs w:val="20"/>
          <w:color w:val="auto"/>
        </w:rPr>
      </w:pPr>
    </w:p>
    <w:p>
      <w:pPr>
        <w:ind w:right="280" w:firstLine="619"/>
        <w:spacing w:after="0" w:line="261" w:lineRule="auto"/>
        <w:rPr>
          <w:sz w:val="20"/>
          <w:szCs w:val="20"/>
          <w:color w:val="auto"/>
        </w:rPr>
      </w:pPr>
      <w:r>
        <w:rPr>
          <w:rFonts w:ascii="Times New Roman" w:cs="Times New Roman" w:eastAsia="Times New Roman" w:hAnsi="Times New Roman"/>
          <w:sz w:val="17"/>
          <w:szCs w:val="17"/>
          <w:color w:val="auto"/>
        </w:rPr>
        <w:t>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w:t>
      </w:r>
    </w:p>
    <w:p>
      <w:pPr>
        <w:spacing w:after="0" w:line="200"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17"/>
          <w:szCs w:val="17"/>
          <w:color w:val="auto"/>
        </w:rPr>
        <w:t>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spacing w:after="0" w:line="200" w:lineRule="exact"/>
        <w:rPr>
          <w:sz w:val="20"/>
          <w:szCs w:val="20"/>
          <w:color w:val="auto"/>
        </w:rPr>
      </w:pPr>
    </w:p>
    <w:p>
      <w:pPr>
        <w:spacing w:after="0" w:line="210"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w:t>
      </w:r>
    </w:p>
    <w:p>
      <w:pPr>
        <w:spacing w:after="0" w:line="200"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chargeback reserve reflects a reasonable estimate of the amount of consideration using the expected value method and is recorded as a reduction of accounts receivable, net on the consolidated balance sheets.</w:t>
      </w:r>
    </w:p>
    <w:p>
      <w:pPr>
        <w:spacing w:after="0" w:line="177" w:lineRule="exact"/>
        <w:rPr>
          <w:sz w:val="20"/>
          <w:szCs w:val="20"/>
          <w:color w:val="auto"/>
        </w:rPr>
      </w:pPr>
    </w:p>
    <w:p>
      <w:pPr>
        <w:ind w:right="320" w:firstLine="169"/>
        <w:spacing w:after="0" w:line="270" w:lineRule="auto"/>
        <w:rPr>
          <w:sz w:val="20"/>
          <w:szCs w:val="20"/>
          <w:color w:val="auto"/>
        </w:rPr>
      </w:pPr>
      <w:r>
        <w:rPr>
          <w:rFonts w:ascii="Times New Roman" w:cs="Times New Roman" w:eastAsia="Times New Roman" w:hAnsi="Times New Roman"/>
          <w:sz w:val="17"/>
          <w:szCs w:val="17"/>
          <w:color w:val="auto"/>
        </w:rPr>
        <w:t>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w:t>
      </w:r>
    </w:p>
    <w:p>
      <w:pPr>
        <w:spacing w:after="0" w:line="178" w:lineRule="exact"/>
        <w:rPr>
          <w:sz w:val="20"/>
          <w:szCs w:val="20"/>
          <w:color w:val="auto"/>
        </w:rPr>
      </w:pPr>
    </w:p>
    <w:p>
      <w:pPr>
        <w:ind w:right="280" w:firstLine="619"/>
        <w:spacing w:after="0" w:line="271" w:lineRule="auto"/>
        <w:rPr>
          <w:sz w:val="20"/>
          <w:szCs w:val="20"/>
          <w:color w:val="auto"/>
        </w:rPr>
      </w:pPr>
      <w:r>
        <w:rPr>
          <w:rFonts w:ascii="Times New Roman" w:cs="Times New Roman" w:eastAsia="Times New Roman" w:hAnsi="Times New Roman"/>
          <w:sz w:val="17"/>
          <w:szCs w:val="17"/>
          <w:color w:val="auto"/>
        </w:rPr>
        <w:t>We also warrant products against defects and have a policy permitting the return of defective products, for which we accrue and expense at the time of sale using information available at that time and our historical experience. We also provide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7"/>
          <w:szCs w:val="17"/>
          <w:color w:val="auto"/>
        </w:rPr>
        <w:t>for extended service-type warranties, which we consider to be separate performance obligations. We allocate a portion of the transaction price to the extended service-type warranty based on its estimated relative stand-alone selling price, and recognize revenue over the period the warranty service is provided.</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Arrangements with Multiple Performance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enter into arrangements which include multiple performance obligations. The most significant judgments related to these arrangements include:</w:t>
      </w:r>
    </w:p>
    <w:p>
      <w:pPr>
        <w:spacing w:after="0" w:line="243"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the various performance obligations of these arrangements.</w:t>
      </w:r>
    </w:p>
    <w:p>
      <w:pPr>
        <w:spacing w:after="0" w:line="27" w:lineRule="exact"/>
        <w:rPr>
          <w:rFonts w:ascii="Times New Roman" w:cs="Times New Roman" w:eastAsia="Times New Roman" w:hAnsi="Times New Roman"/>
          <w:sz w:val="17"/>
          <w:szCs w:val="17"/>
          <w:color w:val="auto"/>
        </w:rPr>
      </w:pPr>
    </w:p>
    <w:p>
      <w:pPr>
        <w:ind w:left="620" w:right="16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the relative standalone selling price of each performance obligation, typically using a directly observable method or calculated on a cost plus margin basis method.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Disaggregated</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product line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980" w:type="dxa"/>
            <w:vAlign w:val="bottom"/>
            <w:gridSpan w:val="4"/>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gridSpan w:val="3"/>
          </w:tcPr>
          <w:p>
            <w:pPr>
              <w:jc w:val="center"/>
              <w:ind w:left="594"/>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c>
          <w:tcPr>
            <w:tcW w:w="1140" w:type="dxa"/>
            <w:vAlign w:val="bottom"/>
          </w:tcPr>
          <w:p>
            <w:pPr>
              <w:spacing w:after="0"/>
              <w:rPr>
                <w:sz w:val="17"/>
                <w:szCs w:val="17"/>
                <w:color w:val="auto"/>
              </w:rPr>
            </w:pPr>
          </w:p>
        </w:tc>
      </w:tr>
      <w:tr>
        <w:trPr>
          <w:trHeight w:val="227"/>
        </w:trPr>
        <w:tc>
          <w:tcPr>
            <w:tcW w:w="38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right="35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left="63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140" w:type="dxa"/>
            <w:vAlign w:val="bottom"/>
            <w:tcBorders>
              <w:bottom w:val="single" w:sz="8" w:color="auto"/>
            </w:tcBorders>
          </w:tcPr>
          <w:p>
            <w:pPr>
              <w:spacing w:after="0"/>
              <w:rPr>
                <w:sz w:val="19"/>
                <w:szCs w:val="19"/>
                <w:color w:val="auto"/>
              </w:rPr>
            </w:pPr>
          </w:p>
        </w:tc>
      </w:tr>
      <w:tr>
        <w:trPr>
          <w:trHeight w:val="21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Product line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Consumables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236,976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505,855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473,098</w:t>
            </w:r>
          </w:p>
        </w:tc>
      </w:tr>
      <w:tr>
        <w:trPr>
          <w:trHeight w:val="219"/>
        </w:trPr>
        <w:tc>
          <w:tcPr>
            <w:tcW w:w="3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Infusion Systems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163,638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153,142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320,976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314,855</w:t>
            </w:r>
          </w:p>
        </w:tc>
      </w:tr>
      <w:tr>
        <w:trPr>
          <w:trHeight w:val="21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Vital Care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171,001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336,279</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330,006</w:t>
            </w: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596,455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549,310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1,163,110</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1,117,959</w:t>
            </w:r>
          </w:p>
        </w:tc>
      </w:tr>
      <w:tr>
        <w:trPr>
          <w:trHeight w:val="20"/>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three and six months ended June 30, 2024 and 2023, net sales to Medline made up approximately 17% and 15% of total revenues, respectively.</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geography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940" w:type="dxa"/>
            <w:vAlign w:val="bottom"/>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100" w:type="dxa"/>
            <w:vAlign w:val="bottom"/>
          </w:tcPr>
          <w:p>
            <w:pPr>
              <w:spacing w:after="0"/>
              <w:rPr>
                <w:sz w:val="16"/>
                <w:szCs w:val="16"/>
                <w:color w:val="auto"/>
              </w:rPr>
            </w:pPr>
          </w:p>
        </w:tc>
      </w:tr>
      <w:tr>
        <w:trPr>
          <w:trHeight w:val="227"/>
        </w:trPr>
        <w:tc>
          <w:tcPr>
            <w:tcW w:w="39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100" w:type="dxa"/>
            <w:vAlign w:val="bottom"/>
            <w:tcBorders>
              <w:bottom w:val="single" w:sz="8" w:color="auto"/>
            </w:tcBorders>
          </w:tcPr>
          <w:p>
            <w:pPr>
              <w:spacing w:after="0"/>
              <w:rPr>
                <w:sz w:val="19"/>
                <w:szCs w:val="19"/>
                <w:color w:val="auto"/>
              </w:rPr>
            </w:pPr>
          </w:p>
        </w:tc>
      </w:tr>
      <w:tr>
        <w:trPr>
          <w:trHeight w:val="217"/>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Geography</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383,140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749,295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707,053</w:t>
            </w:r>
          </w:p>
        </w:tc>
      </w:tr>
      <w:tr>
        <w:trPr>
          <w:trHeight w:val="219"/>
        </w:trPr>
        <w:tc>
          <w:tcPr>
            <w:tcW w:w="3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Europe, the Middle East and Africa</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95,310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193,699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188,980</w:t>
            </w: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APAC</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113,077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118,655</w:t>
            </w:r>
          </w:p>
        </w:tc>
      </w:tr>
      <w:tr>
        <w:trPr>
          <w:trHeight w:val="219"/>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Foreign</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56,781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107,039</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103,271</w:t>
            </w: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596,455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1,163,110</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1,117,959</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our contract balances for the six months ended June 30, 2024 and 2023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Contract Liabilities</w:t>
            </w: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2024</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(42,177)</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16,951</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(20,593)</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10,232</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(10,427)</w:t>
            </w:r>
          </w:p>
        </w:tc>
      </w:tr>
      <w:tr>
        <w:trPr>
          <w:trHeight w:val="258"/>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income recognized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grant income deferred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w:t>
            </w:r>
          </w:p>
        </w:tc>
      </w:tr>
      <w:tr>
        <w:trPr>
          <w:trHeight w:val="212"/>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June 30, 2024</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(43,806)</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9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r>
      <w:tr>
        <w:trPr>
          <w:trHeight w:val="212"/>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2023</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(45,866)</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16,793</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(16,625)</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9,041</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(8,875)</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grant income deferred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r>
      <w:tr>
        <w:trPr>
          <w:trHeight w:val="258"/>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income recognized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w:t>
            </w:r>
          </w:p>
        </w:tc>
      </w:tr>
      <w:tr>
        <w:trPr>
          <w:trHeight w:val="219"/>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3,514</w:t>
            </w: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June 30, 2023</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(43,003)</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84" w:lineRule="exact"/>
        <w:rPr>
          <w:sz w:val="20"/>
          <w:szCs w:val="20"/>
          <w:color w:val="auto"/>
        </w:rPr>
      </w:pPr>
    </w:p>
    <w:p>
      <w:pPr>
        <w:ind w:left="180" w:hanging="177"/>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government grant income deferred is amortized over the life of the related depreciable asset as a reduction to depreciation expense.</w:t>
      </w:r>
    </w:p>
    <w:p>
      <w:pPr>
        <w:spacing w:after="0" w:line="53" w:lineRule="exact"/>
        <w:rPr>
          <w:sz w:val="20"/>
          <w:szCs w:val="20"/>
          <w:color w:val="auto"/>
        </w:rPr>
      </w:pPr>
    </w:p>
    <w:p>
      <w:pPr>
        <w:ind w:right="120" w:firstLine="619"/>
        <w:spacing w:after="0" w:line="265" w:lineRule="auto"/>
        <w:rPr>
          <w:sz w:val="20"/>
          <w:szCs w:val="20"/>
          <w:color w:val="auto"/>
        </w:rPr>
      </w:pPr>
      <w:r>
        <w:rPr>
          <w:rFonts w:ascii="Times New Roman" w:cs="Times New Roman" w:eastAsia="Times New Roman" w:hAnsi="Times New Roman"/>
          <w:sz w:val="17"/>
          <w:szCs w:val="17"/>
          <w:color w:val="auto"/>
        </w:rPr>
        <w:t>Our contract liabilities are included in accrued liabilities or other long-term liabilities in our condensed consolidated balance sheet based on the expected timing of revenue recognition.</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June 30, 2024, revenue from remaining performance obligations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Recognition Timing</w:t>
            </w:r>
          </w:p>
        </w:tc>
        <w:tc>
          <w:tcPr>
            <w:tcW w:w="1620" w:type="dxa"/>
            <w:vAlign w:val="bottom"/>
            <w:tcBorders>
              <w:bottom w:val="single" w:sz="8" w:color="auto"/>
            </w:tcBorders>
            <w:shd w:val="clear" w:color="auto" w:fill="CCEEFF"/>
          </w:tcPr>
          <w:p>
            <w:pPr>
              <w:spacing w:after="0"/>
              <w:rPr>
                <w:sz w:val="19"/>
                <w:szCs w:val="19"/>
                <w:color w:val="auto"/>
              </w:rPr>
            </w:pPr>
          </w:p>
        </w:tc>
      </w:tr>
      <w:tr>
        <w:trPr>
          <w:trHeight w:val="212"/>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0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&lt; 12 Months</w:t>
            </w:r>
          </w:p>
        </w:tc>
        <w:tc>
          <w:tcPr>
            <w:tcW w:w="700" w:type="dxa"/>
            <w:vAlign w:val="bottom"/>
          </w:tcPr>
          <w:p>
            <w:pPr>
              <w:spacing w:after="0"/>
              <w:rPr>
                <w:sz w:val="18"/>
                <w:szCs w:val="18"/>
                <w:color w:val="auto"/>
              </w:rPr>
            </w:pPr>
          </w:p>
        </w:tc>
        <w:tc>
          <w:tcPr>
            <w:tcW w:w="162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98"/>
              </w:rPr>
              <w:t>&gt; 12 Months</w:t>
            </w:r>
          </w:p>
        </w:tc>
      </w:tr>
      <w:tr>
        <w:trPr>
          <w:trHeight w:val="21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deferred revenue</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r>
      <w:tr>
        <w:trPr>
          <w:trHeight w:val="219"/>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deferred revenue</w:t>
            </w: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19"/>
        </w:trPr>
        <w:tc>
          <w:tcPr>
            <w:tcW w:w="6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Government grant deferred income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(8,384)</w:t>
            </w:r>
          </w:p>
        </w:tc>
      </w:tr>
      <w:tr>
        <w:trPr>
          <w:trHeight w:val="219"/>
        </w:trPr>
        <w:tc>
          <w:tcPr>
            <w:tcW w:w="650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 deferred revenue</w:t>
            </w:r>
            <w:r>
              <w:rPr>
                <w:rFonts w:ascii="Times New Roman" w:cs="Times New Roman" w:eastAsia="Times New Roman" w:hAnsi="Times New Roman"/>
                <w:sz w:val="22"/>
                <w:szCs w:val="22"/>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32" w:lineRule="exact"/>
        <w:rPr>
          <w:sz w:val="20"/>
          <w:szCs w:val="20"/>
          <w:color w:val="auto"/>
        </w:rPr>
      </w:pPr>
    </w:p>
    <w:p>
      <w:pPr>
        <w:ind w:left="180" w:hanging="177"/>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government grant deferred income is amortized over the life of the related depreciable asset as a reduction to depreciation expense.</w:t>
      </w:r>
    </w:p>
    <w:p>
      <w:pPr>
        <w:spacing w:after="0" w:line="52" w:lineRule="exact"/>
        <w:rPr>
          <w:rFonts w:ascii="Times New Roman" w:cs="Times New Roman" w:eastAsia="Times New Roman" w:hAnsi="Times New Roman"/>
          <w:sz w:val="22"/>
          <w:szCs w:val="22"/>
          <w:color w:val="auto"/>
          <w:vertAlign w:val="superscript"/>
        </w:rPr>
      </w:pPr>
    </w:p>
    <w:p>
      <w:pPr>
        <w:ind w:left="180" w:hanging="177"/>
        <w:spacing w:after="0" w:line="194"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deferred revenue includes pump development programs, purchased training and extended warranty.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Leases</w:t>
      </w:r>
    </w:p>
    <w:p>
      <w:pPr>
        <w:spacing w:after="0" w:line="199" w:lineRule="exact"/>
        <w:rPr>
          <w:sz w:val="20"/>
          <w:szCs w:val="20"/>
          <w:color w:val="auto"/>
        </w:rPr>
      </w:pPr>
    </w:p>
    <w:p>
      <w:pPr>
        <w:jc w:val="both"/>
        <w:ind w:right="220" w:firstLine="172"/>
        <w:spacing w:after="0" w:line="270" w:lineRule="auto"/>
        <w:rPr>
          <w:sz w:val="20"/>
          <w:szCs w:val="20"/>
          <w:color w:val="auto"/>
        </w:rPr>
      </w:pPr>
      <w:r>
        <w:rPr>
          <w:rFonts w:ascii="Times New Roman" w:cs="Times New Roman" w:eastAsia="Times New Roman" w:hAnsi="Times New Roman"/>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sheets. We have elected not to recognize an ROU asset and lease liability for leases with terms of twelve months or less.</w:t>
      </w:r>
    </w:p>
    <w:p>
      <w:pPr>
        <w:spacing w:after="0" w:line="243"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pacing w:after="0" w:line="175" w:lineRule="exact"/>
        <w:rPr>
          <w:sz w:val="20"/>
          <w:szCs w:val="20"/>
          <w:color w:val="auto"/>
        </w:rPr>
      </w:pPr>
    </w:p>
    <w:p>
      <w:pPr>
        <w:ind w:firstLine="172"/>
        <w:spacing w:after="0" w:line="264" w:lineRule="auto"/>
        <w:rPr>
          <w:sz w:val="20"/>
          <w:szCs w:val="20"/>
          <w:color w:val="auto"/>
        </w:rPr>
      </w:pPr>
      <w:r>
        <w:rPr>
          <w:rFonts w:ascii="Times New Roman" w:cs="Times New Roman" w:eastAsia="Times New Roman" w:hAnsi="Times New Roman"/>
          <w:sz w:val="17"/>
          <w:szCs w:val="17"/>
          <w:color w:val="auto"/>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determined the exercise of options to extend is not reasonably certain.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our lease cost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40" w:type="dxa"/>
            <w:vAlign w:val="bottom"/>
          </w:tcPr>
          <w:p>
            <w:pPr>
              <w:spacing w:after="0"/>
              <w:rPr>
                <w:sz w:val="17"/>
                <w:szCs w:val="17"/>
                <w:color w:val="auto"/>
              </w:rPr>
            </w:pPr>
          </w:p>
        </w:tc>
        <w:tc>
          <w:tcPr>
            <w:tcW w:w="2800" w:type="dxa"/>
            <w:vAlign w:val="bottom"/>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940" w:type="dxa"/>
            <w:vAlign w:val="bottom"/>
          </w:tcPr>
          <w:p>
            <w:pPr>
              <w:spacing w:after="0"/>
              <w:rPr>
                <w:sz w:val="17"/>
                <w:szCs w:val="17"/>
                <w:color w:val="auto"/>
              </w:rPr>
            </w:pPr>
          </w:p>
        </w:tc>
      </w:tr>
      <w:tr>
        <w:trPr>
          <w:trHeight w:val="230"/>
        </w:trPr>
        <w:tc>
          <w:tcPr>
            <w:tcW w:w="45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15"/>
        </w:trPr>
        <w:tc>
          <w:tcPr>
            <w:tcW w:w="45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12,193</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 — interest</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cost — reduction of ROU asset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0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7"/>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08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Interest expense on our finance leases is included in interest expense, net in our condensed consolidated statements of operations. The reduction of the operating and finance ROU assets is included as noncash lease expense in costs of goods sold and selling, general and administrative expenses in our condensed consolidated statements of operations.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cash flow information related to our leases (in thousands):</w:t>
      </w:r>
    </w:p>
    <w:p>
      <w:pPr>
        <w:spacing w:after="0" w:line="130"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7"/>
          <w:szCs w:val="17"/>
          <w:b w:val="1"/>
          <w:bCs w:val="1"/>
          <w:color w:val="auto"/>
        </w:rPr>
        <w:t>Six months ended</w:t>
      </w:r>
    </w:p>
    <w:p>
      <w:pPr>
        <w:ind w:left="910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11,730</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12,336</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58"/>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8,650</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10,153</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operating leases (in thousands, except lease term and discount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20" w:type="dxa"/>
            <w:vAlign w:val="bottom"/>
          </w:tcPr>
          <w:p>
            <w:pPr>
              <w:spacing w:after="0"/>
              <w:rPr>
                <w:sz w:val="17"/>
                <w:szCs w:val="17"/>
                <w:color w:val="auto"/>
              </w:rPr>
            </w:pPr>
          </w:p>
        </w:tc>
        <w:tc>
          <w:tcPr>
            <w:tcW w:w="1680" w:type="dxa"/>
            <w:vAlign w:val="bottom"/>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3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66,408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69,909</w:t>
            </w:r>
          </w:p>
        </w:tc>
      </w:tr>
      <w:tr>
        <w:trPr>
          <w:trHeight w:val="258"/>
        </w:trPr>
        <w:tc>
          <w:tcPr>
            <w:tcW w:w="7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17,915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20,161</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52,179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52,972</w:t>
            </w:r>
          </w:p>
        </w:tc>
      </w:tr>
      <w:tr>
        <w:trPr>
          <w:trHeight w:val="212"/>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70,094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73,133</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years</w:t>
            </w:r>
          </w:p>
        </w:tc>
      </w:tr>
      <w:tr>
        <w:trPr>
          <w:trHeight w:val="258"/>
        </w:trPr>
        <w:tc>
          <w:tcPr>
            <w:tcW w:w="7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7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4.31 %</w:t>
            </w:r>
          </w:p>
        </w:tc>
      </w:tr>
    </w:tbl>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finance leases (in thousands, except lease term and discount rate):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20" w:type="dxa"/>
            <w:vAlign w:val="bottom"/>
          </w:tcPr>
          <w:p>
            <w:pPr>
              <w:spacing w:after="0"/>
              <w:rPr>
                <w:sz w:val="17"/>
                <w:szCs w:val="17"/>
                <w:color w:val="auto"/>
              </w:rPr>
            </w:pPr>
          </w:p>
        </w:tc>
        <w:tc>
          <w:tcPr>
            <w:tcW w:w="1680" w:type="dxa"/>
            <w:vAlign w:val="bottom"/>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3,273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2,707</w:t>
            </w:r>
          </w:p>
        </w:tc>
      </w:tr>
      <w:tr>
        <w:trPr>
          <w:trHeight w:val="258"/>
        </w:trPr>
        <w:tc>
          <w:tcPr>
            <w:tcW w:w="7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998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860</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2,397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1,954</w:t>
            </w:r>
          </w:p>
        </w:tc>
      </w:tr>
      <w:tr>
        <w:trPr>
          <w:trHeight w:val="212"/>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3,395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2,814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years</w:t>
            </w:r>
          </w:p>
        </w:tc>
      </w:tr>
      <w:tr>
        <w:trPr>
          <w:trHeight w:val="258"/>
        </w:trPr>
        <w:tc>
          <w:tcPr>
            <w:tcW w:w="7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7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540" w:firstLine="619"/>
        <w:spacing w:after="0" w:line="287" w:lineRule="auto"/>
        <w:rPr>
          <w:sz w:val="20"/>
          <w:szCs w:val="20"/>
          <w:color w:val="auto"/>
        </w:rPr>
      </w:pPr>
      <w:r>
        <w:rPr>
          <w:rFonts w:ascii="Times New Roman" w:cs="Times New Roman" w:eastAsia="Times New Roman" w:hAnsi="Times New Roman"/>
          <w:sz w:val="17"/>
          <w:szCs w:val="17"/>
          <w:color w:val="auto"/>
        </w:rPr>
        <w:t>As of June 30, 2024, the maturities of our operating and finance lease liabilities for each of the next five years and thereafter are approximately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20" w:type="dxa"/>
            <w:vAlign w:val="bottom"/>
          </w:tcPr>
          <w:p>
            <w:pPr>
              <w:spacing w:after="0"/>
              <w:rPr>
                <w:sz w:val="19"/>
                <w:szCs w:val="19"/>
                <w:color w:val="auto"/>
              </w:rPr>
            </w:pPr>
          </w:p>
        </w:tc>
        <w:tc>
          <w:tcPr>
            <w:tcW w:w="15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2"/>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3,755</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70,094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3,395</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6:</w:t>
        <w:tab/>
        <w:t>Net Loss Per Share</w:t>
      </w:r>
    </w:p>
    <w:p>
      <w:pPr>
        <w:spacing w:after="0" w:line="22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Basic earnings per share is computed by dividing net loss by the weighted-average number of common shares outstanding during the period. Diluted earnings per share is computed by dividing net loss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A net loss for the three and six months ended June 30, 2024 and 2023, causes all of the potentially dilutive common shares to be antidilutive, and accordingly, they were not included in the computation of diluted earnings per share and basic and diluted net loss per share are equal for each of these periods.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calculation of net earnings per common share (“EPS”) — basic and diluted (in thousands, except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00" w:type="dxa"/>
            <w:vAlign w:val="bottom"/>
          </w:tcPr>
          <w:p>
            <w:pPr>
              <w:spacing w:after="0"/>
              <w:rPr>
                <w:sz w:val="15"/>
                <w:szCs w:val="15"/>
                <w:color w:val="auto"/>
              </w:rPr>
            </w:pPr>
          </w:p>
        </w:tc>
        <w:tc>
          <w:tcPr>
            <w:tcW w:w="2360" w:type="dxa"/>
            <w:vAlign w:val="bottom"/>
            <w:gridSpan w:val="4"/>
          </w:tcPr>
          <w:p>
            <w:pPr>
              <w:jc w:val="right"/>
              <w:ind w:right="675"/>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(19,746)</w:t>
            </w:r>
          </w:p>
        </w:tc>
        <w:tc>
          <w:tcPr>
            <w:tcW w:w="0" w:type="dxa"/>
            <w:vAlign w:val="bottom"/>
          </w:tcPr>
          <w:p>
            <w:pPr>
              <w:spacing w:after="0"/>
              <w:rPr>
                <w:sz w:val="1"/>
                <w:szCs w:val="1"/>
                <w:color w:val="auto"/>
              </w:rPr>
            </w:pPr>
          </w:p>
        </w:tc>
      </w:tr>
      <w:tr>
        <w:trPr>
          <w:trHeight w:val="90"/>
        </w:trPr>
        <w:tc>
          <w:tcPr>
            <w:tcW w:w="5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24,045</w:t>
            </w:r>
          </w:p>
        </w:tc>
        <w:tc>
          <w:tcPr>
            <w:tcW w:w="0" w:type="dxa"/>
            <w:vAlign w:val="bottom"/>
          </w:tcPr>
          <w:p>
            <w:pPr>
              <w:spacing w:after="0"/>
              <w:rPr>
                <w:sz w:val="1"/>
                <w:szCs w:val="1"/>
                <w:color w:val="auto"/>
              </w:rPr>
            </w:pPr>
          </w:p>
        </w:tc>
      </w:tr>
      <w:tr>
        <w:trPr>
          <w:trHeight w:val="219"/>
        </w:trPr>
        <w:tc>
          <w:tcPr>
            <w:tcW w:w="58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Dilutive securities</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and common equivalent shares outstanding (diluted)</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EPS —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40" w:type="dxa"/>
            <w:vAlign w:val="bottom"/>
            <w:vMerge w:val="continue"/>
          </w:tcPr>
          <w:p>
            <w:pPr>
              <w:spacing w:after="0"/>
              <w:rPr>
                <w:sz w:val="16"/>
                <w:szCs w:val="16"/>
                <w:color w:val="auto"/>
              </w:rPr>
            </w:pPr>
          </w:p>
        </w:tc>
        <w:tc>
          <w:tcPr>
            <w:tcW w:w="280" w:type="dxa"/>
            <w:vAlign w:val="bottom"/>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(0.88)</w:t>
            </w:r>
          </w:p>
        </w:tc>
        <w:tc>
          <w:tcPr>
            <w:tcW w:w="100" w:type="dxa"/>
            <w:vAlign w:val="bottom"/>
          </w:tcPr>
          <w:p>
            <w:pPr>
              <w:spacing w:after="0"/>
              <w:rPr>
                <w:sz w:val="16"/>
                <w:szCs w:val="16"/>
                <w:color w:val="auto"/>
              </w:rPr>
            </w:pPr>
          </w:p>
        </w:tc>
        <w:tc>
          <w:tcPr>
            <w:tcW w:w="36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6"/>
                <w:szCs w:val="16"/>
                <w:color w:val="auto"/>
              </w:rPr>
            </w:pPr>
          </w:p>
        </w:tc>
        <w:tc>
          <w:tcPr>
            <w:tcW w:w="300" w:type="dxa"/>
            <w:vAlign w:val="bottom"/>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(2.51)</w:t>
            </w:r>
          </w:p>
        </w:tc>
        <w:tc>
          <w:tcPr>
            <w:tcW w:w="100" w:type="dxa"/>
            <w:vAlign w:val="bottom"/>
          </w:tcPr>
          <w:p>
            <w:pPr>
              <w:spacing w:after="0"/>
              <w:rPr>
                <w:sz w:val="16"/>
                <w:szCs w:val="16"/>
                <w:color w:val="auto"/>
              </w:rPr>
            </w:pPr>
          </w:p>
        </w:tc>
        <w:tc>
          <w:tcPr>
            <w:tcW w:w="36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(0.82)</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EPS — diluted</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0" w:type="dxa"/>
            <w:vAlign w:val="bottom"/>
          </w:tcPr>
          <w:p>
            <w:pPr>
              <w:spacing w:after="0"/>
              <w:rPr>
                <w:sz w:val="1"/>
                <w:szCs w:val="1"/>
                <w:color w:val="auto"/>
              </w:rPr>
            </w:pPr>
          </w:p>
        </w:tc>
      </w:tr>
      <w:tr>
        <w:trPr>
          <w:trHeight w:val="258"/>
        </w:trPr>
        <w:tc>
          <w:tcPr>
            <w:tcW w:w="5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anti-dilutive stock options and restricted stock awards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84"/>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20" w:right="180" w:hanging="317"/>
        <w:spacing w:after="0" w:line="234" w:lineRule="auto"/>
        <w:tabs>
          <w:tab w:leader="none" w:pos="22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Due to the net loss for the three and six months ended June 30, 2024 and 2023, there are no potentially dilutive common shares included in the computation of diluted earnings per share.</w:t>
      </w:r>
    </w:p>
    <w:p>
      <w:pPr>
        <w:spacing w:after="0" w:line="20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7:</w:t>
        <w:tab/>
        <w:t>Derivatives and Hedging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Hedge Accounting and Hedging Program</w:t>
      </w:r>
    </w:p>
    <w:p>
      <w:pPr>
        <w:spacing w:after="0" w:line="247" w:lineRule="exact"/>
        <w:rPr>
          <w:sz w:val="20"/>
          <w:szCs w:val="20"/>
          <w:color w:val="auto"/>
        </w:rPr>
      </w:pPr>
    </w:p>
    <w:p>
      <w:pPr>
        <w:ind w:right="240" w:firstLine="215"/>
        <w:spacing w:after="0" w:line="287" w:lineRule="auto"/>
        <w:rPr>
          <w:sz w:val="20"/>
          <w:szCs w:val="20"/>
          <w:color w:val="auto"/>
        </w:rPr>
      </w:pPr>
      <w:r>
        <w:rPr>
          <w:rFonts w:ascii="Times New Roman" w:cs="Times New Roman" w:eastAsia="Times New Roman" w:hAnsi="Times New Roman"/>
          <w:sz w:val="17"/>
          <w:szCs w:val="17"/>
          <w:color w:val="auto"/>
        </w:rPr>
        <w:t>The purposes of our cash flow hedging programs are to manage the foreign currency exchange rate risk on forecasted revenues and expenses denominated in currencies other than the functional currency of the operating unit, and to manage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7"/>
          <w:szCs w:val="17"/>
          <w:color w:val="auto"/>
        </w:rPr>
        <w:t>floating interest rate risk associated with future interest payments on the variable-rate term loans issued in 2022. We do not issue derivatives for trading or speculative purposes.</w:t>
      </w:r>
    </w:p>
    <w:p>
      <w:pPr>
        <w:spacing w:after="0" w:line="177" w:lineRule="exact"/>
        <w:rPr>
          <w:sz w:val="20"/>
          <w:szCs w:val="20"/>
          <w:color w:val="auto"/>
        </w:rPr>
      </w:pPr>
    </w:p>
    <w:p>
      <w:pPr>
        <w:ind w:right="20" w:firstLine="169"/>
        <w:spacing w:after="0" w:line="258" w:lineRule="auto"/>
        <w:rPr>
          <w:sz w:val="20"/>
          <w:szCs w:val="20"/>
          <w:color w:val="auto"/>
        </w:rPr>
      </w:pPr>
      <w:r>
        <w:rPr>
          <w:rFonts w:ascii="Times New Roman" w:cs="Times New Roman" w:eastAsia="Times New Roman" w:hAnsi="Times New Roman"/>
          <w:sz w:val="17"/>
          <w:szCs w:val="17"/>
          <w:color w:val="auto"/>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(loss) income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Exchange Forward Contracts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enter into foreign exchange forward contracts to hedge a portion of our forecasted foreign currency-denominated revenues and expenses to minimize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foreign exchange rate movements on the related cash flows. These contracts are agreements to buy or sell a quantity of a currency at a predetermined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date and at a predetermined exchange rate. Our foreign exchange forward contracts hedge exposures principally denominated in Mexican Pesos ("MXN"),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Euros, Czech Koruna ("CZK"), Japanese Yen ("JPY"), Swedish Krona ("SEK"), Danish Krone ("DKK"), Chinese Renminbi ("CNH"), Canadian Dollar ("CAD"),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 ("USD") and Australian Dollar ("AUD") and have varying maturities with an average term of approximately thirteen months. The total notional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of these outstanding derivative contracts as of June 30, 2024 was $100.9 million, which included the notional equivalent of $20.6 million in Euros,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 million in JPY, $4.9 million in CNH, $12.7 million in CAD, $10.0 million in AUD, $33.9 million in USD and $9.5 million in other foreign currencies, with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terms currently through November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Floating Interest Rate Risk</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2022, we entered into interest rate swaps to reduce the interest rate volatility on our variable-rate term loan A and variable-rate term loan B (see Note</w:t>
      </w:r>
    </w:p>
    <w:p>
      <w:pPr>
        <w:spacing w:after="0" w:line="28" w:lineRule="exact"/>
        <w:rPr>
          <w:sz w:val="20"/>
          <w:szCs w:val="20"/>
          <w:color w:val="auto"/>
        </w:rPr>
      </w:pPr>
    </w:p>
    <w:p>
      <w:pPr>
        <w:ind w:firstLine="3"/>
        <w:spacing w:after="0" w:line="255" w:lineRule="auto"/>
        <w:tabs>
          <w:tab w:leader="none" w:pos="26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Debt).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pay a fixed rate of 1.32% and will receive the greater of 3-months USD Secured Overnight Financing Rate ("SOFR") or (0.15)%. The total notional amount of this outstanding derivative as of June 30, 2024 was approximately $228.9 million. Effective March 30, 2022, the term loan B swap, as amended, has an initial notional amount of $750.0 million, reducing to $46.9 million evenly on a quarterly basis through its final maturity on March 30, 2026. We pay a fixed rate of 1.17% and will receive the greater of 3-months USD SOFR or 0.35%. The total notional amount of this outstanding derivative as of June 30, 2024 was approximately $328.1 million.</w:t>
      </w:r>
    </w:p>
    <w:p>
      <w:pPr>
        <w:spacing w:after="0" w:line="205"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In June 2023, we entered into an additional interest rate swap that hedges both term loan A and term loan B interest payments. The total notional amount of the swap is $300.0 million. The hedge matures on June 30, 2028. We pay a fixed rate of 3.88% and will receive 3-months USD SOFR.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swaps effectively convert the relevant portion of the floating-rate term loans to fixed rates.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fair values of our derivative instruments included within the Condensed Consolidated Balance Sheets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5"/>
          </w:tcPr>
          <w:p>
            <w:pPr>
              <w:ind w:left="14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Hedging</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63"/>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 Location</w:t>
            </w: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Foreign Exchange</w:t>
            </w:r>
          </w:p>
        </w:tc>
        <w:tc>
          <w:tcPr>
            <w:tcW w:w="16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Interest Rate Swaps</w:t>
            </w:r>
          </w:p>
        </w:tc>
        <w:tc>
          <w:tcPr>
            <w:tcW w:w="200" w:type="dxa"/>
            <w:vAlign w:val="bottom"/>
          </w:tcPr>
          <w:p>
            <w:pPr>
              <w:spacing w:after="0"/>
              <w:rPr>
                <w:sz w:val="12"/>
                <w:szCs w:val="12"/>
                <w:color w:val="auto"/>
              </w:rPr>
            </w:pPr>
          </w:p>
        </w:tc>
        <w:tc>
          <w:tcPr>
            <w:tcW w:w="158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Gross Derivatives</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1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21,006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24,629</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9,584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9,683</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23,065</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29,850</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4,876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5,549</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7,458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27,941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35,399</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2,590</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right="860" w:firstLine="619"/>
        <w:spacing w:after="0" w:line="277" w:lineRule="auto"/>
        <w:rPr>
          <w:sz w:val="20"/>
          <w:szCs w:val="20"/>
          <w:color w:val="auto"/>
        </w:rPr>
      </w:pPr>
      <w:r>
        <w:rPr>
          <w:rFonts w:ascii="Times New Roman" w:cs="Times New Roman" w:eastAsia="Times New Roman" w:hAnsi="Times New Roman"/>
          <w:sz w:val="17"/>
          <w:szCs w:val="17"/>
          <w:color w:val="auto"/>
        </w:rPr>
        <w:t>We recognized the following (loss) gains on our derivative instruments designated as cash flow hedges in other comprehensive income before reclassifications to net loss (in thousands):</w:t>
      </w: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9"/>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Gain (Losses) Recognized in Other Comprehensive Income</w:t>
            </w:r>
          </w:p>
        </w:tc>
        <w:tc>
          <w:tcPr>
            <w:tcW w:w="840" w:type="dxa"/>
            <w:vAlign w:val="bottom"/>
            <w:tcBorders>
              <w:bottom w:val="single" w:sz="8" w:color="auto"/>
            </w:tcBorders>
          </w:tcPr>
          <w:p>
            <w:pPr>
              <w:spacing w:after="0"/>
              <w:rPr>
                <w:sz w:val="17"/>
                <w:szCs w:val="17"/>
                <w:color w:val="auto"/>
              </w:rPr>
            </w:pPr>
          </w:p>
        </w:tc>
      </w:tr>
      <w:tr>
        <w:trPr>
          <w:trHeight w:val="150"/>
        </w:trPr>
        <w:tc>
          <w:tcPr>
            <w:tcW w:w="5500" w:type="dxa"/>
            <w:vAlign w:val="bottom"/>
          </w:tcPr>
          <w:p>
            <w:pPr>
              <w:spacing w:after="0"/>
              <w:rPr>
                <w:sz w:val="13"/>
                <w:szCs w:val="13"/>
                <w:color w:val="auto"/>
              </w:rPr>
            </w:pPr>
          </w:p>
        </w:tc>
        <w:tc>
          <w:tcPr>
            <w:tcW w:w="2300" w:type="dxa"/>
            <w:vAlign w:val="bottom"/>
            <w:gridSpan w:val="4"/>
          </w:tcPr>
          <w:p>
            <w:pPr>
              <w:jc w:val="right"/>
              <w:ind w:right="163"/>
              <w:spacing w:after="0" w:line="15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Six months ended</w:t>
            </w:r>
          </w:p>
        </w:tc>
        <w:tc>
          <w:tcPr>
            <w:tcW w:w="840" w:type="dxa"/>
            <w:vAlign w:val="bottom"/>
          </w:tcPr>
          <w:p>
            <w:pPr>
              <w:spacing w:after="0"/>
              <w:rPr>
                <w:sz w:val="13"/>
                <w:szCs w:val="13"/>
                <w:color w:val="auto"/>
              </w:rPr>
            </w:pPr>
          </w:p>
        </w:tc>
      </w:tr>
      <w:tr>
        <w:trPr>
          <w:trHeight w:val="205"/>
        </w:trPr>
        <w:tc>
          <w:tcPr>
            <w:tcW w:w="55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9"/>
        </w:trPr>
        <w:tc>
          <w:tcPr>
            <w:tcW w:w="55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18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3"/>
        </w:trPr>
        <w:tc>
          <w:tcPr>
            <w:tcW w:w="5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(3,965)</w:t>
            </w:r>
          </w:p>
        </w:tc>
        <w:tc>
          <w:tcPr>
            <w:tcW w:w="100" w:type="dxa"/>
            <w:vAlign w:val="bottom"/>
          </w:tcPr>
          <w:p>
            <w:pPr>
              <w:spacing w:after="0"/>
              <w:rPr>
                <w:sz w:val="17"/>
                <w:szCs w:val="17"/>
                <w:color w:val="auto"/>
              </w:rPr>
            </w:pP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6,051</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w:t>
            </w:r>
          </w:p>
        </w:tc>
        <w:tc>
          <w:tcPr>
            <w:tcW w:w="1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8,503</w:t>
            </w:r>
          </w:p>
        </w:tc>
      </w:tr>
      <w:tr>
        <w:trPr>
          <w:trHeight w:val="206"/>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8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4,512</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11,324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17,905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8,740</w:t>
            </w:r>
          </w:p>
        </w:tc>
      </w:tr>
      <w:tr>
        <w:trPr>
          <w:trHeight w:val="202"/>
        </w:trPr>
        <w:tc>
          <w:tcPr>
            <w:tcW w:w="5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derivatives designated as cash flow hedging instruments</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547</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17,375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18,880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17,243</w:t>
            </w:r>
          </w:p>
        </w:tc>
      </w:tr>
      <w:tr>
        <w:trPr>
          <w:trHeight w:val="20"/>
        </w:trPr>
        <w:tc>
          <w:tcPr>
            <w:tcW w:w="5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effects of our derivative instruments designated as cash flow hedges on the Condensed Consolidated Statements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(in thousands):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7360" w:type="dxa"/>
            <w:vAlign w:val="bottom"/>
            <w:tcBorders>
              <w:bottom w:val="single" w:sz="8" w:color="auto"/>
            </w:tcBorders>
            <w:gridSpan w:val="13"/>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Gains (Losses) Reclassified From Accumulated Other Comprehensive (Loss) Income into Net Loss</w:t>
            </w:r>
          </w:p>
        </w:tc>
        <w:tc>
          <w:tcPr>
            <w:tcW w:w="0" w:type="dxa"/>
            <w:vAlign w:val="bottom"/>
          </w:tcPr>
          <w:p>
            <w:pPr>
              <w:spacing w:after="0"/>
              <w:rPr>
                <w:sz w:val="1"/>
                <w:szCs w:val="1"/>
                <w:color w:val="auto"/>
              </w:rPr>
            </w:pPr>
          </w:p>
        </w:tc>
      </w:tr>
      <w:tr>
        <w:trPr>
          <w:trHeight w:val="150"/>
        </w:trPr>
        <w:tc>
          <w:tcPr>
            <w:tcW w:w="33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5"/>
          </w:tcPr>
          <w:p>
            <w:pPr>
              <w:ind w:left="240"/>
              <w:spacing w:after="0" w:line="15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260" w:type="dxa"/>
            <w:vAlign w:val="bottom"/>
          </w:tcPr>
          <w:p>
            <w:pPr>
              <w:spacing w:after="0"/>
              <w:rPr>
                <w:sz w:val="13"/>
                <w:szCs w:val="13"/>
                <w:color w:val="auto"/>
              </w:rPr>
            </w:pPr>
          </w:p>
        </w:tc>
        <w:tc>
          <w:tcPr>
            <w:tcW w:w="1840" w:type="dxa"/>
            <w:vAlign w:val="bottom"/>
            <w:gridSpan w:val="4"/>
          </w:tcPr>
          <w:p>
            <w:pPr>
              <w:jc w:val="right"/>
              <w:ind w:right="243"/>
              <w:spacing w:after="0" w:line="151" w:lineRule="exact"/>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760" w:type="dxa"/>
            <w:vAlign w:val="bottom"/>
            <w:gridSpan w:val="2"/>
          </w:tcPr>
          <w:p>
            <w:pPr>
              <w:jc w:val="right"/>
              <w:ind w:right="640"/>
              <w:spacing w:after="0" w:line="137" w:lineRule="exact"/>
              <w:rPr>
                <w:sz w:val="20"/>
                <w:szCs w:val="20"/>
                <w:color w:val="auto"/>
              </w:rPr>
            </w:pPr>
            <w:r>
              <w:rPr>
                <w:rFonts w:ascii="Times New Roman" w:cs="Times New Roman" w:eastAsia="Times New Roman" w:hAnsi="Times New Roman"/>
                <w:sz w:val="15"/>
                <w:szCs w:val="15"/>
                <w:b w:val="1"/>
                <w:bCs w:val="1"/>
                <w:color w:val="auto"/>
              </w:rPr>
              <w:t>Location of Gains (Losses)</w:t>
            </w:r>
          </w:p>
        </w:tc>
        <w:tc>
          <w:tcPr>
            <w:tcW w:w="260" w:type="dxa"/>
            <w:vAlign w:val="bottom"/>
          </w:tcPr>
          <w:p>
            <w:pPr>
              <w:spacing w:after="0"/>
              <w:rPr>
                <w:sz w:val="11"/>
                <w:szCs w:val="11"/>
                <w:color w:val="auto"/>
              </w:rPr>
            </w:pPr>
          </w:p>
        </w:tc>
        <w:tc>
          <w:tcPr>
            <w:tcW w:w="90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27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Recognized in Net Loss</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36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i w:val="1"/>
                <w:iCs w:val="1"/>
                <w:color w:val="auto"/>
              </w:rPr>
              <w:t>Derivatives designated as cash flow hedging</w:t>
            </w:r>
          </w:p>
        </w:tc>
        <w:tc>
          <w:tcPr>
            <w:tcW w:w="24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instruments:</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Total revenues</w:t>
            </w: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633</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1,333</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Cost of goods sold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xml:space="preserve">Other expense, net </w:t>
            </w:r>
            <w:r>
              <w:rPr>
                <w:rFonts w:ascii="Times New Roman" w:cs="Times New Roman" w:eastAsia="Times New Roman" w:hAnsi="Times New Roman"/>
                <w:sz w:val="10"/>
                <w:szCs w:val="10"/>
                <w:color w:val="auto"/>
              </w:rPr>
              <w:t>(1)</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xml:space="preserve">Interest expense </w:t>
            </w:r>
            <w:r>
              <w:rPr>
                <w:rFonts w:ascii="Times New Roman" w:cs="Times New Roman" w:eastAsia="Times New Roman" w:hAnsi="Times New Roman"/>
                <w:sz w:val="10"/>
                <w:szCs w:val="10"/>
                <w:color w:val="auto"/>
              </w:rPr>
              <w:t>(2)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276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Interest expense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7,291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Total derivatives designated as cash flow hedging</w:t>
            </w:r>
          </w:p>
        </w:tc>
        <w:tc>
          <w:tcPr>
            <w:tcW w:w="2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8,983</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10,414</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18,927</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instruments</w:t>
            </w:r>
          </w:p>
        </w:tc>
        <w:tc>
          <w:tcPr>
            <w:tcW w:w="24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7" w:lineRule="exact"/>
        <w:rPr>
          <w:sz w:val="20"/>
          <w:szCs w:val="20"/>
          <w:color w:val="auto"/>
        </w:rPr>
      </w:pPr>
    </w:p>
    <w:p>
      <w:pPr>
        <w:ind w:left="220" w:hanging="217"/>
        <w:spacing w:after="0"/>
        <w:tabs>
          <w:tab w:leader="none" w:pos="22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location of gain reclassified from accumulated other comprehensive loss into other expense, net as a result of ineffectiveness.</w:t>
      </w:r>
    </w:p>
    <w:p>
      <w:pPr>
        <w:spacing w:after="0" w:line="9" w:lineRule="exact"/>
        <w:rPr>
          <w:rFonts w:ascii="Times New Roman" w:cs="Times New Roman" w:eastAsia="Times New Roman" w:hAnsi="Times New Roman"/>
          <w:sz w:val="20"/>
          <w:szCs w:val="20"/>
          <w:color w:val="auto"/>
          <w:vertAlign w:val="superscript"/>
        </w:rPr>
      </w:pPr>
    </w:p>
    <w:p>
      <w:pPr>
        <w:ind w:left="280" w:hanging="277"/>
        <w:spacing w:after="0" w:line="191" w:lineRule="auto"/>
        <w:tabs>
          <w:tab w:leader="none" w:pos="2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location of gain reclassified from accumulated other comprehensive loss into interest expense as a result of forecasted transactions no longer probable of occurring.</w:t>
      </w:r>
    </w:p>
    <w:p>
      <w:pPr>
        <w:spacing w:after="0" w:line="299"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As of June 30, 2024, we expect an estimated $2.1 million in deferred gains on the outstanding foreign exchange contracts and an estimated $21.9 million in deferred gains on the interest rate swaps will be reclassified from accumulated other comprehensive loss to net income during the next 12 months concurrent with the underlying hedged transactions also being reported in net income.</w:t>
      </w:r>
    </w:p>
    <w:p>
      <w:pPr>
        <w:spacing w:after="0" w:line="18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8:</w:t>
        <w:tab/>
        <w:t>Fair Value Measurements</w:t>
      </w:r>
    </w:p>
    <w:p>
      <w:pPr>
        <w:spacing w:after="0" w:line="221" w:lineRule="exact"/>
        <w:rPr>
          <w:sz w:val="20"/>
          <w:szCs w:val="20"/>
          <w:color w:val="auto"/>
        </w:rPr>
      </w:pPr>
    </w:p>
    <w:p>
      <w:pPr>
        <w:ind w:right="520" w:firstLine="172"/>
        <w:spacing w:after="0" w:line="287" w:lineRule="auto"/>
        <w:rPr>
          <w:sz w:val="20"/>
          <w:szCs w:val="20"/>
          <w:color w:val="auto"/>
        </w:rPr>
      </w:pPr>
      <w:r>
        <w:rPr>
          <w:rFonts w:ascii="Times New Roman" w:cs="Times New Roman" w:eastAsia="Times New Roman" w:hAnsi="Times New Roman"/>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7"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7" w:lineRule="exact"/>
        <w:rPr>
          <w:rFonts w:ascii="Times New Roman" w:cs="Times New Roman" w:eastAsia="Times New Roman" w:hAnsi="Times New Roman"/>
          <w:sz w:val="17"/>
          <w:szCs w:val="17"/>
          <w:color w:val="auto"/>
        </w:rPr>
      </w:pPr>
    </w:p>
    <w:p>
      <w:pPr>
        <w:ind w:left="620" w:right="24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Liabilities</w:t>
      </w:r>
    </w:p>
    <w:p>
      <w:pPr>
        <w:spacing w:after="0" w:line="247" w:lineRule="exact"/>
        <w:rPr>
          <w:sz w:val="20"/>
          <w:szCs w:val="20"/>
          <w:color w:val="auto"/>
        </w:rPr>
      </w:pPr>
    </w:p>
    <w:p>
      <w:pPr>
        <w:ind w:right="160" w:firstLine="619"/>
        <w:spacing w:after="0" w:line="256" w:lineRule="auto"/>
        <w:rPr>
          <w:sz w:val="20"/>
          <w:szCs w:val="20"/>
          <w:color w:val="auto"/>
        </w:rPr>
      </w:pPr>
      <w:r>
        <w:rPr>
          <w:rFonts w:ascii="Times New Roman" w:cs="Times New Roman" w:eastAsia="Times New Roman" w:hAnsi="Times New Roman"/>
          <w:sz w:val="17"/>
          <w:szCs w:val="17"/>
          <w:color w:val="auto"/>
        </w:rPr>
        <w:t>In 2022, we acquired Smiths Medical with a combination of cash consideration and share consideration issued at closing. Total consideration for the acquisition included a potential earn-out payment of $100.0 million in cash contingent on our common stock achieving a certain volume-weighted average price (the "Price Targets") from the closing date to either the third or fourth anniversary of closing and provided Smiths beneficially owns at least 50.0% of the shares of common stock issued at closing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 As of December 31, 2023, the estimated fair value of the contingent earn-out was $4.0 million. As of June 30, 2024, the estimated fair value of the contingent earn-out was $3.9 million. During July 2024, Smiths sold 1.2 million common shares of ICU Medical,</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Inc. It was issued as partial consideration for the 2022 acquisition of Smiths Medical. The sale of shares when combined with other sales in prior periods renders Smiths unable to achieve the contingent consideration based on certain price targets during the third and fourth anniversary of closing as Smiths no longer meets the required minimum beneficial ownership percentage. Accordingly, the third quarter 2024 valuation of the contingent earn-out will reduce the contingent earn-out's fair market value to zero.</w:t>
      </w:r>
    </w:p>
    <w:p>
      <w:pPr>
        <w:spacing w:after="0" w:line="19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ended December 31, 2022 and, separately, (ii) a cash payment of $1.5 million contingent upon obtaining certain product-related regulatory certifications. As of December 31, 2022, the measurement period related to the contingent earn-out based on certain revenue targets ended and based on the actual revenue achieved during the measurement period the fair value of the contingent earn-out was determined to be zero as the minimum threshold for earning the earn-out was not met. As of June 30, 2024, the estimated fair value of the contingent consideration related to certain product-related regulatory certifications was estimated to be $1.5 million.</w:t>
      </w:r>
    </w:p>
    <w:p>
      <w:pPr>
        <w:spacing w:after="0" w:line="199"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In August 2021, we entered into an agreement with one of our international distributors whereby that distributor would not compete with us in a specific territory for a three-year period that ends September 2024. The terms of the agreement included a contingent earn-out payment. The contingent earn-out payment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fair value of the contingent earn-out was determined to be $3.4 million and was paid out during the three months ended March 31, 2024.</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Our contingent earn-out liabilities are separately stated on our condensed consolidated balance sheets.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provide a reconciliation of the Level 3 earn-out liabilities measured at estimated fair value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Earn-out Liability</w:t>
            </w:r>
          </w:p>
        </w:tc>
        <w:tc>
          <w:tcPr>
            <w:tcW w:w="0" w:type="dxa"/>
            <w:vAlign w:val="bottom"/>
          </w:tcPr>
          <w:p>
            <w:pPr>
              <w:spacing w:after="0"/>
              <w:rPr>
                <w:sz w:val="1"/>
                <w:szCs w:val="1"/>
                <w:color w:val="auto"/>
              </w:rPr>
            </w:pPr>
          </w:p>
        </w:tc>
      </w:tr>
      <w:tr>
        <w:trPr>
          <w:trHeight w:val="21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2024</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5,491</w:t>
            </w:r>
          </w:p>
        </w:tc>
        <w:tc>
          <w:tcPr>
            <w:tcW w:w="0" w:type="dxa"/>
            <w:vAlign w:val="bottom"/>
          </w:tcPr>
          <w:p>
            <w:pPr>
              <w:spacing w:after="0"/>
              <w:rPr>
                <w:sz w:val="1"/>
                <w:szCs w:val="1"/>
                <w:color w:val="auto"/>
              </w:rPr>
            </w:pPr>
          </w:p>
        </w:tc>
      </w:tr>
      <w:tr>
        <w:trPr>
          <w:trHeight w:val="219"/>
        </w:trPr>
        <w:tc>
          <w:tcPr>
            <w:tcW w:w="946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2024</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w:t>
            </w:r>
          </w:p>
        </w:tc>
        <w:tc>
          <w:tcPr>
            <w:tcW w:w="0" w:type="dxa"/>
            <w:vAlign w:val="bottom"/>
          </w:tcPr>
          <w:p>
            <w:pPr>
              <w:spacing w:after="0"/>
              <w:rPr>
                <w:sz w:val="1"/>
                <w:szCs w:val="1"/>
                <w:color w:val="auto"/>
              </w:rPr>
            </w:pPr>
          </w:p>
        </w:tc>
      </w:tr>
      <w:tr>
        <w:trPr>
          <w:trHeight w:val="212"/>
        </w:trPr>
        <w:tc>
          <w:tcPr>
            <w:tcW w:w="9460" w:type="dxa"/>
            <w:vAlign w:val="bottom"/>
            <w:tcBorders>
              <w:bottom w:val="single" w:sz="8" w:color="CCEEFF"/>
            </w:tcBorders>
          </w:tcPr>
          <w:p>
            <w:pPr>
              <w:ind w:left="140"/>
              <w:spacing w:after="0" w:line="212" w:lineRule="exact"/>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0" w:type="dxa"/>
            <w:vAlign w:val="bottom"/>
          </w:tcPr>
          <w:p>
            <w:pPr>
              <w:spacing w:after="0"/>
              <w:rPr>
                <w:sz w:val="1"/>
                <w:szCs w:val="1"/>
                <w:color w:val="auto"/>
              </w:rPr>
            </w:pPr>
          </w:p>
        </w:tc>
      </w:tr>
      <w:tr>
        <w:trPr>
          <w:trHeight w:val="23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June 30, 2024</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Earn-out Liability</w:t>
            </w:r>
          </w:p>
        </w:tc>
        <w:tc>
          <w:tcPr>
            <w:tcW w:w="0" w:type="dxa"/>
            <w:vAlign w:val="bottom"/>
          </w:tcPr>
          <w:p>
            <w:pPr>
              <w:spacing w:after="0"/>
              <w:rPr>
                <w:sz w:val="1"/>
                <w:szCs w:val="1"/>
                <w:color w:val="auto"/>
              </w:rPr>
            </w:pPr>
          </w:p>
        </w:tc>
      </w:tr>
      <w:tr>
        <w:trPr>
          <w:trHeight w:val="21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25,572</w:t>
            </w:r>
          </w:p>
        </w:tc>
        <w:tc>
          <w:tcPr>
            <w:tcW w:w="0" w:type="dxa"/>
            <w:vAlign w:val="bottom"/>
          </w:tcPr>
          <w:p>
            <w:pPr>
              <w:spacing w:after="0"/>
              <w:rPr>
                <w:sz w:val="1"/>
                <w:szCs w:val="1"/>
                <w:color w:val="auto"/>
              </w:rPr>
            </w:pPr>
          </w:p>
        </w:tc>
      </w:tr>
      <w:tr>
        <w:trPr>
          <w:trHeight w:val="219"/>
        </w:trPr>
        <w:tc>
          <w:tcPr>
            <w:tcW w:w="946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19"/>
        </w:trPr>
        <w:tc>
          <w:tcPr>
            <w:tcW w:w="9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2"/>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2023</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24,905</w:t>
            </w:r>
          </w:p>
        </w:tc>
        <w:tc>
          <w:tcPr>
            <w:tcW w:w="0" w:type="dxa"/>
            <w:vAlign w:val="bottom"/>
          </w:tcPr>
          <w:p>
            <w:pPr>
              <w:spacing w:after="0"/>
              <w:rPr>
                <w:sz w:val="1"/>
                <w:szCs w:val="1"/>
                <w:color w:val="auto"/>
              </w:rPr>
            </w:pPr>
          </w:p>
        </w:tc>
      </w:tr>
      <w:tr>
        <w:trPr>
          <w:trHeight w:val="212"/>
        </w:trPr>
        <w:tc>
          <w:tcPr>
            <w:tcW w:w="946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0" w:type="dxa"/>
            <w:vAlign w:val="bottom"/>
          </w:tcPr>
          <w:p>
            <w:pPr>
              <w:spacing w:after="0"/>
              <w:rPr>
                <w:sz w:val="1"/>
                <w:szCs w:val="1"/>
                <w:color w:val="auto"/>
              </w:rPr>
            </w:pPr>
          </w:p>
        </w:tc>
      </w:tr>
      <w:tr>
        <w:trPr>
          <w:trHeight w:val="219"/>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9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June 30, 2023</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28,933</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7"/>
        </w:trPr>
        <w:tc>
          <w:tcPr>
            <w:tcW w:w="9460" w:type="dxa"/>
            <w:vAlign w:val="bottom"/>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Re</w:t>
            </w:r>
            <w:r>
              <w:rPr>
                <w:rFonts w:ascii="Times New Roman" w:cs="Times New Roman" w:eastAsia="Times New Roman" w:hAnsi="Times New Roman"/>
                <w:sz w:val="15"/>
                <w:szCs w:val="15"/>
                <w:color w:val="auto"/>
              </w:rPr>
              <w:t>lates to the change in fair value of our Smiths Medical earn-out.</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following tables provide quantitative information about Level 3 inputs for fair value measurement of our earn-out liabilities related to Smiths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Medical: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Smiths Medical Earn-out Liability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Simulation Input</w:t>
            </w:r>
          </w:p>
        </w:tc>
        <w:tc>
          <w:tcPr>
            <w:tcW w:w="80" w:type="dxa"/>
            <w:vAlign w:val="bottom"/>
            <w:vMerge w:val="restart"/>
          </w:tcPr>
          <w:p>
            <w:pPr>
              <w:spacing w:after="0"/>
              <w:rPr>
                <w:sz w:val="15"/>
                <w:szCs w:val="15"/>
                <w:color w:val="auto"/>
              </w:rPr>
            </w:pP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900" w:type="dxa"/>
            <w:vAlign w:val="bottom"/>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8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0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Volatility</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45.00 %</w:t>
            </w: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47.00 %</w:t>
            </w:r>
          </w:p>
        </w:tc>
        <w:tc>
          <w:tcPr>
            <w:tcW w:w="0" w:type="dxa"/>
            <w:vAlign w:val="bottom"/>
          </w:tcPr>
          <w:p>
            <w:pPr>
              <w:spacing w:after="0"/>
              <w:rPr>
                <w:sz w:val="1"/>
                <w:szCs w:val="1"/>
                <w:color w:val="auto"/>
              </w:rPr>
            </w:pPr>
          </w:p>
        </w:tc>
      </w:tr>
      <w:tr>
        <w:trPr>
          <w:trHeight w:val="20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Risk-Free Rate</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4.83 %</w:t>
            </w:r>
          </w:p>
        </w:tc>
        <w:tc>
          <w:tcPr>
            <w:tcW w:w="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4.18 %</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Foreign Exchange Contracts and Interest Rate Contracts</w:t>
      </w:r>
    </w:p>
    <w:p>
      <w:pPr>
        <w:spacing w:after="0" w:line="247" w:lineRule="exact"/>
        <w:rPr>
          <w:sz w:val="20"/>
          <w:szCs w:val="20"/>
          <w:color w:val="auto"/>
        </w:rPr>
      </w:pPr>
    </w:p>
    <w:p>
      <w:pPr>
        <w:ind w:right="140" w:firstLine="162"/>
        <w:spacing w:after="0" w:line="264" w:lineRule="auto"/>
        <w:rPr>
          <w:sz w:val="20"/>
          <w:szCs w:val="20"/>
          <w:color w:val="auto"/>
        </w:rPr>
      </w:pPr>
      <w:r>
        <w:rPr>
          <w:rFonts w:ascii="Times New Roman" w:cs="Times New Roman" w:eastAsia="Times New Roman" w:hAnsi="Times New Roman"/>
          <w:sz w:val="17"/>
          <w:szCs w:val="17"/>
          <w:color w:val="auto"/>
        </w:rPr>
        <w:t>As of June 30, 2024, we do not have any investment securities. Our investments historically consisted of corporate, government bonds and U.S. treasury securities. The fair value of our corporate and government bonds were estimated using observable market-based inputs such as quoted prices, interest rates and yield curves or Level 2 inputs. The fair value of our U.S. treasury securities were based on quoted market prices in active markets and are included in the Level 1 fair value hierarchy.</w:t>
      </w:r>
    </w:p>
    <w:p>
      <w:pPr>
        <w:spacing w:after="0" w:line="197" w:lineRule="exact"/>
        <w:rPr>
          <w:sz w:val="20"/>
          <w:szCs w:val="20"/>
          <w:color w:val="auto"/>
        </w:rPr>
      </w:pPr>
    </w:p>
    <w:p>
      <w:pPr>
        <w:ind w:right="200" w:firstLine="169"/>
        <w:spacing w:after="0" w:line="287" w:lineRule="auto"/>
        <w:rPr>
          <w:sz w:val="20"/>
          <w:szCs w:val="20"/>
          <w:color w:val="auto"/>
        </w:rPr>
      </w:pPr>
      <w:r>
        <w:rPr>
          <w:rFonts w:ascii="Times New Roman" w:cs="Times New Roman" w:eastAsia="Times New Roman" w:hAnsi="Times New Roman"/>
          <w:sz w:val="17"/>
          <w:szCs w:val="17"/>
          <w:color w:val="auto"/>
        </w:rPr>
        <w:t>The fair value of our Level 2 foreign exchange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77"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assets and liabilities measured at fair value on a recurring basis consisted of the following Level 1, 2 and 3 inputs as defined above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7"/>
                <w:szCs w:val="17"/>
                <w:b w:val="1"/>
                <w:bCs w:val="1"/>
                <w:color w:val="auto"/>
              </w:rPr>
              <w:t>Fair value measurements as of June 30, 2024</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left="154"/>
              <w:spacing w:after="0" w:line="166"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left="154"/>
              <w:spacing w:after="0" w:line="175"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56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Total carrying</w:t>
            </w:r>
          </w:p>
        </w:tc>
        <w:tc>
          <w:tcPr>
            <w:tcW w:w="140" w:type="dxa"/>
            <w:vAlign w:val="bottom"/>
          </w:tcPr>
          <w:p>
            <w:pPr>
              <w:spacing w:after="0"/>
              <w:rPr>
                <w:sz w:val="15"/>
                <w:szCs w:val="15"/>
                <w:color w:val="auto"/>
              </w:rPr>
            </w:pPr>
          </w:p>
        </w:tc>
        <w:tc>
          <w:tcPr>
            <w:tcW w:w="1320" w:type="dxa"/>
            <w:vAlign w:val="bottom"/>
          </w:tcPr>
          <w:p>
            <w:pPr>
              <w:jc w:val="center"/>
              <w:ind w:left="154"/>
              <w:spacing w:after="0" w:line="181"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left="154"/>
              <w:spacing w:after="0" w:line="167"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w:t>
            </w:r>
          </w:p>
        </w:tc>
        <w:tc>
          <w:tcPr>
            <w:tcW w:w="1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21,006</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9,584</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34,312</w:t>
            </w: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34,312</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ST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LT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3,947</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liabilities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7,234</w:t>
            </w: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4580" w:type="dxa"/>
            <w:vAlign w:val="bottom"/>
          </w:tcPr>
          <w:p>
            <w:pPr>
              <w:spacing w:after="0"/>
              <w:rPr>
                <w:sz w:val="24"/>
                <w:szCs w:val="24"/>
                <w:color w:val="auto"/>
              </w:rPr>
            </w:pPr>
          </w:p>
        </w:tc>
        <w:tc>
          <w:tcPr>
            <w:tcW w:w="156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 measurements as of December 31, 2023</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174"/>
              <w:spacing w:after="0" w:line="161"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left="174"/>
              <w:spacing w:after="0" w:line="181"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16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Total carrying</w:t>
            </w:r>
          </w:p>
        </w:tc>
        <w:tc>
          <w:tcPr>
            <w:tcW w:w="13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300" w:type="dxa"/>
            <w:vAlign w:val="bottom"/>
          </w:tcPr>
          <w:p>
            <w:pPr>
              <w:jc w:val="center"/>
              <w:ind w:left="174"/>
              <w:spacing w:after="0" w:line="181"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5"/>
                <w:szCs w:val="15"/>
                <w:color w:val="auto"/>
              </w:rPr>
            </w:pPr>
          </w:p>
        </w:tc>
        <w:tc>
          <w:tcPr>
            <w:tcW w:w="138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Available-for-sale debt securities: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forwards: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23,065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7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35,900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ST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LT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11,700</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Investment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Available-for-sale Securities</w:t>
      </w:r>
    </w:p>
    <w:p>
      <w:pPr>
        <w:spacing w:after="0" w:line="247" w:lineRule="exact"/>
        <w:rPr>
          <w:sz w:val="20"/>
          <w:szCs w:val="20"/>
          <w:color w:val="auto"/>
        </w:rPr>
      </w:pPr>
    </w:p>
    <w:p>
      <w:pPr>
        <w:ind w:right="500" w:firstLine="172"/>
        <w:spacing w:after="0" w:line="287" w:lineRule="auto"/>
        <w:rPr>
          <w:sz w:val="20"/>
          <w:szCs w:val="20"/>
          <w:color w:val="auto"/>
        </w:rPr>
      </w:pPr>
      <w:r>
        <w:rPr>
          <w:rFonts w:ascii="Times New Roman" w:cs="Times New Roman" w:eastAsia="Times New Roman" w:hAnsi="Times New Roman"/>
          <w:sz w:val="17"/>
          <w:szCs w:val="17"/>
          <w:color w:val="auto"/>
        </w:rPr>
        <w:t>Our available-for-sale investment securities historically consisted of corporate bonds, government bonds and U.S. treasury securities and were considered “investment grade” and were carried at fair value.</w:t>
      </w:r>
    </w:p>
    <w:p>
      <w:pPr>
        <w:spacing w:after="0" w:line="177"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As of June 30, 2024, we did not have any investment securities. As of December 31, 2023, the amortized cost, unrealized holding gains (losses) and fair value of our available-for-sale investment securities were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vMerge w:val="restart"/>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20" w:type="dxa"/>
            <w:vAlign w:val="bottom"/>
          </w:tcPr>
          <w:p>
            <w:pPr>
              <w:spacing w:after="0"/>
              <w:rPr>
                <w:sz w:val="13"/>
                <w:szCs w:val="13"/>
                <w:color w:val="auto"/>
              </w:rPr>
            </w:pPr>
          </w:p>
        </w:tc>
        <w:tc>
          <w:tcPr>
            <w:tcW w:w="2300" w:type="dxa"/>
            <w:vAlign w:val="bottom"/>
          </w:tcPr>
          <w:p>
            <w:pPr>
              <w:jc w:val="center"/>
              <w:ind w:right="541"/>
              <w:spacing w:after="0" w:line="151" w:lineRule="exact"/>
              <w:rPr>
                <w:sz w:val="20"/>
                <w:szCs w:val="20"/>
                <w:color w:val="auto"/>
              </w:rPr>
            </w:pPr>
            <w:r>
              <w:rPr>
                <w:rFonts w:ascii="Times New Roman" w:cs="Times New Roman" w:eastAsia="Times New Roman" w:hAnsi="Times New Roman"/>
                <w:sz w:val="15"/>
                <w:szCs w:val="15"/>
                <w:b w:val="1"/>
                <w:bCs w:val="1"/>
                <w:color w:val="auto"/>
              </w:rPr>
              <w:t>Unrealized Holding</w:t>
            </w:r>
          </w:p>
        </w:tc>
        <w:tc>
          <w:tcPr>
            <w:tcW w:w="1580" w:type="dxa"/>
            <w:vAlign w:val="bottom"/>
            <w:vMerge w:val="restart"/>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15"/>
                <w:szCs w:val="15"/>
                <w:b w:val="1"/>
                <w:bCs w:val="1"/>
                <w:color w:val="auto"/>
              </w:rPr>
              <w:t>Gains (Losses)</w:t>
            </w: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of the debt securities are adjusted for the amortization of premiums computed under the effective interest method. Such amortization is included in interest expense, net in our condensed consolidated statements of operations.</w:t>
      </w:r>
    </w:p>
    <w:p>
      <w:pPr>
        <w:spacing w:after="0" w:line="17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(loss) income. We did not have any investments in available-for-sale debt securities in unrealized loss positions as of December 31, 2023.</w:t>
      </w:r>
    </w:p>
    <w:p>
      <w:pPr>
        <w:spacing w:after="0" w:line="197"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Realized gains and losses are accounted for on the specific identification method. There have been no realized gains or losses on the disposal of these investments. All short-term investment securities are callable within one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Non-Marketable Equity Securities</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own approximately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19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10: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and six months ended June 30, 2024 and 2023. We did not receive any dividend distributions from this investment during the three and six months ended June 30, 2024 and 2023.</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non-marketable equity method investment consists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10:</w:t>
        <w:tab/>
        <w:t>Prepaid Expenses and Other Current Assets and Other Assets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prepaid expenses and receivables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17,833</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vendor expenses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costs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insurance and property taxes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9,547</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VAT/GST receivable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charge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3,667</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73,640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Other assets consist of the following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7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Pump lease receivables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25,599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30,627</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Spare parts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46,496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94,593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94,020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Inventories</w:t>
      </w:r>
    </w:p>
    <w:p>
      <w:pPr>
        <w:spacing w:after="0" w:line="221" w:lineRule="exact"/>
        <w:rPr>
          <w:sz w:val="20"/>
          <w:szCs w:val="20"/>
          <w:color w:val="auto"/>
        </w:rPr>
      </w:pPr>
    </w:p>
    <w:p>
      <w:pPr>
        <w:jc w:val="both"/>
        <w:ind w:right="80" w:firstLine="172"/>
        <w:spacing w:after="0" w:line="287"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285,347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296,037</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58,906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354,417</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inventories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682,870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709,360</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12:</w:t>
        <w:tab/>
        <w:t>Property, Plant and Equipment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plant and equipment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495,081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483,382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building and building improvements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285,661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278,251</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Molds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89,573</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122,038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30,662</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Instruments placed with customers</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115,672</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117,219</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property, plant and equipment, cost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1,257,927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1,236,797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(663,842)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(623,888)</w:t>
            </w:r>
          </w:p>
        </w:tc>
      </w:tr>
      <w:tr>
        <w:trPr>
          <w:trHeight w:val="212"/>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594,085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612,909</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52" w:lineRule="exact"/>
        <w:rPr>
          <w:sz w:val="20"/>
          <w:szCs w:val="20"/>
          <w:color w:val="auto"/>
        </w:rPr>
      </w:pPr>
    </w:p>
    <w:p>
      <w:pPr>
        <w:ind w:left="240" w:hanging="237"/>
        <w:spacing w:after="0"/>
        <w:tabs>
          <w:tab w:leader="none" w:pos="2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Instruments placed with customers consist of drug-delivery and monitoring systems placed with customers under operating leases.</w:t>
      </w:r>
    </w:p>
    <w:p>
      <w:pPr>
        <w:spacing w:after="0" w:line="208" w:lineRule="exact"/>
        <w:rPr>
          <w:sz w:val="20"/>
          <w:szCs w:val="20"/>
          <w:color w:val="auto"/>
        </w:rPr>
      </w:pPr>
    </w:p>
    <w:p>
      <w:pPr>
        <w:ind w:right="680"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was $22.3 million and $44.7 million for the three and six months ended June 30, 2024, respectively, and $24.4 million and $47.8 million for the three and six months ended June 30, 2023,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13: Goodwill and Intangible Assets, Net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8"/>
        </w:trPr>
        <w:tc>
          <w:tcPr>
            <w:tcW w:w="94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Goodwill</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the carrying amount of our goodwill (in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5"/>
        </w:trPr>
        <w:tc>
          <w:tcPr>
            <w:tcW w:w="9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1,472,446</w:t>
            </w:r>
          </w:p>
        </w:tc>
      </w:tr>
      <w:tr>
        <w:trPr>
          <w:trHeight w:val="219"/>
        </w:trPr>
        <w:tc>
          <w:tcPr>
            <w:tcW w:w="9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(21,511)</w:t>
            </w:r>
          </w:p>
        </w:tc>
      </w:tr>
      <w:tr>
        <w:trPr>
          <w:trHeight w:val="23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2024</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1,450,935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Net</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Intangible assets, carried at cost less accumulated amortization and amortized on a straight-line basis, were as follows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Life 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21,747</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13,093</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2,986</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203,725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346,420</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10,486</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587,153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390,153</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1,214,746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451,058</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763,688</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r>
              <w:rPr>
                <w:rFonts w:ascii="Times New Roman" w:cs="Times New Roman" w:eastAsia="Times New Roman" w:hAnsi="Times New Roman"/>
                <w:sz w:val="20"/>
                <w:szCs w:val="20"/>
                <w:color w:val="auto"/>
                <w:vertAlign w:val="superscript"/>
              </w:rPr>
              <w:t>(1)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42,106</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1,256,852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451,058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805,794</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80" w:hanging="177"/>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Internally developed software will be amortized when the projects are complete and the assets are ready for their intended use.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 Life</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20,637</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12,624</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3,263</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554,982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171,279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383,703</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587,852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167,913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419,939</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1,218,889</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386,621</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832,268</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r>
              <w:rPr>
                <w:rFonts w:ascii="Times New Roman" w:cs="Times New Roman" w:eastAsia="Times New Roman" w:hAnsi="Times New Roman"/>
                <w:sz w:val="20"/>
                <w:szCs w:val="20"/>
                <w:color w:val="auto"/>
                <w:vertAlign w:val="superscript"/>
              </w:rPr>
              <w:t>(1)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38,320</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1,257,209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386,621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870,588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80" w:hanging="177"/>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Internally developed software will be amortized when the projects are complete and the assets are ready for their intended use.</w:t>
      </w:r>
    </w:p>
    <w:p>
      <w:pPr>
        <w:spacing w:after="0" w:line="273"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Intangible assets with definite lives are amortized on a straight-line basis over their estimated useful lives. Intangible asset amortization expense was $33.1 million and $66.2 million during the three and six months ended June 30, 2024, respectively, and $33.1 million and $65.4 million during the three and six months ended June 30, 2023, respectively.</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June 30, 2024 estimated annual amortization for our intangible assets for each of the next five years and thereafter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6"/>
        </w:trPr>
        <w:tc>
          <w:tcPr>
            <w:tcW w:w="7560" w:type="dxa"/>
            <w:vAlign w:val="bottom"/>
          </w:tcPr>
          <w:p>
            <w:pPr>
              <w:ind w:left="398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460" w:type="dxa"/>
            <w:vAlign w:val="bottom"/>
            <w:gridSpan w:val="4"/>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7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65,794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124,722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123,940</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113,862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113,264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110,181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111,925</w:t>
            </w:r>
          </w:p>
        </w:tc>
        <w:tc>
          <w:tcPr>
            <w:tcW w:w="0" w:type="dxa"/>
            <w:vAlign w:val="bottom"/>
          </w:tcPr>
          <w:p>
            <w:pPr>
              <w:spacing w:after="0"/>
              <w:rPr>
                <w:sz w:val="1"/>
                <w:szCs w:val="1"/>
                <w:color w:val="auto"/>
              </w:rPr>
            </w:pP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763,688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14:   Accrued Liabilities and Other Long-Term Liabilities</w:t>
            </w: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7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liabilities consist of the following (in thousands):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 and benefits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69,914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52,250</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Incentive compensation</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37,992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liability-ST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20,161</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sales taxes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accrual</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other taxes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Italy medical device payback provision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23,176</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accrual</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fees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13,049</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Warranties and returns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30,281</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freight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audit fees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plan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8,664</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299,751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268,215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105" w:lineRule="exact"/>
        <w:rPr>
          <w:sz w:val="20"/>
          <w:szCs w:val="20"/>
          <w:color w:val="auto"/>
        </w:rPr>
      </w:pPr>
    </w:p>
    <w:p>
      <w:pPr>
        <w:ind w:left="320" w:right="600" w:hanging="317"/>
        <w:spacing w:after="0" w:line="226" w:lineRule="auto"/>
        <w:tabs>
          <w:tab w:leader="none" w:pos="253"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Primarily includes field service corrective actions associated with certain products in connection with a 2021 Warning Letter received by Smiths Medical from the FDA following an inspection of Smiths Medical’s Oakdale, Minnesota Facility, see Note 18: Commitments and Contingencies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long-term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liability-LT</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52,179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rent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liability-LT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10,585</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w:t>
            </w:r>
          </w:p>
        </w:tc>
      </w:tr>
      <w:tr>
        <w:trPr>
          <w:trHeight w:val="212"/>
        </w:trPr>
        <w:tc>
          <w:tcPr>
            <w:tcW w:w="756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91,356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100,497</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67" w:lineRule="exact"/>
        <w:rPr>
          <w:sz w:val="20"/>
          <w:szCs w:val="20"/>
          <w:color w:val="auto"/>
        </w:rPr>
      </w:pPr>
    </w:p>
    <w:p>
      <w:pPr>
        <w:ind w:left="320" w:right="560" w:hanging="317"/>
        <w:spacing w:after="0" w:line="234" w:lineRule="auto"/>
        <w:tabs>
          <w:tab w:leader="none" w:pos="22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Primarily related to field service corrective actions associated with certain products in connection with a 2021 Warning Letter received by Smiths Medical from the FDA following an inspection of Smiths Medical’s Oakdale, Minnesota Facility, see Note 18: Commitments and Contingencies for further detail.</w:t>
      </w:r>
    </w:p>
    <w:p>
      <w:pPr>
        <w:spacing w:after="0" w:line="2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15:</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21"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Income taxes were accrued at an estimated effective tax rate of (10)% and (8)% for the three and six months ended June 30, 2024, respectively, as compared to 57% and 46% for the three and six months ended June 30, 2023, respectively.</w:t>
      </w:r>
    </w:p>
    <w:p>
      <w:pPr>
        <w:spacing w:after="0" w:line="177" w:lineRule="exact"/>
        <w:rPr>
          <w:sz w:val="20"/>
          <w:szCs w:val="20"/>
          <w:color w:val="auto"/>
        </w:rPr>
      </w:pPr>
    </w:p>
    <w:p>
      <w:pPr>
        <w:jc w:val="both"/>
        <w:ind w:right="60" w:firstLine="169"/>
        <w:spacing w:after="0" w:line="270" w:lineRule="auto"/>
        <w:rPr>
          <w:sz w:val="20"/>
          <w:szCs w:val="20"/>
          <w:color w:val="auto"/>
        </w:rPr>
      </w:pPr>
      <w:r>
        <w:rPr>
          <w:rFonts w:ascii="Times New Roman" w:cs="Times New Roman" w:eastAsia="Times New Roman" w:hAnsi="Times New Roman"/>
          <w:sz w:val="17"/>
          <w:szCs w:val="17"/>
          <w:color w:val="auto"/>
        </w:rPr>
        <w:t>The effective tax rate for the three and six months ended June 30, 2024 differs from the federal statutory rate of 21% principally because of the effect of the mix of U.S. and foreign incomes, state income taxes, section 162(m) excess compensation, tax credits, and a valuation allowance against certain U.S. federal and state deferred tax assets and the following discrete items recognized during the interim period:</w:t>
      </w:r>
    </w:p>
    <w:p>
      <w:pPr>
        <w:spacing w:after="0" w:line="191" w:lineRule="exact"/>
        <w:rPr>
          <w:sz w:val="20"/>
          <w:szCs w:val="20"/>
          <w:color w:val="auto"/>
        </w:rPr>
      </w:pPr>
    </w:p>
    <w:p>
      <w:pPr>
        <w:ind w:left="620" w:right="220" w:hanging="307"/>
        <w:spacing w:after="0" w:line="26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Excess tax benefit recognized on stock option exercises and the vesting of restricted stock units during the three and six months ended June 30, 2024 of $0.7 million and $3.0 million, respectively.</w:t>
      </w:r>
    </w:p>
    <w:p>
      <w:pPr>
        <w:ind w:left="620" w:right="800" w:hanging="307"/>
        <w:spacing w:after="0" w:line="266"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Unrecognized tax benefits released as a result of the expiration of statute of limitations during the three and six months ended June 30, 2024 of $3.9 million and $4.0 million, respectively.</w:t>
      </w:r>
    </w:p>
    <w:p>
      <w:pPr>
        <w:spacing w:after="0" w:line="194" w:lineRule="exact"/>
        <w:rPr>
          <w:sz w:val="20"/>
          <w:szCs w:val="20"/>
          <w:color w:val="auto"/>
        </w:rPr>
      </w:pPr>
    </w:p>
    <w:p>
      <w:pPr>
        <w:ind w:right="20" w:firstLine="169"/>
        <w:spacing w:after="0" w:line="257" w:lineRule="auto"/>
        <w:rPr>
          <w:sz w:val="20"/>
          <w:szCs w:val="20"/>
          <w:color w:val="auto"/>
        </w:rPr>
      </w:pPr>
      <w:r>
        <w:rPr>
          <w:rFonts w:ascii="Times New Roman" w:cs="Times New Roman" w:eastAsia="Times New Roman" w:hAnsi="Times New Roman"/>
          <w:sz w:val="17"/>
          <w:szCs w:val="17"/>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$10.4 million and $20.5 million tax expense against certain U.S. federal and state deferred tax assets during the three and six months ended June 30, 2024, respectively. The significant piece of objectively verifiable negative evidence evaluated was the recent U.S. cumulative losses. Our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w:t>
      </w:r>
    </w:p>
    <w:p>
      <w:pPr>
        <w:spacing w:after="0" w:line="20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("OECD") released model rules for a 15% global minimum tax, known as Pillar Two. On December 15, 2022, the European Union agreed to implement the OECD’s global minimum tax of 15% for multinationals that meet a global revenue threshold. A number of countries have enacted or have announced plans to enact legislation to adopt Pillar Two. We considered the applicable tax law changes on Pillar Two implementation in the relevant countries, and there was no material impact to our tax provision for the three and six months ended June 30, 2024. We do not expect the provisions currently in effect for 2024 to have a material impact on our tax provision and effective tax rate for the remainder of 2024 but will continue to assess the impact of tax legislation in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The effective tax rate for the three and six months ended June 30, 2023 differs from the federal statutory rate of 21% principally because of the effect of the mix of U.S. and foreign incomes, state income taxes, section 162(m) excess compensation, foreign-derived intangible income ("FDII"), tax credits, and the following discrete items recognized during the interim period:</w:t>
      </w:r>
    </w:p>
    <w:p>
      <w:pPr>
        <w:spacing w:after="0" w:line="191" w:lineRule="exact"/>
        <w:rPr>
          <w:sz w:val="20"/>
          <w:szCs w:val="20"/>
          <w:color w:val="auto"/>
        </w:rPr>
      </w:pPr>
    </w:p>
    <w:p>
      <w:pPr>
        <w:ind w:left="620" w:right="200" w:hanging="307"/>
        <w:spacing w:after="0" w:line="26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Excess tax benefit recognized on stock option exercises and the vesting of restricted stock units during the three and six months ended June 30, 2023 of $0.9 million and $0.2 million, respectively.</w:t>
      </w:r>
    </w:p>
    <w:p>
      <w:pPr>
        <w:ind w:left="620" w:right="580" w:hanging="307"/>
        <w:spacing w:after="0" w:line="25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Unrecognized tax benefits released as a result of the expiration of the statue of limitations during the three and six months ended June 30, 2023 of $6.0 million and $6.0 million, respectively.</w:t>
      </w:r>
    </w:p>
    <w:p>
      <w:pPr>
        <w:ind w:left="620" w:right="80" w:hanging="307"/>
        <w:spacing w:after="0" w:line="266"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Revaluation of the contingent consideration during the three and six months ended June 30, 2023 which resulted in a tax expense of $0.0 million for both periods.</w:t>
      </w:r>
    </w:p>
    <w:p>
      <w:pPr>
        <w:spacing w:after="0" w:line="1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16:</w:t>
      </w:r>
      <w:r>
        <w:rPr>
          <w:sz w:val="20"/>
          <w:szCs w:val="20"/>
          <w:color w:val="auto"/>
        </w:rPr>
        <w:tab/>
      </w:r>
      <w:r>
        <w:rPr>
          <w:rFonts w:ascii="Times New Roman" w:cs="Times New Roman" w:eastAsia="Times New Roman" w:hAnsi="Times New Roman"/>
          <w:sz w:val="16"/>
          <w:szCs w:val="16"/>
          <w:b w:val="1"/>
          <w:bCs w:val="1"/>
          <w:color w:val="auto"/>
        </w:rPr>
        <w:t>Long-Term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247"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In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entering into the Credit Agreement in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the current unamortized balances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condensed consolidated balance sheets. These costs are being amortized to interest expense over the term of the Revolving Credit Facility using the straight-line method.</w:t>
      </w:r>
    </w:p>
    <w:p>
      <w:pPr>
        <w:spacing w:after="0" w:line="205"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The net funds received from the Term Loan A and the Term Loan B, after deducting debt issuance costs, were $834.2 million and $836.6 million, respectively.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Maturity Dates</w:t>
      </w:r>
    </w:p>
    <w:p>
      <w:pPr>
        <w:spacing w:after="0" w:line="24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Rate Terms</w:t>
      </w:r>
    </w:p>
    <w:p>
      <w:pPr>
        <w:spacing w:after="0" w:line="24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19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Base Rate is defined as the highest of (a) the Prime Rate, (b) the Federal Funds Rate plus 0.50% and (c) Adjusted Term SOFR (as defined below) for a one-month period plus, in each case, 1.00%.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Revolving Credit Facility Commitment Fee</w:t>
      </w:r>
    </w:p>
    <w:p>
      <w:pPr>
        <w:spacing w:after="0" w:line="247" w:lineRule="exact"/>
        <w:rPr>
          <w:sz w:val="20"/>
          <w:szCs w:val="20"/>
          <w:color w:val="auto"/>
        </w:rPr>
      </w:pPr>
    </w:p>
    <w:p>
      <w:pPr>
        <w:ind w:right="520" w:firstLine="619"/>
        <w:spacing w:after="0" w:line="270" w:lineRule="auto"/>
        <w:rPr>
          <w:sz w:val="20"/>
          <w:szCs w:val="20"/>
          <w:color w:val="auto"/>
        </w:rPr>
      </w:pPr>
      <w:r>
        <w:rPr>
          <w:rFonts w:ascii="Times New Roman" w:cs="Times New Roman" w:eastAsia="Times New Roman" w:hAnsi="Times New Roman"/>
          <w:sz w:val="17"/>
          <w:szCs w:val="17"/>
          <w:color w:val="auto"/>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ended June 30, 2022, the commitment fee is determined by reference to the leverage ratio in effect from time to time as set forth in the table below.</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Applicable Interest Margins</w:t>
      </w:r>
    </w:p>
    <w:p>
      <w:pPr>
        <w:spacing w:after="0" w:line="247"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The Term Loan A and borrowings under the Revolving Credit Facility have an initial applicable margin of 0.75% per annum for Base Rate Loans and 1.75% per annum for Term SOFR Loans.</w:t>
      </w:r>
    </w:p>
    <w:p>
      <w:pPr>
        <w:spacing w:after="0" w:line="177"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A and borrowings under the Revolving Credit Facility is determined by reference to the leverage ratio in effect from time to time as set forth in the following table:</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00" w:type="dxa"/>
            <w:vAlign w:val="bottom"/>
            <w:vMerge w:val="restart"/>
          </w:tcPr>
          <w:p>
            <w:pPr>
              <w:ind w:left="17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Applicable Margin for Term</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Commitment Fee R</w:t>
            </w:r>
          </w:p>
        </w:tc>
        <w:tc>
          <w:tcPr>
            <w:tcW w:w="0" w:type="dxa"/>
            <w:vAlign w:val="bottom"/>
          </w:tcPr>
          <w:p>
            <w:pPr>
              <w:spacing w:after="0"/>
              <w:rPr>
                <w:sz w:val="1"/>
                <w:szCs w:val="1"/>
                <w:color w:val="auto"/>
              </w:rPr>
            </w:pPr>
          </w:p>
        </w:tc>
      </w:tr>
      <w:tr>
        <w:trPr>
          <w:trHeight w:val="232"/>
        </w:trPr>
        <w:tc>
          <w:tcPr>
            <w:tcW w:w="440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SOFR Loans</w:t>
            </w:r>
          </w:p>
        </w:tc>
        <w:tc>
          <w:tcPr>
            <w:tcW w:w="23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Loans</w:t>
            </w: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4.00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2.25%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4.00 to 1.0 but greater than 3.00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2.00%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1.00%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3.00 to 1.0 but greater than 2.50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1.75%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0.75%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2.50 to 1.0 but greater than 2.00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1.50%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2.00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60" w:firstLine="619"/>
        <w:spacing w:after="0" w:line="274"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B is determined by reference to the leverage ratio in effect from time to time as set forth in the following table:</w:t>
      </w:r>
    </w:p>
    <w:tbl>
      <w:tblPr>
        <w:tblLayout w:type="fixed"/>
        <w:tblInd w:w="0" w:type="dxa"/>
        <w:tblCellMar>
          <w:top w:w="0" w:type="dxa"/>
          <w:left w:w="0" w:type="dxa"/>
          <w:bottom w:w="0" w:type="dxa"/>
          <w:right w:w="0" w:type="dxa"/>
        </w:tblCellMar>
      </w:tblPr>
      <w:tr>
        <w:trPr>
          <w:trHeight w:val="176"/>
        </w:trPr>
        <w:tc>
          <w:tcPr>
            <w:tcW w:w="5400" w:type="dxa"/>
            <w:vAlign w:val="bottom"/>
            <w:vMerge w:val="restart"/>
          </w:tcPr>
          <w:p>
            <w:pPr>
              <w:ind w:left="28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3620" w:type="dxa"/>
            <w:vAlign w:val="bottom"/>
          </w:tcPr>
          <w:p>
            <w:pPr>
              <w:jc w:val="center"/>
              <w:ind w:left="1274"/>
              <w:spacing w:after="0" w:line="176" w:lineRule="exact"/>
              <w:rPr>
                <w:sz w:val="20"/>
                <w:szCs w:val="20"/>
                <w:color w:val="auto"/>
              </w:rPr>
            </w:pPr>
            <w:r>
              <w:rPr>
                <w:rFonts w:ascii="Times New Roman" w:cs="Times New Roman" w:eastAsia="Times New Roman" w:hAnsi="Times New Roman"/>
                <w:sz w:val="17"/>
                <w:szCs w:val="17"/>
                <w:b w:val="1"/>
                <w:bCs w:val="1"/>
                <w:color w:val="auto"/>
              </w:rPr>
              <w:t>Applicable Margin for Term</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0" w:type="dxa"/>
            <w:vAlign w:val="bottom"/>
          </w:tcPr>
          <w:p>
            <w:pPr>
              <w:spacing w:after="0"/>
              <w:rPr>
                <w:sz w:val="1"/>
                <w:szCs w:val="1"/>
                <w:color w:val="auto"/>
              </w:rPr>
            </w:pPr>
          </w:p>
        </w:tc>
      </w:tr>
      <w:tr>
        <w:trPr>
          <w:trHeight w:val="232"/>
        </w:trPr>
        <w:tc>
          <w:tcPr>
            <w:tcW w:w="5400" w:type="dxa"/>
            <w:vAlign w:val="bottom"/>
            <w:tcBorders>
              <w:bottom w:val="single" w:sz="8" w:color="auto"/>
            </w:tcBorders>
            <w:vMerge w:val="continue"/>
          </w:tcPr>
          <w:p>
            <w:pPr>
              <w:spacing w:after="0"/>
              <w:rPr>
                <w:sz w:val="20"/>
                <w:szCs w:val="20"/>
                <w:color w:val="auto"/>
              </w:rPr>
            </w:pPr>
          </w:p>
        </w:tc>
        <w:tc>
          <w:tcPr>
            <w:tcW w:w="362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w w:val="99"/>
              </w:rPr>
              <w:t>SOFR Loans</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 Loans</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Times New Roman" w:cs="Times New Roman" w:eastAsia="Times New Roman" w:hAnsi="Times New Roman"/>
                <w:sz w:val="17"/>
                <w:szCs w:val="17"/>
                <w:color w:val="auto"/>
              </w:rPr>
              <w:t>2.50%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2.75 to 1.0</w:t>
            </w:r>
          </w:p>
        </w:tc>
        <w:tc>
          <w:tcPr>
            <w:tcW w:w="3620" w:type="dxa"/>
            <w:vAlign w:val="bottom"/>
          </w:tcPr>
          <w:p>
            <w:pPr>
              <w:jc w:val="center"/>
              <w:ind w:left="1294"/>
              <w:spacing w:after="0"/>
              <w:rPr>
                <w:sz w:val="20"/>
                <w:szCs w:val="20"/>
                <w:color w:val="auto"/>
              </w:rPr>
            </w:pPr>
            <w:r>
              <w:rPr>
                <w:rFonts w:ascii="Times New Roman" w:cs="Times New Roman" w:eastAsia="Times New Roman" w:hAnsi="Times New Roman"/>
                <w:sz w:val="17"/>
                <w:szCs w:val="17"/>
                <w:color w:val="auto"/>
              </w:rPr>
              <w:t>2.25%</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Principal Payments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The Term Loan A amortizes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19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619"/>
        <w:spacing w:after="0" w:line="287" w:lineRule="auto"/>
        <w:rPr>
          <w:sz w:val="20"/>
          <w:szCs w:val="20"/>
          <w:color w:val="auto"/>
        </w:rPr>
      </w:pPr>
      <w:r>
        <w:rPr>
          <w:rFonts w:ascii="Times New Roman" w:cs="Times New Roman" w:eastAsia="Times New Roman" w:hAnsi="Times New Roman"/>
          <w:sz w:val="17"/>
          <w:szCs w:val="17"/>
          <w:color w:val="auto"/>
        </w:rPr>
        <w:t>We may borrow, prepay and re-borrow amounts under the Revolving Credit Facility, in accordance with the terms and conditions of the Credit Agreement, with all outstanding amounts due at maturity.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six months ended June 30, 2024 and 2023, total principal payments on the Term Loans were $25.5 million and $14.8 million, respectively.</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Payments</w:t>
      </w:r>
    </w:p>
    <w:p>
      <w:pPr>
        <w:spacing w:after="0" w:line="247" w:lineRule="exact"/>
        <w:rPr>
          <w:sz w:val="20"/>
          <w:szCs w:val="20"/>
          <w:color w:val="auto"/>
        </w:rPr>
      </w:pPr>
    </w:p>
    <w:p>
      <w:pPr>
        <w:jc w:val="both"/>
        <w:ind w:right="120" w:firstLine="619"/>
        <w:spacing w:after="0" w:line="264" w:lineRule="auto"/>
        <w:rPr>
          <w:sz w:val="20"/>
          <w:szCs w:val="20"/>
          <w:color w:val="auto"/>
        </w:rPr>
      </w:pPr>
      <w:r>
        <w:rPr>
          <w:rFonts w:ascii="Times New Roman" w:cs="Times New Roman" w:eastAsia="Times New Roman" w:hAnsi="Times New Roman"/>
          <w:sz w:val="17"/>
          <w:szCs w:val="17"/>
          <w:color w:val="auto"/>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spacing w:after="0" w:line="197" w:lineRule="exact"/>
        <w:rPr>
          <w:sz w:val="20"/>
          <w:szCs w:val="20"/>
          <w:color w:val="auto"/>
        </w:rPr>
      </w:pPr>
    </w:p>
    <w:p>
      <w:pPr>
        <w:ind w:right="340" w:firstLine="619"/>
        <w:spacing w:after="0" w:line="263" w:lineRule="auto"/>
        <w:rPr>
          <w:sz w:val="20"/>
          <w:szCs w:val="20"/>
          <w:color w:val="auto"/>
        </w:rPr>
      </w:pPr>
      <w:r>
        <w:rPr>
          <w:rFonts w:ascii="Times New Roman" w:cs="Times New Roman" w:eastAsia="Times New Roman" w:hAnsi="Times New Roman"/>
          <w:sz w:val="17"/>
          <w:szCs w:val="17"/>
          <w:color w:val="auto"/>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Guarantors and Collateral</w:t>
      </w:r>
    </w:p>
    <w:p>
      <w:pPr>
        <w:spacing w:after="0" w:line="226"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obligations under the Credit Agreement are unconditionally guaranteed, on a joint and several basis, by ICU Medical, Inc. and certain of our existing subsidiaries.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Covenants</w:t>
      </w:r>
    </w:p>
    <w:p>
      <w:pPr>
        <w:spacing w:after="0" w:line="247"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197"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financial covenants include the Senior Secured Leverage Ratio and the Interest Coverage Ratio, both defined below, and pertain to the Term Loan A and the Revolving Credit Facility.</w:t>
      </w:r>
    </w:p>
    <w:p>
      <w:pPr>
        <w:spacing w:after="0" w:line="17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97"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 compliance with all financial covenants as of June 30, 2024.</w:t>
      </w:r>
    </w:p>
    <w:p>
      <w:pPr>
        <w:spacing w:after="0" w:line="243"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values of our long-term debt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3" w:name="page34"/>
    <w:bookmarkEnd w:id="3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840" w:type="dxa"/>
            <w:vAlign w:val="bottom"/>
          </w:tcPr>
          <w:p>
            <w:pPr>
              <w:spacing w:after="0"/>
              <w:rPr>
                <w:sz w:val="15"/>
                <w:szCs w:val="15"/>
                <w:color w:val="auto"/>
              </w:rPr>
            </w:pPr>
          </w:p>
        </w:tc>
        <w:tc>
          <w:tcPr>
            <w:tcW w:w="212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1460" w:type="dxa"/>
            <w:vAlign w:val="bottom"/>
          </w:tcPr>
          <w:p>
            <w:pPr>
              <w:jc w:val="right"/>
              <w:ind w:right="61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15"/>
                <w:szCs w:val="15"/>
                <w:color w:val="auto"/>
              </w:rPr>
            </w:pPr>
          </w:p>
        </w:tc>
        <w:tc>
          <w:tcPr>
            <w:tcW w:w="2020" w:type="dxa"/>
            <w:vAlign w:val="bottom"/>
            <w:gridSpan w:val="3"/>
            <w:vMerge w:val="restart"/>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384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1460" w:type="dxa"/>
            <w:vAlign w:val="bottom"/>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80" w:type="dxa"/>
            <w:vAlign w:val="bottom"/>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w:t>
            </w:r>
          </w:p>
        </w:tc>
        <w:tc>
          <w:tcPr>
            <w:tcW w:w="0" w:type="dxa"/>
            <w:vAlign w:val="bottom"/>
          </w:tcPr>
          <w:p>
            <w:pPr>
              <w:spacing w:after="0"/>
              <w:rPr>
                <w:sz w:val="1"/>
                <w:szCs w:val="1"/>
                <w:color w:val="auto"/>
              </w:rPr>
            </w:pPr>
          </w:p>
        </w:tc>
      </w:tr>
      <w:tr>
        <w:trPr>
          <w:trHeight w:val="20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Senior Secured Credit Facilities:</w:t>
            </w: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Loan A — principal</w:t>
            </w:r>
          </w:p>
        </w:tc>
        <w:tc>
          <w:tcPr>
            <w:tcW w:w="212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8.22 %  $</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791,563</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7.67 %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Loan B — principal</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830,875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0" w:type="dxa"/>
            <w:vAlign w:val="bottom"/>
          </w:tcPr>
          <w:p>
            <w:pPr>
              <w:spacing w:after="0"/>
              <w:rPr>
                <w:sz w:val="1"/>
                <w:szCs w:val="1"/>
                <w:color w:val="auto"/>
              </w:rPr>
            </w:pPr>
          </w:p>
        </w:tc>
      </w:tr>
      <w:tr>
        <w:trPr>
          <w:trHeight w:val="219"/>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Revolving Credit Facility — principal</w:t>
            </w:r>
          </w:p>
        </w:tc>
        <w:tc>
          <w:tcPr>
            <w:tcW w:w="2120" w:type="dxa"/>
            <w:vAlign w:val="bottom"/>
            <w:gridSpan w:val="3"/>
          </w:tcPr>
          <w:p>
            <w:pPr>
              <w:jc w:val="right"/>
              <w:ind w:right="294"/>
              <w:spacing w:after="0"/>
              <w:rPr>
                <w:sz w:val="20"/>
                <w:szCs w:val="20"/>
                <w:color w:val="auto"/>
              </w:rPr>
            </w:pPr>
            <w:r>
              <w:rPr>
                <w:rFonts w:ascii="Times New Roman" w:cs="Times New Roman" w:eastAsia="Times New Roman" w:hAnsi="Times New Roman"/>
                <w:sz w:val="17"/>
                <w:szCs w:val="17"/>
                <w:color w:val="auto"/>
              </w:rPr>
              <w:t>— %</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Less unamortized debt issuance costs</w:t>
            </w:r>
            <w:r>
              <w:rPr>
                <w:rFonts w:ascii="Times New Roman" w:cs="Times New Roman" w:eastAsia="Times New Roman" w:hAnsi="Times New Roman"/>
                <w:sz w:val="22"/>
                <w:szCs w:val="22"/>
                <w:color w:val="auto"/>
                <w:vertAlign w:val="superscript"/>
              </w:rPr>
              <w:t>(1)</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(16,616)</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2"/>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carrying value of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1,605,822</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51,000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2"/>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1,554,822</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55" w:lineRule="exact"/>
        <w:rPr>
          <w:sz w:val="20"/>
          <w:szCs w:val="20"/>
          <w:color w:val="auto"/>
        </w:rPr>
      </w:pPr>
    </w:p>
    <w:p>
      <w:pPr>
        <w:ind w:left="220" w:hanging="217"/>
        <w:spacing w:after="0"/>
        <w:tabs>
          <w:tab w:leader="none" w:pos="22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Comprised of $7.7 million and $8.9 million relating to the Term Loan A and the Term Loan B, respectively, as of June 30, 2024.</w:t>
      </w:r>
    </w:p>
    <w:p>
      <w:pPr>
        <w:spacing w:after="0" w:line="215"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As of June 30, 2024, the aggregate amount of principal repayments of our long-term debt (including any current portion) for each of the next five years and thereafter is approximately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r>
      <w:tr>
        <w:trPr>
          <w:trHeight w:val="212"/>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total interest expense related to our long-term debt (in thousands):</w:t>
      </w: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2940" w:type="dxa"/>
            <w:vAlign w:val="bottom"/>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gridSpan w:val="3"/>
          </w:tcPr>
          <w:p>
            <w:pPr>
              <w:jc w:val="center"/>
              <w:ind w:right="49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7"/>
        </w:trPr>
        <w:tc>
          <w:tcPr>
            <w:tcW w:w="40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12"/>
        </w:trPr>
        <w:tc>
          <w:tcPr>
            <w:tcW w:w="40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64,126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fee — Revolving Credit Facility</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12"/>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long-term debt-related interest expense</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33,934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32,922</w:t>
            </w: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68,295</w:t>
            </w:r>
          </w:p>
        </w:tc>
        <w:tc>
          <w:tcPr>
            <w:tcW w:w="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hedge against the contractual interest expense on our long-term debt (see Note 7: Derivatives and Hedging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Shareholders Agreement</w:t>
      </w:r>
    </w:p>
    <w:p>
      <w:pPr>
        <w:spacing w:after="0" w:line="247" w:lineRule="exact"/>
        <w:rPr>
          <w:sz w:val="20"/>
          <w:szCs w:val="20"/>
          <w:color w:val="auto"/>
        </w:rPr>
      </w:pPr>
    </w:p>
    <w:p>
      <w:pPr>
        <w:ind w:right="140" w:firstLine="619"/>
        <w:spacing w:after="0" w:line="267" w:lineRule="auto"/>
        <w:rPr>
          <w:sz w:val="20"/>
          <w:szCs w:val="20"/>
          <w:color w:val="auto"/>
        </w:rPr>
      </w:pPr>
      <w:r>
        <w:rPr>
          <w:rFonts w:ascii="Times New Roman" w:cs="Times New Roman" w:eastAsia="Times New Roman" w:hAnsi="Times New Roman"/>
          <w:sz w:val="17"/>
          <w:szCs w:val="17"/>
          <w:color w:val="auto"/>
        </w:rPr>
        <w:t>At the completion of the Smiths Medical acquisition in 2022, Smiths owned approximately 10.5% of the total outstanding shares of our common stock (see Note 3: Restructuring, Strategic Transaction and Integration). At closing, in connection with the issuance of the share consideration, we entered into a Shareholders Agreement (the “Shareholders Agreement”) with Smiths. The Shareholders Agreement permits Smiths to designate one individual for election to our Board of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Directors (the "Board") so long as Smiths beneficially owns at least 5.0% of the total outstanding shares of our common stock. On February 28, 2024, Smiths designated board member, Mr. William Seeger, notified us of his resignation from our Board in anticipation of his retirement from the Board of Directors of Smiths. See our Current Report on Form 8-K filed on February 29, 2024 for additional information. As of June 30, 2024, Smiths retained the right to designate a board member based on their ownership level as of that date. However, during July 2024, Smiths sold a portion of their outstanding shares of our common stock which left Smiths with an ownership percentage under the required 5.0% needed for the right to designate a board member.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120" w:firstLine="172"/>
        <w:spacing w:after="0" w:line="264" w:lineRule="auto"/>
        <w:rPr>
          <w:sz w:val="20"/>
          <w:szCs w:val="20"/>
          <w:color w:val="auto"/>
        </w:rPr>
      </w:pPr>
      <w:r>
        <w:rPr>
          <w:rFonts w:ascii="Times New Roman" w:cs="Times New Roman" w:eastAsia="Times New Roman" w:hAnsi="Times New Roman"/>
          <w:sz w:val="17"/>
          <w:szCs w:val="17"/>
          <w:color w:val="auto"/>
        </w:rPr>
        <w:t>In August 2019, our Board approved a share purchase plan to purchase up to $100.0 million of our common stock. This plan has no expiration date. During the three and six months ended June 30, 2024, we did not purchase any shares of our common stock under our share purchase plan. As of June 30, 2024, all of the $100.0 million available for purchase was remaining under the plan. We are currently limited on share purchases in accordance with the terms and conditions of our Credit Agreement (see Note 16: Long-Term Debt).</w:t>
      </w:r>
    </w:p>
    <w:p>
      <w:pPr>
        <w:spacing w:after="0" w:line="197" w:lineRule="exact"/>
        <w:rPr>
          <w:sz w:val="20"/>
          <w:szCs w:val="20"/>
          <w:color w:val="auto"/>
        </w:rPr>
      </w:pPr>
    </w:p>
    <w:p>
      <w:pPr>
        <w:ind w:right="140" w:firstLine="172"/>
        <w:spacing w:after="0" w:line="261" w:lineRule="auto"/>
        <w:rPr>
          <w:sz w:val="20"/>
          <w:szCs w:val="20"/>
          <w:color w:val="auto"/>
        </w:rPr>
      </w:pPr>
      <w:r>
        <w:rPr>
          <w:rFonts w:ascii="Times New Roman" w:cs="Times New Roman" w:eastAsia="Times New Roman" w:hAnsi="Times New Roman"/>
          <w:sz w:val="17"/>
          <w:szCs w:val="17"/>
          <w:color w:val="auto"/>
        </w:rPr>
        <w:t>For the six months ended June 30, 2024, we withheld 112,876 shares of our common stock from employee vested restricted stock units in consideration for $11.7 million in payments made on the employees' behalf for their minimum statutory income tax withholding obligations. For the six months ended June 30, 2023, we withheld 54,371 shares of our common stock from employee vested restricted stock units in consideration for $8.7 million in payments made on the employees' behalf for their minimum statutory income tax withholding obligations. Treasury stock is used to issue shares for stock option exercises and restricted stock grants.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Accumulated Other Comprehensive (Loss) Income ("AOCI")</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components of AOCI, net of tax, were as follows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rPr>
              <w:t>(Losses) on Cash</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Flow Hedges</w:t>
            </w:r>
          </w:p>
        </w:tc>
        <w:tc>
          <w:tcPr>
            <w:tcW w:w="168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21,884</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(53,081)</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6,360</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(15,865)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(15,429)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(15,865)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(6,382)</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(22,247)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(91,785)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rPr>
              <w:t>(Losses) on Cash</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5"/>
                <w:szCs w:val="15"/>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Flow 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40,779</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(80,978)</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income (loss)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24,983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19,375</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7,569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13,175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20,710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(7,901)</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7,569</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5,274</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12,809</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(48,794)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47"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Off-Balance Sheet Arrangements</w:t>
      </w:r>
    </w:p>
    <w:p>
      <w:pPr>
        <w:spacing w:after="0" w:line="221" w:lineRule="exact"/>
        <w:rPr>
          <w:sz w:val="20"/>
          <w:szCs w:val="20"/>
          <w:color w:val="auto"/>
        </w:rPr>
      </w:pPr>
    </w:p>
    <w:p>
      <w:pPr>
        <w:ind w:firstLine="172"/>
        <w:spacing w:after="0" w:line="26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rPr>
          <w:sz w:val="20"/>
          <w:szCs w:val="20"/>
          <w:color w:val="auto"/>
        </w:rPr>
      </w:pPr>
      <w:r>
        <w:rPr>
          <w:rFonts w:ascii="Times New Roman" w:cs="Times New Roman" w:eastAsia="Times New Roman" w:hAnsi="Times New Roman"/>
          <w:sz w:val="17"/>
          <w:szCs w:val="17"/>
          <w:color w:val="auto"/>
        </w:rPr>
        <w:t>Although we can provide no assurances, we have never incurred, nor do we expect to incur, any material liability for indemnification.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247"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In January 2022, we acquired Smiths Medical. Total consideration for the acquisition included a potential earn-out payment of $100.0 million in cash contingent on our common stock achieving the Price Targets from the closing date to either the third or fourth anniversary of closing and provided Smiths beneficially owned at least 50.0% of the shares of common stock issued at closing at the time the Price Target is achieved. As of June 30, 2024, the estimated fair value of the contingent earn-out was $3.9 million (see Note 8: Fair Value Measurements). During July 2024, Smiths sold 1.2 million common shares of ICU Medical, Inc. It was issued as partial consideration for the 2022 acquisition of Smiths Medical. The sale of shares when combined with other sales in prior periods renders Smiths unable to achieve the contingent consideration based on certain price targets during the third and fourth anniversary of closing as Smiths no longer meets the required minimum beneficial ownership percentage. Accordingly, the third quarter 2024 valuation of the contingent earn-out will reduce the contingent earn-out's fair market value to zero.</w:t>
      </w:r>
    </w:p>
    <w:p>
      <w:pPr>
        <w:spacing w:after="0" w:line="20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in the amount of $55.1 million.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three and six months ended June 30, 2024, we recorded a net reversal to the provision of $6.8 million and $6.6 million, respectively, 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adjust the estimated cost to complete the field corrective actions to the amounts expected to be incurred based on historical experience. As of June 30, 2024, approximately $43.4 million of the $50.5 million of accrued field service corrective action recorded was related to Smiths Medical.</w:t>
      </w:r>
    </w:p>
    <w:p>
      <w:pPr>
        <w:spacing w:after="0" w:line="17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ended December 31, 2022 and, separately, (ii) a cash payment of $1.5 million contingent upon obtaining certain product-related regulatory certifications. As of December 31, 2022, the measurement period related to (i) above ended and based on the actual revenue achieved during the measurement period we determined that the fair value of the contingent earn-out was zero as the minimum threshold for earning the earn-out was not met. As of June 30, 2024, the estimated fair value of the contingent earn-out related to certain product-related regulatory certification was estimated to be $1.5 million (see Note 8: Fair Value Measurements).</w:t>
      </w:r>
    </w:p>
    <w:p>
      <w:pPr>
        <w:spacing w:after="0" w:line="199"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In August 2021, we entered into an agreement with one of our international distributors whereby that distributor would not compete with us in a specific territory for a three-year period that ends September 2024. The terms of the agreement included a contingent earn-out payment. The contingent earn-out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fair value of the contingent earn-out was determined to be $3.4 million and was paid out during the three months ended March 31, 2024 (see Note 8: Fair Value Measurements).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to pay certain lease payment amounts (see Note 5: Leases).</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19:</w:t>
        <w:tab/>
        <w:t>Collaborative and Other Arrangements</w:t>
      </w:r>
    </w:p>
    <w:p>
      <w:pPr>
        <w:spacing w:after="0" w:line="247" w:lineRule="exact"/>
        <w:rPr>
          <w:sz w:val="20"/>
          <w:szCs w:val="20"/>
          <w:color w:val="auto"/>
        </w:rPr>
      </w:pPr>
    </w:p>
    <w:p>
      <w:pPr>
        <w:ind w:right="160" w:firstLine="172"/>
        <w:spacing w:after="0" w:line="264" w:lineRule="auto"/>
        <w:rPr>
          <w:sz w:val="20"/>
          <w:szCs w:val="20"/>
          <w:color w:val="auto"/>
        </w:rPr>
      </w:pPr>
      <w:r>
        <w:rPr>
          <w:rFonts w:ascii="Times New Roman" w:cs="Times New Roman" w:eastAsia="Times New Roman" w:hAnsi="Times New Roman"/>
          <w:sz w:val="17"/>
          <w:szCs w:val="17"/>
          <w:color w:val="auto"/>
        </w:rPr>
        <w:t>On February 3, 2017, we entered into two Manufacturing and Supply Agreements ("MSAs") whereby (i) Pfizer would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We no longer purchase products from Pfizer under the MSA as described in (i) above.</w:t>
      </w:r>
    </w:p>
    <w:p>
      <w:pPr>
        <w:spacing w:after="0" w:line="19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The MSA described in (ii) above provides each party with mutually beneficial interests and is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Accounts Receivable Purchase Program</w:t>
      </w:r>
    </w:p>
    <w:p>
      <w:pPr>
        <w:spacing w:after="0" w:line="24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On January 19, 2023, we entered into a revolving $150 million uncommitted receivables purchase agreement with Bank of The West, which was subsequently acquired by BMO in February 2023. This agreement provided for a less expensive form of capital. The discount rate applied to the sold receivables equals a rate per annum equal to the sum of (i) an applicable margin,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BMO has the right upon purchase to pledge and/or exchange the transferred assets without restrictions. The Company acts as collection agent for BMO and collection services are undertaken by our accounts receivable personnel in their normal course of business and collected funds are remitted to BMO.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in connection with the purchase program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5"/>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7"/>
                <w:szCs w:val="17"/>
                <w:color w:val="auto"/>
              </w:rPr>
            </w:pPr>
          </w:p>
        </w:tc>
        <w:tc>
          <w:tcPr>
            <w:tcW w:w="2760" w:type="dxa"/>
            <w:vAlign w:val="bottom"/>
            <w:gridSpan w:val="4"/>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5"/>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center"/>
              <w:ind w:left="65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center"/>
              <w:ind w:left="6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80" w:type="dxa"/>
            <w:vAlign w:val="bottom"/>
          </w:tcPr>
          <w:p>
            <w:pPr>
              <w:spacing w:after="0"/>
              <w:rPr>
                <w:sz w:val="19"/>
                <w:szCs w:val="19"/>
                <w:color w:val="auto"/>
              </w:rPr>
            </w:pPr>
          </w:p>
        </w:tc>
      </w:tr>
      <w:tr>
        <w:trPr>
          <w:trHeight w:val="227"/>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receivables sold</w:t>
            </w:r>
            <w:r>
              <w:rPr>
                <w:rFonts w:ascii="Times New Roman" w:cs="Times New Roman" w:eastAsia="Times New Roman" w:hAnsi="Times New Roman"/>
                <w:sz w:val="10"/>
                <w:szCs w:val="10"/>
                <w:color w:val="auto"/>
              </w:rPr>
              <w:t>(1)</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348,447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290,271</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received in exchange for trade receivables sold</w:t>
            </w:r>
            <w:r>
              <w:rPr>
                <w:rFonts w:ascii="Times New Roman" w:cs="Times New Roman" w:eastAsia="Times New Roman" w:hAnsi="Times New Roman"/>
                <w:sz w:val="10"/>
                <w:szCs w:val="10"/>
                <w:color w:val="auto"/>
              </w:rPr>
              <w:t>(2)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346,282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288,586</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sale of receivables</w:t>
            </w:r>
            <w:r>
              <w:rPr>
                <w:rFonts w:ascii="Times New Roman" w:cs="Times New Roman" w:eastAsia="Times New Roman" w:hAnsi="Times New Roman"/>
                <w:sz w:val="10"/>
                <w:szCs w:val="10"/>
                <w:color w:val="auto"/>
              </w:rPr>
              <w:t>(3)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3" w:lineRule="exact"/>
        <w:rPr>
          <w:sz w:val="20"/>
          <w:szCs w:val="20"/>
          <w:color w:val="auto"/>
        </w:rPr>
      </w:pPr>
    </w:p>
    <w:p>
      <w:pPr>
        <w:ind w:left="220" w:hanging="217"/>
        <w:spacing w:after="0"/>
        <w:tabs>
          <w:tab w:leader="none" w:pos="22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carrying value of trade receivables sold to BMO.</w:t>
      </w:r>
    </w:p>
    <w:p>
      <w:pPr>
        <w:ind w:left="280" w:hanging="277"/>
        <w:spacing w:after="0" w:line="188" w:lineRule="auto"/>
        <w:tabs>
          <w:tab w:leader="none" w:pos="28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Cash proceeds received from BMO.</w:t>
      </w:r>
    </w:p>
    <w:p>
      <w:pPr>
        <w:ind w:left="160" w:hanging="157"/>
        <w:spacing w:after="0" w:line="191" w:lineRule="auto"/>
        <w:tabs>
          <w:tab w:leader="none" w:pos="16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Reflected in other expense, net in our condensed consolidated statement of operations.</w:t>
      </w:r>
    </w:p>
    <w:p>
      <w:pPr>
        <w:spacing w:after="0" w:line="222"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As of June 30, 2024 and December 31, 2023, cash remaining to be collected on behalf of BMO was $53.1 million and $75.9 million, respectively, which has been removed from our condensed consolidated balance sheets as of June 30, 2024 and December 31, 2023, respectively and is reflected as cash provided by operating activities in the condensed consolidated statement of cash flows in each respective period. The carrying value of the sold receivables approximated the fair value at June 30, 2024.</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Management’s Discussion and Analysis of Financial Condition and Results of Operations</w:t>
      </w:r>
    </w:p>
    <w:p>
      <w:pPr>
        <w:spacing w:after="0" w:line="217"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2023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section and Part I, Item 1A. “Risk Factors” in our 2023 Annual Report on Form 10-K.</w:t>
      </w:r>
    </w:p>
    <w:p>
      <w:pPr>
        <w:spacing w:after="0" w:line="168" w:lineRule="exact"/>
        <w:rPr>
          <w:sz w:val="20"/>
          <w:szCs w:val="20"/>
          <w:color w:val="auto"/>
        </w:rPr>
      </w:pPr>
    </w:p>
    <w:p>
      <w:pPr>
        <w:ind w:right="380" w:firstLine="172"/>
        <w:spacing w:after="0" w:line="292" w:lineRule="auto"/>
        <w:rPr>
          <w:sz w:val="20"/>
          <w:szCs w:val="20"/>
          <w:color w:val="auto"/>
        </w:rPr>
      </w:pPr>
      <w:r>
        <w:rPr>
          <w:rFonts w:ascii="Times New Roman" w:cs="Times New Roman" w:eastAsia="Times New Roman" w:hAnsi="Times New Roman"/>
          <w:sz w:val="17"/>
          <w:szCs w:val="17"/>
          <w:i w:val="1"/>
          <w:iCs w:val="1"/>
          <w:color w:val="auto"/>
        </w:rPr>
        <w:t>When used in this report, the terms “we,” “us,” and “our” refer to ICU Medical, Inc. ("ICU") and its consolidated subsidiaries included in our condensed consolidated financial statements unless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 and Highlights</w:t>
      </w:r>
    </w:p>
    <w:p>
      <w:pPr>
        <w:spacing w:after="0" w:line="234"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247"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Our primary product offerings are organized under three business units as listed below. We have presented our financial results in accordance with these business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Consumables business unit includes Infusion Therapy, Oncology, Vascular Access and Tracheostomy products.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Infusion Therapy</w:t>
      </w:r>
    </w:p>
    <w:p>
      <w:pPr>
        <w:spacing w:after="0" w:line="24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spacing w:after="0" w:line="197" w:lineRule="exact"/>
        <w:rPr>
          <w:sz w:val="20"/>
          <w:szCs w:val="20"/>
          <w:color w:val="auto"/>
        </w:rPr>
      </w:pPr>
    </w:p>
    <w:p>
      <w:pPr>
        <w:ind w:left="1240" w:right="240" w:hanging="309"/>
        <w:spacing w:after="0" w:line="287" w:lineRule="auto"/>
        <w:tabs>
          <w:tab w:leader="none" w:pos="12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Clave™ needlefree products, including the MicroClave, MicroClave Clear, and NanoClave™ brand of connectors, accessories, extension and administration sets used for the administration of IV fluids and medications;</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Neutron™ catheter patency device, used to help maintain patency of central venous catheters;</w:t>
      </w:r>
    </w:p>
    <w:p>
      <w:pPr>
        <w:spacing w:after="0" w:line="26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Tego™ needlefree connector utilized to access catheters for hemodialysis and apheresis applications; and</w:t>
      </w:r>
    </w:p>
    <w:p>
      <w:pPr>
        <w:spacing w:after="0" w:line="215" w:lineRule="exact"/>
        <w:rPr>
          <w:rFonts w:ascii="Arial" w:cs="Arial" w:eastAsia="Arial" w:hAnsi="Arial"/>
          <w:sz w:val="21"/>
          <w:szCs w:val="21"/>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ClearGuard™, SwabCap™ and SwabTip™ disinfection caps.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Oncology</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spacing w:after="0" w:line="172" w:lineRule="exact"/>
        <w:rPr>
          <w:sz w:val="20"/>
          <w:szCs w:val="20"/>
          <w:color w:val="auto"/>
        </w:rPr>
      </w:pPr>
    </w:p>
    <w:p>
      <w:pPr>
        <w:ind w:left="1240" w:right="260" w:hanging="309"/>
        <w:spacing w:after="0" w:line="232"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ChemoLock</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CSTD, which utilizes a proprietary needlefree connection method, is used for the preparation and administration of hazardous drugs. ChemoLock is used to limit the escape of hazardous drug or vapor</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concentrations, block the transfer of environmental contaminants into the system, and eliminates the risk of needlestick injury;</w:t>
      </w:r>
    </w:p>
    <w:p>
      <w:pPr>
        <w:spacing w:after="0" w:line="238" w:lineRule="exact"/>
        <w:rPr>
          <w:sz w:val="20"/>
          <w:szCs w:val="20"/>
          <w:color w:val="auto"/>
        </w:rPr>
      </w:pPr>
    </w:p>
    <w:p>
      <w:pPr>
        <w:ind w:left="1240" w:right="60" w:hanging="309"/>
        <w:spacing w:after="0" w:line="242"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ChemoClave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Deltec® GRIPPER® non-coring needles for portal access.</w:t>
      </w:r>
    </w:p>
    <w:p>
      <w:pPr>
        <w:spacing w:after="0" w:line="24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Vascular Access</w:t>
      </w:r>
    </w:p>
    <w:p>
      <w:pPr>
        <w:spacing w:after="0" w:line="24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Our Vascular Access products are used by clinicians to access the patients' bloodstream to deliver fluids and medication or to obtain blood samples. Our primary Vascular Access products are:</w:t>
      </w:r>
    </w:p>
    <w:p>
      <w:pPr>
        <w:spacing w:after="0" w:line="177" w:lineRule="exact"/>
        <w:rPr>
          <w:sz w:val="20"/>
          <w:szCs w:val="20"/>
          <w:color w:val="auto"/>
        </w:rPr>
      </w:pPr>
    </w:p>
    <w:p>
      <w:pPr>
        <w:ind w:left="1240" w:right="120" w:hanging="309"/>
        <w:spacing w:after="0" w:line="287" w:lineRule="auto"/>
        <w:tabs>
          <w:tab w:leader="none" w:pos="12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Jelco® safety and conventional peripheral IV catheters and sharps safety devices for hypodermic injection, designed to help prevent accidental needlestick injury;</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 Wing® venipuncture and blood collection devices;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Port-A-Cath® implantable ports;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arterial blood sampling syringes;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PowerWand® midline catheters; and</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Cleo® subcutaneous infusion catheters and sets.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Tracheostomy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tracheostomy products are used in the placement of a secure airway using both surgical and percutaneous insertion techniques. Our primary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Tracheostomy products are:</w:t>
      </w:r>
    </w:p>
    <w:p>
      <w:pPr>
        <w:spacing w:after="0" w:line="226" w:lineRule="exact"/>
        <w:rPr>
          <w:sz w:val="20"/>
          <w:szCs w:val="20"/>
          <w:color w:val="auto"/>
        </w:rPr>
      </w:pPr>
    </w:p>
    <w:p>
      <w:pPr>
        <w:ind w:left="1240" w:right="220" w:hanging="309"/>
        <w:spacing w:after="0" w:line="287"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BLUselect® PVC tracheostomy tubes, which feature an inner cannula as well as a Suctionaid option for above the cuff suctioning and vocalization capability;</w:t>
      </w:r>
    </w:p>
    <w:p>
      <w:pPr>
        <w:spacing w:after="0" w:line="177" w:lineRule="exact"/>
        <w:rPr>
          <w:rFonts w:ascii="Times New Roman" w:cs="Times New Roman" w:eastAsia="Times New Roman" w:hAnsi="Times New Roman"/>
          <w:sz w:val="17"/>
          <w:szCs w:val="17"/>
          <w:color w:val="auto"/>
        </w:rPr>
      </w:pPr>
    </w:p>
    <w:p>
      <w:pPr>
        <w:ind w:left="1240" w:right="260" w:hanging="309"/>
        <w:spacing w:after="0" w:line="287"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Bivona® silicone tracheostomy tubes, which offer the added benefits of comfort and mobility and come in a variety of configurations suited to meet the clinical needs of neonatal through adult patients; and</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BLUperc® percutaneous insertion kits, which allow for safe placement of the tracheostomy tube at the bedside.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a comprehensive portfolio of infusion pumps, dedicated IV sets, software and professional services to meet the wide range of infusion needs.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Infusion System products are: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Large Volume Pump ("LVP") Hardware:</w:t>
      </w:r>
    </w:p>
    <w:p>
      <w:pPr>
        <w:spacing w:after="0" w:line="247" w:lineRule="exact"/>
        <w:rPr>
          <w:sz w:val="20"/>
          <w:szCs w:val="20"/>
          <w:color w:val="auto"/>
        </w:rPr>
      </w:pPr>
    </w:p>
    <w:p>
      <w:pPr>
        <w:ind w:left="1240" w:hanging="309"/>
        <w:spacing w:after="0" w:line="287" w:lineRule="auto"/>
        <w:tabs>
          <w:tab w:leader="none" w:pos="12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 360™infusion pumps feature a unique delivery system that helps to enhance patient safety and workflow efficiency. The pumps work with PlumSet™ dedicated IV sets that include an air trap to help</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right="60"/>
        <w:spacing w:after="0" w:line="264" w:lineRule="auto"/>
        <w:rPr>
          <w:sz w:val="20"/>
          <w:szCs w:val="20"/>
          <w:color w:val="auto"/>
        </w:rPr>
      </w:pPr>
      <w:r>
        <w:rPr>
          <w:rFonts w:ascii="Times New Roman" w:cs="Times New Roman" w:eastAsia="Times New Roman" w:hAnsi="Times New Roman"/>
          <w:sz w:val="17"/>
          <w:szCs w:val="17"/>
          <w:color w:val="auto"/>
        </w:rPr>
        <w:t>minimize interruptions and a direct connection to the secondary line that eliminates the risk of setup errors and enables concurrent delivery of two compatible medications through a single line. Plum 360 has been named Best in KLAS for seven years in a row (2018, 2019, 2020, 2023 – Best in KLAS Smart Pump Traditional; 2021, 2022, 2023, 2024 Best in KLAS Smart Pump EMR Integrated) and was the first medical device to be awarded UL Cybersecurity Assurance Program Certification.</w:t>
      </w:r>
    </w:p>
    <w:p>
      <w:pPr>
        <w:spacing w:after="0" w:line="197" w:lineRule="exact"/>
        <w:rPr>
          <w:sz w:val="20"/>
          <w:szCs w:val="20"/>
          <w:color w:val="auto"/>
        </w:rPr>
      </w:pPr>
    </w:p>
    <w:p>
      <w:pPr>
        <w:ind w:left="1240" w:right="40" w:hanging="309"/>
        <w:spacing w:after="0" w:line="270"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 Duo™ infusion pumps with LifeShield™ safety software are dual channel devices capable of delivering up to four compatible medications at independent rates with a single pump. The Plum Duo combines the award-winning legacy of Plum 360 with modern innovation, including a large touch screen and highly intuitive user interface to help guide users through programming, while streamlining complex tasks.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Ambulatory Infusion Hardware:</w:t>
      </w:r>
    </w:p>
    <w:p>
      <w:pPr>
        <w:spacing w:after="0" w:line="247" w:lineRule="exact"/>
        <w:rPr>
          <w:sz w:val="20"/>
          <w:szCs w:val="20"/>
          <w:color w:val="auto"/>
        </w:rPr>
      </w:pPr>
    </w:p>
    <w:p>
      <w:pPr>
        <w:ind w:left="1240" w:right="280" w:hanging="309"/>
        <w:spacing w:after="0" w:line="287" w:lineRule="auto"/>
        <w:tabs>
          <w:tab w:leader="none" w:pos="12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Syringe Infusion Hardware:</w:t>
      </w:r>
    </w:p>
    <w:p>
      <w:pPr>
        <w:spacing w:after="0" w:line="247" w:lineRule="exact"/>
        <w:rPr>
          <w:sz w:val="20"/>
          <w:szCs w:val="20"/>
          <w:color w:val="auto"/>
        </w:rPr>
      </w:pPr>
    </w:p>
    <w:p>
      <w:pPr>
        <w:ind w:left="1240" w:right="280" w:hanging="309"/>
        <w:spacing w:after="0" w:line="270" w:lineRule="auto"/>
        <w:tabs>
          <w:tab w:leader="none" w:pos="12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IV Medication Safety Software:</w:t>
      </w:r>
    </w:p>
    <w:p>
      <w:pPr>
        <w:spacing w:after="0" w:line="247" w:lineRule="exact"/>
        <w:rPr>
          <w:sz w:val="20"/>
          <w:szCs w:val="20"/>
          <w:color w:val="auto"/>
        </w:rPr>
      </w:pPr>
    </w:p>
    <w:p>
      <w:pPr>
        <w:ind w:left="1240" w:hanging="309"/>
        <w:spacing w:after="0" w:line="270"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EHR, asset tracking systems, and alarm notification platforms to further enhance infusion safety and efficiency.</w:t>
      </w:r>
    </w:p>
    <w:p>
      <w:pPr>
        <w:spacing w:after="0" w:line="191" w:lineRule="exact"/>
        <w:rPr>
          <w:rFonts w:ascii="Times New Roman" w:cs="Times New Roman" w:eastAsia="Times New Roman" w:hAnsi="Times New Roman"/>
          <w:sz w:val="17"/>
          <w:szCs w:val="17"/>
          <w:color w:val="auto"/>
        </w:rPr>
      </w:pPr>
    </w:p>
    <w:p>
      <w:pPr>
        <w:ind w:left="1240" w:right="120" w:hanging="309"/>
        <w:spacing w:after="0" w:line="270"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LifeShield™ infusion safety software for Plum Duo infusion pumps is an enterprise-wide platform designed with the input of pharmacists, nurses and administrators to empower health systems to raise the bar in IV performance. The system’s hybrid architecture provides cloud-based functionality to allowing access anywhere with on-premise management providing security and control.</w:t>
      </w:r>
    </w:p>
    <w:p>
      <w:pPr>
        <w:spacing w:after="0" w:line="191" w:lineRule="exact"/>
        <w:rPr>
          <w:rFonts w:ascii="Times New Roman" w:cs="Times New Roman" w:eastAsia="Times New Roman" w:hAnsi="Times New Roman"/>
          <w:sz w:val="17"/>
          <w:szCs w:val="17"/>
          <w:color w:val="auto"/>
        </w:rPr>
      </w:pPr>
    </w:p>
    <w:p>
      <w:pPr>
        <w:ind w:left="1240" w:right="500" w:hanging="309"/>
        <w:spacing w:after="0" w:line="287"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PharmGuard™ medication safety software for Medfusion 4000 syringe and CADD-Solis™ pumps allows for customized drug libraries to support the standardization of protocols for medication administration throughout the facility.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247"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In addition to the products above, our teams of clinical and technical experts work with customers to develop safe and efficient infusion systems, providing customized and personalized configuration, implementation, and data analytics services to optimize our infusion hardware and software.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w:t>
      </w:r>
    </w:p>
    <w:p>
      <w:pPr>
        <w:spacing w:after="0" w:line="249"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Our Vital Care business unit includes IV Solutions, Hemodynamic Monitoring, General Anesthesia and Respiratory, Temperature Management Solutions and Regional Anesthesia/Pain Management products.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IV Solutions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IV Solutions products include a broad portfolio of injection, irrigation, nutrition and specialty IV solutions including:</w:t>
      </w:r>
    </w:p>
    <w:p>
      <w:pPr>
        <w:spacing w:after="0" w:line="243" w:lineRule="exact"/>
        <w:rPr>
          <w:sz w:val="20"/>
          <w:szCs w:val="20"/>
          <w:color w:val="auto"/>
        </w:rPr>
      </w:pPr>
    </w:p>
    <w:p>
      <w:pPr>
        <w:ind w:left="620" w:right="140" w:firstLine="311"/>
        <w:spacing w:after="0" w:line="287" w:lineRule="auto"/>
        <w:tabs>
          <w:tab w:leader="none" w:pos="1234"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IV Therapy and Diluents, including Sodium Chloride, Dextrose, Balanced Electrolyte Solutions, Lactated Ringer's, Ringer's, Mannitol, Sodium Chloride/Dextrose and Sterile Water.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right="440" w:firstLine="311"/>
        <w:spacing w:after="0" w:line="287" w:lineRule="auto"/>
        <w:tabs>
          <w:tab w:leader="none" w:pos="123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Irrigation, including Sodium Chloride Irrigation, Sterile Water Irrigation, Physiologic Solutions, Ringer's Irrigation, Acetic Acid Irrigation, Glycine Irrigation, Sorbitol-Mannitol Irrigation, Flexible Containers and Pour Bottle Options.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Hemodynamic Monitoring</w:t>
      </w:r>
    </w:p>
    <w:p>
      <w:pPr>
        <w:spacing w:after="0" w:line="247"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spacing w:after="0" w:line="191" w:lineRule="exact"/>
        <w:rPr>
          <w:sz w:val="20"/>
          <w:szCs w:val="20"/>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Cogent™ 2-in-1 hemodynamic monitoring system;</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CardioFlo™ hemodynamic monitoring system;</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TDQ™ and OptiQ™ cardiac output monitoring catheters;</w:t>
      </w:r>
    </w:p>
    <w:p>
      <w:pPr>
        <w:spacing w:after="0" w:line="10" w:lineRule="exact"/>
        <w:rPr>
          <w:rFonts w:ascii="Times New Roman" w:cs="Times New Roman" w:eastAsia="Times New Roman" w:hAnsi="Times New Roman"/>
          <w:sz w:val="17"/>
          <w:szCs w:val="17"/>
          <w:color w:val="auto"/>
        </w:rPr>
      </w:pPr>
    </w:p>
    <w:p>
      <w:pPr>
        <w:ind w:left="1240" w:hanging="309"/>
        <w:spacing w:after="0" w:line="196"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TriOx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venous oximetry catheters;</w:t>
      </w: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Transpac™ blood pressure transducers;</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SafeSet™ closed blood sampling and conservation system;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MEDEX® LogiCal® Pressure Monitoring System and components.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General Anesthesia &amp; Respiratory</w:t>
      </w:r>
    </w:p>
    <w:p>
      <w:pPr>
        <w:spacing w:after="0" w:line="247"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We offer a broad range of anesthesia systems and devices and breathing circuits, ventilation, respiratory and specialty airway products that maintain patients’ airways before, during and after surgery. Our primary Anesthesia &amp; Respiratory products are:</w:t>
      </w:r>
    </w:p>
    <w:p>
      <w:pPr>
        <w:spacing w:after="0" w:line="177" w:lineRule="exact"/>
        <w:rPr>
          <w:sz w:val="20"/>
          <w:szCs w:val="20"/>
          <w:color w:val="auto"/>
        </w:rPr>
      </w:pPr>
    </w:p>
    <w:p>
      <w:pPr>
        <w:ind w:left="1240" w:right="520" w:hanging="309"/>
        <w:spacing w:after="0" w:line="287" w:lineRule="auto"/>
        <w:tabs>
          <w:tab w:leader="none" w:pos="12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acapella® bronchial hygiene products used to mobilize pulmonary secretions to facilitate the opening of airways in patients with chronic respiratory diseases such as chronic obstructive pulmonary disease, or COPD, asthma and cystic fibrosis.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Temperature Management Solutions</w:t>
      </w:r>
    </w:p>
    <w:p>
      <w:pPr>
        <w:spacing w:after="0" w:line="247"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Temperature Management solutions systems are used in perioperative and critical care settings to help monitor and regulate patient temperature. Our primary Temperature Management products include:</w:t>
      </w:r>
    </w:p>
    <w:p>
      <w:pPr>
        <w:spacing w:after="0" w:line="177" w:lineRule="exact"/>
        <w:rPr>
          <w:sz w:val="20"/>
          <w:szCs w:val="20"/>
          <w:color w:val="auto"/>
        </w:rPr>
      </w:pPr>
    </w:p>
    <w:p>
      <w:pPr>
        <w:ind w:left="1240" w:right="60" w:hanging="309"/>
        <w:spacing w:after="0" w:line="287" w:lineRule="auto"/>
        <w:tabs>
          <w:tab w:leader="none" w:pos="12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rapid infusion, fluid warming, routine blood and fluid warming, irrigation fluid warming, convective patient warming and temperature probes.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Regional Anesthesia/Pain Management Trays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a comprehensive range of Portex® regional anesthesia/pain management trays and components. Our primary products include:</w:t>
      </w:r>
    </w:p>
    <w:p>
      <w:pPr>
        <w:spacing w:after="0" w:line="230" w:lineRule="exact"/>
        <w:rPr>
          <w:sz w:val="20"/>
          <w:szCs w:val="20"/>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Epidural Trays;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Spinal Trays;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(CSE) Trays;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Peripheral Nerve Block Trays;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Specialty Trays (Lumbar Puncture, Amniocentesis, Myelogram).</w:t>
      </w:r>
    </w:p>
    <w:p>
      <w:pPr>
        <w:spacing w:after="0" w:line="226"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Constraints, Global Economic Conditions</w:t>
      </w:r>
    </w:p>
    <w:p>
      <w:pPr>
        <w:spacing w:after="0" w:line="234"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We have experienced and may continue to experience significant impacts to our business as a result of global economic challenges, resulting from, among other events, health pandemics and geopolitical conflicts. These impacts, which</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7"/>
          <w:szCs w:val="17"/>
          <w:color w:val="auto"/>
        </w:rPr>
        <w:t>negatively impacted our gross profit margin during 2023, included the impact of rising inflation, especially with respect to freight costs driven by higher fuel prices, increased cost and shortages of raw materials, and supply chain disruptions. While we expect the pressure on the supply chain to lessen and inflation to continue to subside during 2024, freight costs are expected to remain subject to volatility in the market. We also expect higher interest rates and the foreign currency impact due to the strengthening of the U.S. dollar and Mexican peso that impacted our 2023 financial results to continue to impact our results of operations in 2024.</w:t>
      </w:r>
    </w:p>
    <w:p>
      <w:pPr>
        <w:spacing w:after="0" w:line="201" w:lineRule="exact"/>
        <w:rPr>
          <w:sz w:val="20"/>
          <w:szCs w:val="20"/>
          <w:color w:val="auto"/>
        </w:rPr>
      </w:pPr>
    </w:p>
    <w:p>
      <w:pPr>
        <w:ind w:right="160" w:firstLine="619"/>
        <w:spacing w:after="0" w:line="241" w:lineRule="auto"/>
        <w:rPr>
          <w:sz w:val="20"/>
          <w:szCs w:val="20"/>
          <w:color w:val="auto"/>
        </w:rPr>
      </w:pPr>
      <w:r>
        <w:rPr>
          <w:rFonts w:ascii="Times New Roman" w:cs="Times New Roman" w:eastAsia="Times New Roman" w:hAnsi="Times New Roman"/>
          <w:sz w:val="17"/>
          <w:szCs w:val="17"/>
          <w:color w:val="auto"/>
        </w:rPr>
        <w:t>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Heightened inflation, higher interest rates and foreign currency rate fluctuations as a result of global macroeconomic and geopolitical conditions have had and could in the future have a material adverse effect on our operations” in our 2023 Annual Report on Form 10-K for a discussion of risks and uncertainties.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47" w:lineRule="exact"/>
        <w:rPr>
          <w:sz w:val="20"/>
          <w:szCs w:val="20"/>
          <w:color w:val="auto"/>
        </w:rPr>
      </w:pPr>
    </w:p>
    <w:p>
      <w:pPr>
        <w:ind w:right="260" w:firstLine="169"/>
        <w:spacing w:after="0" w:line="287" w:lineRule="auto"/>
        <w:rPr>
          <w:sz w:val="20"/>
          <w:szCs w:val="20"/>
          <w:color w:val="auto"/>
        </w:rPr>
      </w:pPr>
      <w:r>
        <w:rPr>
          <w:rFonts w:ascii="Times New Roman" w:cs="Times New Roman" w:eastAsia="Times New Roman" w:hAnsi="Times New Roman"/>
          <w:sz w:val="17"/>
          <w:szCs w:val="17"/>
          <w:color w:val="auto"/>
        </w:rPr>
        <w:t>We present income statement data in Part I, Item 1. "Financial Statements." The following table shows, for the three and six months ended June 30, 2024 and 2023, the percentages of each income statement caption in relation to total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7"/>
                <w:szCs w:val="17"/>
                <w:color w:val="auto"/>
              </w:rPr>
            </w:pPr>
          </w:p>
        </w:tc>
        <w:tc>
          <w:tcPr>
            <w:tcW w:w="2460" w:type="dxa"/>
            <w:vAlign w:val="bottom"/>
            <w:gridSpan w:val="4"/>
          </w:tcPr>
          <w:p>
            <w:pPr>
              <w:jc w:val="center"/>
              <w:ind w:left="3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0"/>
        </w:trPr>
        <w:tc>
          <w:tcPr>
            <w:tcW w:w="5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gridSpan w:val="3"/>
          </w:tcPr>
          <w:p>
            <w:pPr>
              <w:jc w:val="center"/>
              <w:ind w:left="93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20" w:type="dxa"/>
            <w:vAlign w:val="bottom"/>
            <w:tcBorders>
              <w:bottom w:val="single" w:sz="8" w:color="auto"/>
            </w:tcBorders>
          </w:tcPr>
          <w:p>
            <w:pPr>
              <w:spacing w:after="0"/>
              <w:rPr>
                <w:sz w:val="19"/>
                <w:szCs w:val="19"/>
                <w:color w:val="auto"/>
              </w:rPr>
            </w:pPr>
          </w:p>
        </w:tc>
      </w:tr>
      <w:tr>
        <w:trPr>
          <w:trHeight w:val="215"/>
        </w:trPr>
        <w:tc>
          <w:tcPr>
            <w:tcW w:w="5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1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19"/>
        </w:trPr>
        <w:tc>
          <w:tcPr>
            <w:tcW w:w="6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19"/>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9"/>
        </w:trPr>
        <w:tc>
          <w:tcPr>
            <w:tcW w:w="6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 expenses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19"/>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9"/>
                <w:szCs w:val="19"/>
                <w:color w:val="auto"/>
              </w:rPr>
            </w:pPr>
          </w:p>
        </w:tc>
        <w:tc>
          <w:tcPr>
            <w:tcW w:w="19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9"/>
        </w:trPr>
        <w:tc>
          <w:tcPr>
            <w:tcW w:w="6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expense, net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9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Benefit for income taxes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32"/>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Seasonality/Quarterly Results</w:t>
      </w:r>
    </w:p>
    <w:p>
      <w:pPr>
        <w:spacing w:after="0" w:line="24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223"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Consumables revenue (in millions,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Consumables revenue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237.0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10.5 %</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473.1</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32.8</w:t>
            </w:r>
          </w:p>
        </w:tc>
        <w:tc>
          <w:tcPr>
            <w:tcW w:w="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Impact of foreign currency exchange rate changes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4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Consumables revenue on a constant currency basis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263.6</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237.0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11.2 %</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507.9</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473.1</w:t>
            </w:r>
          </w:p>
        </w:tc>
        <w:tc>
          <w:tcPr>
            <w:tcW w:w="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34.8</w:t>
            </w:r>
          </w:p>
        </w:tc>
        <w:tc>
          <w:tcPr>
            <w:tcW w:w="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(non-GAAP)</w:t>
            </w:r>
          </w:p>
        </w:tc>
        <w:tc>
          <w:tcPr>
            <w:tcW w:w="16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Consumables revenue increased for the three and six months ended June 30, 2024, as compared to the same periods in the prior year, primarily due to growth in our Infusion Consumables, Vascular Access and Oncology product 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Infusion Systems revenue (in millions,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Infusion Systems (GAAP)</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Impact of foreign currency exchange rate changes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Infusion Systems on a constant currency basis</w:t>
            </w: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153.2</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332.1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17.2</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0" w:type="dxa"/>
            <w:vAlign w:val="bottom"/>
          </w:tcPr>
          <w:p>
            <w:pPr>
              <w:spacing w:after="0"/>
              <w:rPr>
                <w:sz w:val="1"/>
                <w:szCs w:val="1"/>
                <w:color w:val="auto"/>
              </w:rPr>
            </w:pPr>
          </w:p>
        </w:tc>
      </w:tr>
      <w:tr>
        <w:trPr>
          <w:trHeight w:val="20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(non-GAAP)</w:t>
            </w:r>
          </w:p>
        </w:tc>
        <w:tc>
          <w:tcPr>
            <w:tcW w:w="1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Infusion Systems revenue increased for the three and six months ended June 30, 2024, as compared to the same periods in the prior year, primarily due to the impact of foreign currency exchange rate changes and sales of ambulatory hardware and dedicated 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Vital Care revenue (in millions,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2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Vital Care (GAAP)</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330.0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0" w:type="dxa"/>
            <w:vAlign w:val="bottom"/>
          </w:tcPr>
          <w:p>
            <w:pPr>
              <w:spacing w:after="0"/>
              <w:rPr>
                <w:sz w:val="1"/>
                <w:szCs w:val="1"/>
                <w:color w:val="auto"/>
              </w:rPr>
            </w:pPr>
          </w:p>
        </w:tc>
      </w:tr>
      <w:tr>
        <w:trPr>
          <w:trHeight w:val="156"/>
        </w:trPr>
        <w:tc>
          <w:tcPr>
            <w:tcW w:w="30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Impact of foreign currency exchange rate</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w:t>
            </w: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0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Vital Care on a constant currency basis (non-</w:t>
            </w: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330.0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GAAP)</w:t>
            </w:r>
          </w:p>
        </w:tc>
        <w:tc>
          <w:tcPr>
            <w:tcW w:w="2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Vital Care revenue increased for the three and six months ended June 30, 2024, as compared to the same periods in the prior year, primarily due to higher sales of IV Solutions and Pain Management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Margins</w:t>
      </w:r>
    </w:p>
    <w:p>
      <w:pPr>
        <w:spacing w:after="0" w:line="236" w:lineRule="exact"/>
        <w:rPr>
          <w:sz w:val="20"/>
          <w:szCs w:val="20"/>
          <w:color w:val="auto"/>
        </w:rPr>
      </w:pPr>
    </w:p>
    <w:p>
      <w:pPr>
        <w:ind w:right="40" w:firstLine="172"/>
        <w:spacing w:after="0" w:line="248" w:lineRule="auto"/>
        <w:rPr>
          <w:sz w:val="20"/>
          <w:szCs w:val="20"/>
          <w:color w:val="auto"/>
        </w:rPr>
      </w:pPr>
      <w:r>
        <w:rPr>
          <w:rFonts w:ascii="Times New Roman" w:cs="Times New Roman" w:eastAsia="Times New Roman" w:hAnsi="Times New Roman"/>
          <w:sz w:val="17"/>
          <w:szCs w:val="17"/>
          <w:color w:val="auto"/>
        </w:rPr>
        <w:t>For the three and six months ended June 30, 2024, gross margins were 34.8% and 33.8%, respectively, as compared to 35.0% and 34.4% for the three and six months ended June 30, 2023, respectively. The decreases in gross margin for the three and six months ended June 30, 2024, as compared to the same periods in the prior year, was primarily driven by lower manufacturing absorption from lower production volumes and the impact of foreign currency exchange rate changes, particularly the strength of the Mexican Peso. These were partially offset by lower quality remediation spend, price increases,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lower supply chain and freight costs in the three and six months ended June 30, 2024 compared to the same prior year period in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SG&amp;A Expenses (in millions, except percentages):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0" w:type="dxa"/>
            <w:vAlign w:val="bottom"/>
          </w:tcPr>
          <w:p>
            <w:pPr>
              <w:spacing w:after="0"/>
              <w:rPr>
                <w:sz w:val="15"/>
                <w:szCs w:val="15"/>
                <w:color w:val="auto"/>
              </w:rPr>
            </w:pPr>
          </w:p>
        </w:tc>
      </w:tr>
      <w:tr>
        <w:trPr>
          <w:trHeight w:val="205"/>
        </w:trPr>
        <w:tc>
          <w:tcPr>
            <w:tcW w:w="1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200" w:type="dxa"/>
            <w:vAlign w:val="bottom"/>
            <w:tcBorders>
              <w:bottom w:val="single" w:sz="8" w:color="auto"/>
            </w:tcBorders>
          </w:tcPr>
          <w:p>
            <w:pPr>
              <w:spacing w:after="0"/>
              <w:rPr>
                <w:sz w:val="17"/>
                <w:szCs w:val="17"/>
                <w:color w:val="auto"/>
              </w:rPr>
            </w:pPr>
          </w:p>
        </w:tc>
      </w:tr>
      <w:tr>
        <w:trPr>
          <w:trHeight w:val="199"/>
        </w:trPr>
        <w:tc>
          <w:tcPr>
            <w:tcW w:w="1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5.7 %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4.5 %</w:t>
            </w:r>
          </w:p>
        </w:tc>
      </w:tr>
    </w:tbl>
    <w:p>
      <w:pPr>
        <w:spacing w:after="0" w:line="267"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SG&amp;A expenses increased for the three months ended June 30, 2024, as compared to the same period in the prior year, primarily due to increases of $6.2 million in compensation costs and $2.4 million in sales commissions. Compensation costs and commissions increased primarily due to an increase in accrued cash incentive compensation and sales commissions.</w:t>
      </w:r>
    </w:p>
    <w:p>
      <w:pPr>
        <w:spacing w:after="0" w:line="191"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SG&amp;A expenses increased for the six months ended June 30, 2024, as compared to the same period in the prior year primarily due to increase of $8.7 million in compensation costs, $3.6 million in dealer fees, and $3.5 million in stock-based compensation. Partially offsetting these increases was a $2.8 million decrease in IT expenses. Compensation costs and commissions increased primarily due to an increase in accrued cash incentive compensation and sales commissions increased due to higher revenues. Dealer fees increased due to an increase in revenues to distributors. Stock based compensation increased due to (i) changes in the number of shares expected to vest for certain of our executive performance awards; (ii) later timing of certain annual awards granted in the prior year that were subject to shareholder approval; and (iii) the stock compensation expense related to the employees of Smiths Medical included the expense of three years of grants in the current year as compared to the expense of two years of grants in the prior year. IT expenses decreased based on current operating needs.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(“R&amp;D”)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R&amp;D Expenses (in millions, except percentages):</w:t>
      </w:r>
    </w:p>
    <w:p>
      <w:pPr>
        <w:spacing w:after="0" w:line="125"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0" w:type="dxa"/>
            <w:vAlign w:val="bottom"/>
          </w:tcPr>
          <w:p>
            <w:pPr>
              <w:spacing w:after="0"/>
              <w:rPr>
                <w:sz w:val="15"/>
                <w:szCs w:val="15"/>
                <w:color w:val="auto"/>
              </w:rPr>
            </w:pPr>
          </w:p>
        </w:tc>
      </w:tr>
      <w:tr>
        <w:trPr>
          <w:trHeight w:val="205"/>
        </w:trPr>
        <w:tc>
          <w:tcPr>
            <w:tcW w:w="1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200" w:type="dxa"/>
            <w:vAlign w:val="bottom"/>
            <w:tcBorders>
              <w:bottom w:val="single" w:sz="8" w:color="auto"/>
            </w:tcBorders>
          </w:tcPr>
          <w:p>
            <w:pPr>
              <w:spacing w:after="0"/>
              <w:rPr>
                <w:sz w:val="17"/>
                <w:szCs w:val="17"/>
                <w:color w:val="auto"/>
              </w:rPr>
            </w:pPr>
          </w:p>
        </w:tc>
      </w:tr>
      <w:tr>
        <w:trPr>
          <w:trHeight w:val="199"/>
        </w:trPr>
        <w:tc>
          <w:tcPr>
            <w:tcW w:w="1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R&amp;D</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4.9 %  $</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r>
    </w:tbl>
    <w:p>
      <w:pPr>
        <w:spacing w:after="0" w:line="280"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R&amp;D expenses increased for the three and six months ended June 30, 2024, as compared to the same periods in the prior year. R&amp;D expenses during both periods primarily related to headcount and employment expense in support of ongoing R&amp;D projects. R&amp;D expenses for both periods presented generally included compensation and benefit expenses, consulting fees, production supplies, samples, travel costs, utilities and other miscellaneous administrative costs incurred in our ongoing R&amp;D projects.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Strategic Transaction and Integration Expenses</w:t>
      </w:r>
    </w:p>
    <w:p>
      <w:pPr>
        <w:spacing w:after="0" w:line="249" w:lineRule="exact"/>
        <w:rPr>
          <w:sz w:val="20"/>
          <w:szCs w:val="20"/>
          <w:color w:val="auto"/>
        </w:rPr>
      </w:pPr>
    </w:p>
    <w:p>
      <w:pPr>
        <w:ind w:right="84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$17.1 million and $33.2 million for the three and six months ended June 30, 2024, respectively, as compared to $12.4 million and $23.4 million for the three and six months ended June 30,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247" w:lineRule="exact"/>
        <w:rPr>
          <w:sz w:val="20"/>
          <w:szCs w:val="20"/>
          <w:color w:val="auto"/>
        </w:rPr>
      </w:pPr>
    </w:p>
    <w:p>
      <w:pPr>
        <w:ind w:right="60" w:firstLine="172"/>
        <w:spacing w:after="0" w:line="264" w:lineRule="auto"/>
        <w:rPr>
          <w:sz w:val="20"/>
          <w:szCs w:val="20"/>
          <w:color w:val="auto"/>
        </w:rPr>
      </w:pPr>
      <w:r>
        <w:rPr>
          <w:rFonts w:ascii="Times New Roman" w:cs="Times New Roman" w:eastAsia="Times New Roman" w:hAnsi="Times New Roman"/>
          <w:sz w:val="17"/>
          <w:szCs w:val="17"/>
          <w:color w:val="auto"/>
        </w:rPr>
        <w:t>Restructuring charges were $7.7 million and $13.0 million for the three and six months ended June 30, 2024, respectively, as compared to $1.3 million and $4.0 million for the three and six months ended June 30, 2023, respectively, and were primarily related to severance costs for all periods. The restructuring charges for the six months ended June 30, 2023 is net of $0.9 million related to facility closures costs and severance costs that were reversed during the first fiscal quarter of 2023. As of June 30, 2024, we expect to pay the majority of our outstanding restructuring charges during the remainder of 2024 and 2025.</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47" w:lineRule="exact"/>
        <w:rPr>
          <w:sz w:val="20"/>
          <w:szCs w:val="20"/>
          <w:color w:val="auto"/>
        </w:rPr>
      </w:pPr>
    </w:p>
    <w:p>
      <w:pPr>
        <w:ind w:right="120" w:firstLine="172"/>
        <w:spacing w:after="0" w:line="264" w:lineRule="auto"/>
        <w:rPr>
          <w:sz w:val="20"/>
          <w:szCs w:val="20"/>
          <w:color w:val="auto"/>
        </w:rPr>
      </w:pPr>
      <w:r>
        <w:rPr>
          <w:rFonts w:ascii="Times New Roman" w:cs="Times New Roman" w:eastAsia="Times New Roman" w:hAnsi="Times New Roman"/>
          <w:sz w:val="17"/>
          <w:szCs w:val="17"/>
          <w:color w:val="auto"/>
        </w:rPr>
        <w:t>Strategic transaction and integration expenses were $9.4 million and $20.2 million for the three and six months ended June 30, 2024, respectively, as compared to $11.1 million and $19.4 million for the three and six months ended June 30, 2023, respectively. The strategic transaction and integration expenses during the three and six months ended June 30, 2024 and 2023 were primarily related to consulting expenses and employee costs incurred to integrate our Smiths Medical business acquired in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Contingent Earn-out</w:t>
      </w:r>
    </w:p>
    <w:p>
      <w:pPr>
        <w:spacing w:after="0" w:line="249"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For the three months ended June 30, 2024, we recorded a gain of $0.3 million related to a change in the fair value of contingent earn-out related to the Smiths Medical acquisition. The change in the fair value of the contingent earn-out during the six months ended June 30, 2024 was essentially flat. For the three and six months ended June 30, 2023, there was a loss of $4.0 million and $3.3 million, respectively, primarily related to the change in fair value of contingent earn-out related to the Smiths Medical acquisition and the earn-out related to an agreement with one of our international distributors.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interest expense, net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20" w:type="dxa"/>
            <w:vAlign w:val="bottom"/>
          </w:tcPr>
          <w:p>
            <w:pPr>
              <w:spacing w:after="0"/>
              <w:rPr>
                <w:sz w:val="17"/>
                <w:szCs w:val="17"/>
                <w:color w:val="auto"/>
              </w:rPr>
            </w:pPr>
          </w:p>
        </w:tc>
        <w:tc>
          <w:tcPr>
            <w:tcW w:w="2500" w:type="dxa"/>
            <w:vAlign w:val="bottom"/>
            <w:gridSpan w:val="4"/>
          </w:tcPr>
          <w:p>
            <w:pPr>
              <w:jc w:val="right"/>
              <w:ind w:right="71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9"/>
        </w:trPr>
        <w:tc>
          <w:tcPr>
            <w:tcW w:w="5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01"/>
        </w:trPr>
        <w:tc>
          <w:tcPr>
            <w:tcW w:w="55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3"/>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(50,099)</w:t>
            </w:r>
          </w:p>
        </w:tc>
      </w:tr>
      <w:tr>
        <w:trPr>
          <w:trHeight w:val="219"/>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3,463</w:t>
            </w:r>
          </w:p>
        </w:tc>
      </w:tr>
      <w:tr>
        <w:trPr>
          <w:trHeight w:val="23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(23,841)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firstLine="172"/>
        <w:spacing w:after="0" w:line="261" w:lineRule="auto"/>
        <w:rPr>
          <w:sz w:val="20"/>
          <w:szCs w:val="20"/>
          <w:color w:val="auto"/>
        </w:rPr>
      </w:pPr>
      <w:r>
        <w:rPr>
          <w:rFonts w:ascii="Times New Roman" w:cs="Times New Roman" w:eastAsia="Times New Roman" w:hAnsi="Times New Roman"/>
          <w:sz w:val="17"/>
          <w:szCs w:val="17"/>
          <w:color w:val="auto"/>
        </w:rPr>
        <w:t>Interest expense, net for the three and six months ended June 30, 2024 and 2023 primarily included the contractual interest incurred on borrowings under the Credit Agreement, the per annum commitment fee charged on the available amount of the revolving credit facility contained in the Credit Agreement, the amortization of debt issuance costs incurred in connection with entering into the Credit Agreement (see Note 16: Long-Term Debt in our accompanying condensed consolidated financial statements), the impact of the interest rate swaps, and interest income. The interest expense component increased for the three and six months ended June 30, 2024, as compared to the respective prior year periods, primarily due to increases in the applicable SOFR reference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other expense, net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320" w:type="dxa"/>
            <w:vAlign w:val="bottom"/>
            <w:gridSpan w:val="4"/>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center"/>
              <w:ind w:right="23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9"/>
        </w:trPr>
        <w:tc>
          <w:tcPr>
            <w:tcW w:w="54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7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01"/>
        </w:trPr>
        <w:tc>
          <w:tcPr>
            <w:tcW w:w="54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3"/>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(losses) gain, net</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(2,419)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19"/>
        </w:trPr>
        <w:tc>
          <w:tcPr>
            <w:tcW w:w="5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(loss) on disposition of assets</w:t>
            </w:r>
          </w:p>
        </w:tc>
        <w:tc>
          <w:tcPr>
            <w:tcW w:w="86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miscellaneous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(3,384)</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(1,502)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(1,771)</w:t>
            </w:r>
          </w:p>
        </w:tc>
      </w:tr>
      <w:tr>
        <w:trPr>
          <w:trHeight w:val="20"/>
        </w:trPr>
        <w:tc>
          <w:tcPr>
            <w:tcW w:w="5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For the three and six months ended, June 30, 2024 and 2023, the foreign exchange losses were primarily related to the strengthening of the U.S. dollar relative to foreign currencies, including the Mexican peso and Argentine peso.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ind w:right="80" w:firstLine="172"/>
        <w:spacing w:after="0" w:line="287" w:lineRule="auto"/>
        <w:rPr>
          <w:sz w:val="20"/>
          <w:szCs w:val="20"/>
          <w:color w:val="auto"/>
        </w:rPr>
      </w:pPr>
      <w:r>
        <w:rPr>
          <w:rFonts w:ascii="Times New Roman" w:cs="Times New Roman" w:eastAsia="Times New Roman" w:hAnsi="Times New Roman"/>
          <w:sz w:val="17"/>
          <w:szCs w:val="17"/>
          <w:color w:val="auto"/>
        </w:rPr>
        <w:t>For the three and six months ended June 30, 2024, income taxes were accrued at an estimated effective tax rate of (10)% and (8)%, respectively, as compared to 57% and 46% for the three and six months ended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firstLine="619"/>
        <w:spacing w:after="0" w:line="256" w:lineRule="auto"/>
        <w:rPr>
          <w:sz w:val="20"/>
          <w:szCs w:val="20"/>
          <w:color w:val="auto"/>
        </w:rPr>
      </w:pPr>
      <w:r>
        <w:rPr>
          <w:rFonts w:ascii="Times New Roman" w:cs="Times New Roman" w:eastAsia="Times New Roman" w:hAnsi="Times New Roman"/>
          <w:sz w:val="17"/>
          <w:szCs w:val="17"/>
          <w:color w:val="auto"/>
        </w:rPr>
        <w:t>The effective tax rate for the three and six months ended June 30, 2024 differs from the federal statutory rate of 21% principally because of the effect of the mix of U.S. and foreign incomes, state income taxes, section 162(m) excess compensation, tax credits, and a valuation allowance against certain U.S. federal and state deferred tax assets. The effective tax rate during the three and six months ended June 30, 2024 included a tax benefit of $0.7 million and $3.0 million, respectively, related to the excess tax recognized on stock option exercises and the vesting of restricted stock during the period. Additionally, there were unrecognized tax benefits released as a result of the expiration of statute of limitations during the three and six months ended June 30, 2024 of $3.9 million and $4.0 million, respectively.</w:t>
      </w:r>
    </w:p>
    <w:p>
      <w:pPr>
        <w:spacing w:after="0" w:line="3"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$10.4 million and $20.5 million tax expense, against certain U.S. federal and state deferred tax assets during the three and six months ended June 30, 2024, respectively. The significant piece of objectively verifiable negative evidence evaluated was the recent U.S. cumulative losses. Our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w:t>
      </w:r>
    </w:p>
    <w:p>
      <w:pPr>
        <w:spacing w:after="0" w:line="210"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("OECD") released model rules for a 15% global minimum tax, known as Pillar Two. On December 15, 2022, the European Union agreed to implement the OECD’s global minimum tax of 15% for multinationals that meet a global revenue threshold. A number of countries have enacted or have announced plans to enact legislation to adopt Pillar Two. We considered the applicable tax law changes on Pillar Two implementation in the relevant countries, and there was no material impact to our tax provision for the three and six months ended June 30, 2024. We do not expect the provisions currently in effect for 2024 to have a material impact on our tax provision and effective tax rate for the remainder of 2024 but will continue to assess the impact of tax legislation in the jurisdictions in which we operate.</w:t>
      </w:r>
    </w:p>
    <w:p>
      <w:pPr>
        <w:spacing w:after="0" w:line="199"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effective tax rate for the three and six months ended June 30, 2023 differs from the federal statutory rate of 21% principally because of the effect of the mix of U.S. and foreign incomes, state income taxes, section 162(m) excess compensation, foreign-derived intangible income (“FDII”) and tax credits. The effective tax rate during the three and six months ended June 30, 2023 included a tax benefit of $0.9 million and $0.2 million, respectively, related to the excess tax benefits recognized on stock option exercises and the vesting of restricted stock during the period. The effective tax rate during the three and six months ended June 30, 2023 also included a tax benefit of $6.0 million primarily related to unrecognized tax benefits released as a result of the expiration of the statute of limitations. Additionally, the effective tax rate for the three and six months ended June 30, 2023 also included the nil tax impact of the revaluation of contingent consideration for $4.0 million and $3.3 million,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and Capital Resources</w:t>
      </w:r>
    </w:p>
    <w:p>
      <w:pPr>
        <w:spacing w:after="0" w:line="221"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49"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Our current primary sources of liquidity are cash and cash equivalents, cash flows from our operations including the cash received from our uncommitted trade accounts receivable purchase facility, and access to borrowing arrangements.</w:t>
      </w:r>
    </w:p>
    <w:p>
      <w:pPr>
        <w:spacing w:after="0" w:line="177" w:lineRule="exact"/>
        <w:rPr>
          <w:sz w:val="20"/>
          <w:szCs w:val="20"/>
          <w:color w:val="auto"/>
        </w:rPr>
      </w:pPr>
    </w:p>
    <w:p>
      <w:pPr>
        <w:jc w:val="both"/>
        <w:ind w:right="560" w:firstLine="619"/>
        <w:spacing w:after="0" w:line="287" w:lineRule="auto"/>
        <w:rPr>
          <w:sz w:val="20"/>
          <w:szCs w:val="20"/>
          <w:color w:val="auto"/>
        </w:rPr>
      </w:pPr>
      <w:r>
        <w:rPr>
          <w:rFonts w:ascii="Times New Roman" w:cs="Times New Roman" w:eastAsia="Times New Roman" w:hAnsi="Times New Roman"/>
          <w:sz w:val="17"/>
          <w:szCs w:val="17"/>
          <w:color w:val="auto"/>
        </w:rPr>
        <w:t>Funds generated from operations are held in cash and cash equivalents. During the six months ended June 30, 2024, our cash and cash equivalents increased by $47.9 million from $254.7 million at December 31, 2023 to $302.6 million at June 30, 2024, primarily due to cash generated from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 and Access to Capital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As discussed in Note 16: Long-Term Debt to our accompanying condensed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$1.6 billion as of June 30, 2024,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June 30, 2024. As part of entering into the Senior Secured Credit Facilities, we were assigned issuer and Term Loan B credit ratings. At the date of issuance of this report, our issuer and Term Loan B credit ratings assigned and outlook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7"/>
                <w:szCs w:val="17"/>
                <w:color w:val="auto"/>
              </w:rPr>
            </w:pPr>
          </w:p>
        </w:tc>
        <w:tc>
          <w:tcPr>
            <w:tcW w:w="24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Issuer/Term Loan B</w:t>
            </w:r>
          </w:p>
        </w:tc>
        <w:tc>
          <w:tcPr>
            <w:tcW w:w="20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Outlook</w:t>
            </w:r>
          </w:p>
        </w:tc>
        <w:tc>
          <w:tcPr>
            <w:tcW w:w="0" w:type="dxa"/>
            <w:vAlign w:val="bottom"/>
          </w:tcPr>
          <w:p>
            <w:pPr>
              <w:spacing w:after="0"/>
              <w:rPr>
                <w:sz w:val="1"/>
                <w:szCs w:val="1"/>
                <w:color w:val="auto"/>
              </w:rPr>
            </w:pPr>
          </w:p>
        </w:tc>
      </w:tr>
      <w:tr>
        <w:trPr>
          <w:trHeight w:val="232"/>
        </w:trPr>
        <w:tc>
          <w:tcPr>
            <w:tcW w:w="678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Credit Ratings</w:t>
            </w:r>
          </w:p>
        </w:tc>
        <w:tc>
          <w:tcPr>
            <w:tcW w:w="2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244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Ba3/Ba3</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Stable</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Fitch</w:t>
            </w:r>
          </w:p>
        </w:tc>
        <w:tc>
          <w:tcPr>
            <w:tcW w:w="24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Standard &amp; Poor's</w:t>
            </w:r>
          </w:p>
        </w:tc>
        <w:tc>
          <w:tcPr>
            <w:tcW w:w="24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8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16: Long-Term Debt to our accompanying condensed consolidated financial statements). We were in compliance with these financial covenants as of June 30, 2024.</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January 2023, we entered into a receivables purchase agreement with Bank of the West, which was subsequently acquired by BMO in February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accelerates our access to capital (see Note 20: Accounts Receivable Purchase Program).</w:t>
      </w:r>
    </w:p>
    <w:p>
      <w:pPr>
        <w:spacing w:after="0" w:line="226"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We believe that our existing cash and cash equivalents along with cash flows expected to be generated from future operations including the cash received from our uncommitted trade accounts receivable purchase facility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2023 Annual Report on Form 10-K for discussion of the risks and uncertainties associated with our debt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Uses of Liquidity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47"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At June 30, 2024, we estimate our capital expenditures in 2024 will be in the range of $85 million to $100 million, compared to the range of $90 million to $110 million previously disclosed. This reduction was due to changes in the timing of certain projects.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principal commitments at June 30, 2024 include both short and long-term future obligations.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firstLine="619"/>
        <w:spacing w:after="0" w:line="270" w:lineRule="auto"/>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for certain lease payment amounts. We assumed additional operating leases as a result of our acquisition of Smiths Medical. For more information regarding our operating lease obligations, (see Note 5: Leases to our accompanying condensed consolidated financial statements).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47"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applicable margin of 2.00% for Term Loan A and 2.50% for Term Loan B and the revolver commitment fees were estimated using the rate of 0.30%. The applicable margin rate and commitment fee rate will change from time to time in accordance with a preset pricing grid based on the leverage ratio (see Note 16: Long-Term Debt to our accompanying condensed consolidated financial statements for pricing grids related to the Senior Secured Credit Facilities).</w:t>
      </w:r>
    </w:p>
    <w:p>
      <w:pPr>
        <w:spacing w:after="0" w:line="199"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We expect to fund these capital expenditures and contractual obligations with our existing cash and cash equivalents and cash generated from our future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Remainder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Pr>
          <w:p>
            <w:pPr>
              <w:spacing w:after="0"/>
              <w:rPr>
                <w:sz w:val="14"/>
                <w:szCs w:val="14"/>
                <w:color w:val="auto"/>
              </w:rPr>
            </w:pPr>
          </w:p>
        </w:tc>
        <w:tc>
          <w:tcPr>
            <w:tcW w:w="102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2028</w:t>
            </w:r>
          </w:p>
        </w:tc>
        <w:tc>
          <w:tcPr>
            <w:tcW w:w="280" w:type="dxa"/>
            <w:vAlign w:val="bottom"/>
          </w:tcPr>
          <w:p>
            <w:pPr>
              <w:spacing w:after="0"/>
              <w:rPr>
                <w:sz w:val="14"/>
                <w:szCs w:val="14"/>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2029</w:t>
            </w:r>
          </w:p>
        </w:tc>
        <w:tc>
          <w:tcPr>
            <w:tcW w:w="140" w:type="dxa"/>
            <w:vAlign w:val="bottom"/>
          </w:tcPr>
          <w:p>
            <w:pPr>
              <w:spacing w:after="0"/>
              <w:rPr>
                <w:sz w:val="14"/>
                <w:szCs w:val="14"/>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 Principal Payments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664.1</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A Interest Payments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Principal Payments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Interest Payments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Revolver Commitment Fee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159.9</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725.1</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Future Capital Investments</w:t>
      </w:r>
    </w:p>
    <w:p>
      <w:pPr>
        <w:spacing w:after="0" w:line="247"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Other future capital investments include restructuring and integration expenses along with spending to support quality systems and quality compliance objectives, which includes acquired field action liabilities. At June 30, 2024, we estimate our other future capital investments in 2024 will be in the range of $80 million to $90 million, compared to the range of $90 million to $110 million previously disclosed. This reduction was due to changes in the timing of certain projects.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247" w:lineRule="exact"/>
        <w:rPr>
          <w:sz w:val="20"/>
          <w:szCs w:val="20"/>
          <w:color w:val="auto"/>
        </w:rPr>
      </w:pPr>
    </w:p>
    <w:p>
      <w:pPr>
        <w:jc w:val="both"/>
        <w:ind w:right="300" w:firstLine="619"/>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Historical Cash Flows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4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Our net cash provided by operations for the six months ended June 30, 2024 was $127.7 million. The changes in operating assets and liabilities included a $6.7 million decrease in accounts receivable, a $21.1 million decrease in inventories, a $9.4 million increase in accounts payable, and a $20.2 million increase in accrued liabilities. Offsetting these amounts was a $12.6 million increase in prepaid expenses and other current assets, a $11.1 million increase in other assets, and $5.1 million in net changes in income taxes, including excess tax benefits and deferred income taxes. The decrease in accounts receivable was primarily due to the amount and timing of revenues. The decrease in inventory was primarily due to our focus on reducing inventory levels. The increase in accounts payable was due to the timing of payments. The increase in prepaid expenses and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other current assets was primarily due to increase in deferred costs related to infusion pumps sold and the payment of other miscellaneous prepaid invoices. The increase in other assets was due to the purchase of spare parts. The net changes in income taxes was a result of recording the current deferred provision, the timing of payments, and valuation allowance. The increase in accrued liabilities was primarily due to employee costs.</w:t>
      </w:r>
    </w:p>
    <w:p>
      <w:pPr>
        <w:spacing w:after="0" w:line="191"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net cash used in operations for the six months ended June 30, 2023 was $39.8 million. The changes in operating assets and liabilities included a $76.0 million increase in inventories, a $12.7 million increase in other assets, a $46.9 million decrease in accounts payable, $26.0 million in net changes in income taxes, including excess tax benefits and deferred income taxes and a $0.1 million decrease in accrued liabilities. Offsetting these amounts was a $46.8 million decrease in accounts receivable and a $3.0 million decrease in prepaid expenses and other current assets. The increase in inventory was primarily to build inventory safety stock levels. The increase in other assets was due to the purchase of spare parts. The decrease in accounts payable was due to the timing of payments. The net changes in income taxes was a result of recording the current deferred provision and the timing of payments. The increase in accrued liabilities was primarily due to employee costs. The decrease in accounts receivable was primarily due to the sale of accounts receivable as part of our accounts receivable purchase program with Bank of the West, which was subsequently acquired by BMO in February 2023 (see Note 20: Accounts Receivable Purchase Program). The decrease in prepaid expenses and other current assets was primarily due to insurance and property taxes.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8"/>
        </w:trPr>
        <w:tc>
          <w:tcPr>
            <w:tcW w:w="6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investing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3"/>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44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7"/>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(35,382)</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(2,893)</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400" w:type="dxa"/>
            <w:vAlign w:val="bottom"/>
            <w:shd w:val="clear" w:color="auto" w:fill="CCEEFF"/>
          </w:tcPr>
          <w:p>
            <w:pPr>
              <w:spacing w:after="0"/>
              <w:rPr>
                <w:sz w:val="19"/>
                <w:szCs w:val="19"/>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 additions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40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investment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(32,789)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(6,765)</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240" w:hanging="317"/>
        <w:spacing w:after="0" w:line="229" w:lineRule="auto"/>
        <w:tabs>
          <w:tab w:leader="none" w:pos="183"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purchases of property, plant and equipment will vary from period to period based on additional investments needed to support new and existing products and expansion of our manufacturing facilities.</w:t>
      </w:r>
    </w:p>
    <w:p>
      <w:pPr>
        <w:spacing w:after="0" w:line="6" w:lineRule="exact"/>
        <w:rPr>
          <w:rFonts w:ascii="Times New Roman" w:cs="Times New Roman" w:eastAsia="Times New Roman" w:hAnsi="Times New Roman"/>
          <w:sz w:val="22"/>
          <w:szCs w:val="22"/>
          <w:color w:val="auto"/>
          <w:vertAlign w:val="superscript"/>
        </w:rPr>
      </w:pPr>
    </w:p>
    <w:p>
      <w:pPr>
        <w:ind w:left="180" w:hanging="177"/>
        <w:spacing w:after="0"/>
        <w:tabs>
          <w:tab w:leader="none" w:pos="1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sale of our investment securities will vary from period to period based on the maturity dates of the investments.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3"/>
        </w:trPr>
        <w:tc>
          <w:tcPr>
            <w:tcW w:w="6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financing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1"/>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44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2"/>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(10,687)</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0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contingent earn-out liability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withholding payments related to net share settlement of equity awards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40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(15,495)</w:t>
            </w:r>
          </w:p>
        </w:tc>
        <w:tc>
          <w:tcPr>
            <w:tcW w:w="400" w:type="dxa"/>
            <w:vAlign w:val="bottom"/>
            <w:tcBorders>
              <w:bottom w:val="single" w:sz="8" w:color="CCEEFF"/>
            </w:tcBorders>
            <w:shd w:val="clear" w:color="auto" w:fill="CCEEFF"/>
          </w:tcPr>
          <w:p>
            <w:pPr>
              <w:spacing w:after="0"/>
              <w:rPr>
                <w:sz w:val="20"/>
                <w:szCs w:val="20"/>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2" w:lineRule="exact"/>
        <w:rPr>
          <w:sz w:val="20"/>
          <w:szCs w:val="20"/>
          <w:color w:val="auto"/>
        </w:rPr>
      </w:pPr>
    </w:p>
    <w:p>
      <w:pPr>
        <w:ind w:left="240" w:hanging="237"/>
        <w:spacing w:after="0"/>
        <w:tabs>
          <w:tab w:leader="none" w:pos="24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Relates to scheduled principal payments on the Senior Secured Credit Facilities.</w:t>
      </w:r>
    </w:p>
    <w:p>
      <w:pPr>
        <w:spacing w:after="0" w:line="52" w:lineRule="exact"/>
        <w:rPr>
          <w:rFonts w:ascii="Times New Roman" w:cs="Times New Roman" w:eastAsia="Times New Roman" w:hAnsi="Times New Roman"/>
          <w:sz w:val="22"/>
          <w:szCs w:val="22"/>
          <w:color w:val="auto"/>
          <w:vertAlign w:val="superscript"/>
        </w:rPr>
      </w:pPr>
    </w:p>
    <w:p>
      <w:pPr>
        <w:ind w:left="320" w:right="320" w:hanging="317"/>
        <w:spacing w:after="0" w:line="220" w:lineRule="auto"/>
        <w:tabs>
          <w:tab w:leader="none" w:pos="31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exercise of stock options will vary from period to period based on the volume of options exercised and the exercise price of the specific options exercised.</w:t>
      </w:r>
    </w:p>
    <w:p>
      <w:pPr>
        <w:spacing w:after="0" w:line="35" w:lineRule="exact"/>
        <w:rPr>
          <w:rFonts w:ascii="Times New Roman" w:cs="Times New Roman" w:eastAsia="Times New Roman" w:hAnsi="Times New Roman"/>
          <w:sz w:val="22"/>
          <w:szCs w:val="22"/>
          <w:color w:val="auto"/>
          <w:vertAlign w:val="superscript"/>
        </w:rPr>
      </w:pPr>
    </w:p>
    <w:p>
      <w:pPr>
        <w:ind w:left="320" w:right="200" w:hanging="317"/>
        <w:spacing w:after="0" w:line="229" w:lineRule="auto"/>
        <w:tabs>
          <w:tab w:leader="none" w:pos="31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first quarter of 2024, we paid $3.4 million in cash related to the settlement of the Mediverse contingent earn-out. Of the $3.4 million, the amount recorded as the acquisition date fair value, which is considered financing cash flows, was $2.6 million (see Note 8: Fair Value Measurements).</w:t>
      </w:r>
    </w:p>
    <w:p>
      <w:pPr>
        <w:spacing w:after="0" w:line="1" w:lineRule="exact"/>
        <w:rPr>
          <w:rFonts w:ascii="Times New Roman" w:cs="Times New Roman" w:eastAsia="Times New Roman" w:hAnsi="Times New Roman"/>
          <w:sz w:val="22"/>
          <w:szCs w:val="22"/>
          <w:color w:val="auto"/>
          <w:vertAlign w:val="superscript"/>
        </w:rPr>
      </w:pPr>
    </w:p>
    <w:p>
      <w:pPr>
        <w:ind w:left="320" w:right="40" w:hanging="317"/>
        <w:spacing w:after="0" w:line="235" w:lineRule="auto"/>
        <w:tabs>
          <w:tab w:leader="none" w:pos="31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six months ended June 30, 2024, our employees surrendered 112,876 shares of our common stock from vested restricted stock unit awards as consideration for approximately $11.7 million in minimum statutory withholding obligations paid on their behalf. During the six months ended June 30, 2023, our employees surrendered 54,371 shares of our common stock from vested restricted stock unit awards as consideration for approximately $8.7 million in minimum statutory withholding obligations paid on their behalf.</w:t>
      </w:r>
    </w:p>
    <w:p>
      <w:pPr>
        <w:spacing w:after="0" w:line="270"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Our common stock purchase plan, which authorized the repurchase of up to $100.0 million of our common stock, was approved by our Board of Directors in August 2019. This plan has no expiration date. As of June 30, 2024, all of the $100.0 million available for purchase was remaining under the plan. We are limited on share purchases in accordance with the terms and conditions of our Credit Agreement (see Note 16: Long-Term Debt in our accompanying condensed consolidated financial statements).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4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our 2023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2023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2: New Accounting Pronouncements in Part I, Item 1.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3. Quantitative and Qualitative Disclosures about Market Risk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Credit Facility</w:t>
      </w:r>
    </w:p>
    <w:p>
      <w:pPr>
        <w:spacing w:after="0" w:line="247" w:lineRule="exact"/>
        <w:rPr>
          <w:sz w:val="20"/>
          <w:szCs w:val="20"/>
          <w:color w:val="auto"/>
        </w:rPr>
      </w:pPr>
    </w:p>
    <w:p>
      <w:pPr>
        <w:jc w:val="both"/>
        <w:ind w:right="220" w:firstLine="172"/>
        <w:spacing w:after="0" w:line="270" w:lineRule="auto"/>
        <w:rPr>
          <w:sz w:val="20"/>
          <w:szCs w:val="20"/>
          <w:color w:val="auto"/>
        </w:rPr>
      </w:pPr>
      <w:r>
        <w:rPr>
          <w:rFonts w:ascii="Times New Roman" w:cs="Times New Roman" w:eastAsia="Times New Roman" w:hAnsi="Times New Roman"/>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19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term loan A facility currently bears interest based on Adjusted Term SOFR plus an applicable margin of 2.00% per year. The term loan B facility currently bears interest based on Adjusted Term SOFR subject to a 0.50% floor plus an applicable margin of 2.50%. We used a sensitivity analysis to measure our interest rate risk exposure. If the SOFR rate increases or decreases 1% from June 30, 2024, the additional annual interest expense or savings related to the term loans would amount to approximately $16.2 million.</w:t>
      </w:r>
    </w:p>
    <w:p>
      <w:pPr>
        <w:spacing w:after="0" w:line="197"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will pay a fixed rate of 1.32% and will receive the greater of 3-month USD SOFR or</w:t>
      </w:r>
    </w:p>
    <w:p>
      <w:pPr>
        <w:spacing w:after="0" w:line="257" w:lineRule="auto"/>
        <w:rPr>
          <w:sz w:val="20"/>
          <w:szCs w:val="20"/>
          <w:color w:val="auto"/>
        </w:rPr>
      </w:pPr>
      <w:r>
        <w:rPr>
          <w:rFonts w:ascii="Times New Roman" w:cs="Times New Roman" w:eastAsia="Times New Roman" w:hAnsi="Times New Roman"/>
          <w:sz w:val="17"/>
          <w:szCs w:val="17"/>
          <w:color w:val="auto"/>
        </w:rPr>
        <w:t>(0.15)%. The term loan B swap has an initial notional amount of $750.0 million, reducing to $46.9 million evenly on a quarterly basis through its final maturity on March 30, 2026 and we will pay a fixed rate of 1.17% and will receive the greater of 3-month USD SOFR or 0.35%. In June 2023, we entered into an additional swap with a notional amount of $300.0 million with a maturity date of June 30, 2028 and we will pay a fixed rate of 3.8765% starting on June 30, 2023 and receive 3-month USD SOFR. See Note 7: Derivatives and Hedging Activities to the condensed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Accounts Receivable Purchase Program</w:t>
      </w:r>
    </w:p>
    <w:p>
      <w:pPr>
        <w:spacing w:after="0" w:line="247"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Additionally, our accounts receivable purchase program with BMO bears discount rates tied to SOFR. These variable discount rates would affect the amount of factoring costs we incur, and the amount of cash we receive upon the sales of accounts receivable under this program. A 1% change in SOFR rates on the accounts receivable sales would not have a material impact on our results of operations. See Note 20: Accounts Receivables Purchase Program to the condensed consolidated financial statements in Part I, Item 1 of this Form 10-Q.</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7" w:lineRule="exact"/>
        <w:rPr>
          <w:sz w:val="20"/>
          <w:szCs w:val="20"/>
          <w:color w:val="auto"/>
        </w:rPr>
      </w:pPr>
    </w:p>
    <w:p>
      <w:pPr>
        <w:ind w:firstLine="169"/>
        <w:spacing w:after="0" w:line="258" w:lineRule="auto"/>
        <w:rPr>
          <w:sz w:val="20"/>
          <w:szCs w:val="20"/>
          <w:color w:val="auto"/>
        </w:rPr>
      </w:pPr>
      <w:r>
        <w:rPr>
          <w:rFonts w:ascii="Times New Roman" w:cs="Times New Roman" w:eastAsia="Times New Roman" w:hAnsi="Times New Roman"/>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spacing w:after="0" w:line="205"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Our foreign currency exchange forward contracts hedge a portion of our forecasted foreign currency-denominated revenues and expenses (principally Mexican Pesos, Euros, Czech Koruna, Japanese Yen, Swedish Krona, Danish Krone, Chinese Renminbi, Canadian Dollar, U.S. Dollar, and Australian Dollar) that differ from the functional currency of the operating unit. These derivative contracts are designated and qualify as cash flow hedges (see Note 7: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w:t>
      </w:r>
    </w:p>
    <w:p>
      <w:pPr>
        <w:spacing w:after="0" w:line="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7"/>
          <w:szCs w:val="17"/>
          <w:color w:val="auto"/>
        </w:rPr>
        <w:t>June 30, 2024, the effect of a hypothetical 10% weakening in the actual foreign currency exchange rates used for the applicable currencies would result in an estimated decrease in the fair value of these outstanding derivative contracts by approximately $2.7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4.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Limitations on Effectiveness of Controls and Procedures</w:t>
      </w:r>
    </w:p>
    <w:p>
      <w:pPr>
        <w:spacing w:after="0" w:line="247" w:lineRule="exact"/>
        <w:rPr>
          <w:sz w:val="20"/>
          <w:szCs w:val="20"/>
          <w:color w:val="auto"/>
        </w:rPr>
      </w:pPr>
    </w:p>
    <w:p>
      <w:pPr>
        <w:ind w:right="3040" w:firstLine="619"/>
        <w:spacing w:after="0" w:line="261"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21" w:lineRule="exact"/>
        <w:rPr>
          <w:sz w:val="20"/>
          <w:szCs w:val="20"/>
          <w:color w:val="auto"/>
        </w:rPr>
      </w:pPr>
    </w:p>
    <w:p>
      <w:pPr>
        <w:jc w:val="both"/>
        <w:ind w:right="40" w:firstLine="619"/>
        <w:spacing w:after="0" w:line="276"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amended (the "Exchange Act")),</w:t>
      </w:r>
    </w:p>
    <w:p>
      <w:pPr>
        <w:spacing w:after="0" w:line="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Based on the evaluation, our principal executive officer and principal financial officer concluded that, as of June 30, 2024, our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34" w:lineRule="exact"/>
        <w:rPr>
          <w:sz w:val="20"/>
          <w:szCs w:val="20"/>
          <w:color w:val="auto"/>
        </w:rPr>
      </w:pPr>
    </w:p>
    <w:p>
      <w:pPr>
        <w:ind w:right="320" w:firstLine="619"/>
        <w:spacing w:after="0" w:line="271"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13a-15(f) and 15d-15(f) under the Exchange Act) during the quarter ended June 30, 2024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Legal Proceedings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80" w:firstLine="172"/>
        <w:spacing w:after="0" w:line="287" w:lineRule="auto"/>
        <w:rPr>
          <w:sz w:val="20"/>
          <w:szCs w:val="20"/>
          <w:color w:val="auto"/>
        </w:rPr>
      </w:pPr>
      <w:r>
        <w:rPr>
          <w:rFonts w:ascii="Times New Roman" w:cs="Times New Roman" w:eastAsia="Times New Roman" w:hAnsi="Times New Roman"/>
          <w:sz w:val="17"/>
          <w:szCs w:val="17"/>
          <w:color w:val="auto"/>
        </w:rPr>
        <w:t>Certain legal proceedings in which we are involved are discussed in Part I, Item 1. "Financial Statements" of this Form 10-Q in Note 18. Commitments and Contingencies to the Condensed Consolidated Financial Statements, and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1A.  Risk Factors</w:t>
      </w:r>
    </w:p>
    <w:p>
      <w:pPr>
        <w:spacing w:after="0" w:line="221" w:lineRule="exact"/>
        <w:rPr>
          <w:sz w:val="20"/>
          <w:szCs w:val="20"/>
          <w:color w:val="auto"/>
        </w:rPr>
      </w:pPr>
    </w:p>
    <w:p>
      <w:pPr>
        <w:ind w:right="20" w:firstLine="172"/>
        <w:spacing w:after="0" w:line="264" w:lineRule="auto"/>
        <w:rPr>
          <w:sz w:val="20"/>
          <w:szCs w:val="20"/>
          <w:color w:val="auto"/>
        </w:rPr>
      </w:pPr>
      <w:r>
        <w:rPr>
          <w:rFonts w:ascii="Times New Roman" w:cs="Times New Roman" w:eastAsia="Times New Roman" w:hAnsi="Times New Roman"/>
          <w:sz w:val="17"/>
          <w:szCs w:val="17"/>
          <w:color w:val="auto"/>
        </w:rPr>
        <w:t>In evaluating an investment in our common stock, investors should consider carefully, among other things, the risk factors previously disclosed in Part I, Item 1A of our 2023 Annual Report on Form 10-K, as well as the information contained in this Quarterly Report, in each case as updated by our periodic reports and registration statements filed with the SEC. There have been no material changes to the risk factors disclosed in Part I. Item 1A of our 2023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of Equity Securities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is a summary of our stock repurchasing activity during the second quarter of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part of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w w:val="97"/>
              </w:rPr>
              <w:t>dollar value that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w w:val="99"/>
              </w:rPr>
              <w:t>may yet be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announced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 under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gridSpan w:val="2"/>
            <w:vMerge w:val="continue"/>
          </w:tcPr>
          <w:p>
            <w:pPr>
              <w:spacing w:after="0"/>
              <w:rPr>
                <w:sz w:val="16"/>
                <w:szCs w:val="16"/>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84"/>
              <w:spacing w:after="0" w:line="194" w:lineRule="exact"/>
              <w:rPr>
                <w:sz w:val="20"/>
                <w:szCs w:val="20"/>
                <w:color w:val="auto"/>
              </w:rPr>
            </w:pPr>
            <w:r>
              <w:rPr>
                <w:rFonts w:ascii="Times New Roman" w:cs="Times New Roman" w:eastAsia="Times New Roman" w:hAnsi="Times New Roman"/>
                <w:sz w:val="14"/>
                <w:szCs w:val="14"/>
                <w:b w:val="1"/>
                <w:bCs w:val="1"/>
                <w:color w:val="auto"/>
                <w:w w:val="95"/>
              </w:rPr>
              <w:t>the program</w:t>
            </w:r>
            <w:r>
              <w:rPr>
                <w:rFonts w:ascii="Times New Roman" w:cs="Times New Roman" w:eastAsia="Times New Roman" w:hAnsi="Times New Roman"/>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04/01/2024 — 04/30/2024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05/01/2024 — 05/31/2024</w:t>
            </w:r>
          </w:p>
        </w:tc>
        <w:tc>
          <w:tcPr>
            <w:tcW w:w="142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06/01/2024 — 06/30/2024</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Second quarter of 2024 total</w:t>
            </w: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78"/>
              <w:spacing w:after="0"/>
              <w:rPr>
                <w:sz w:val="20"/>
                <w:szCs w:val="20"/>
                <w:color w:val="auto"/>
              </w:rPr>
            </w:pPr>
            <w:r>
              <w:rPr>
                <w:rFonts w:ascii="Times New Roman" w:cs="Times New Roman" w:eastAsia="Times New Roman" w:hAnsi="Times New Roman"/>
                <w:sz w:val="19"/>
                <w:szCs w:val="19"/>
                <w:color w:val="auto"/>
                <w:w w:val="98"/>
              </w:rPr>
              <w:t>____________________________</w:t>
            </w: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20" w:right="20" w:hanging="317"/>
        <w:spacing w:after="0" w:line="245" w:lineRule="auto"/>
        <w:tabs>
          <w:tab w:leader="none" w:pos="23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 We are limited on share purchases in accordance with the terms and conditions of our Credit Agreement (see Note 16: Long-Term Debt in our accompanying condensed consolidated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5. Other Information</w:t>
      </w:r>
    </w:p>
    <w:p>
      <w:pPr>
        <w:spacing w:after="0" w:line="247" w:lineRule="exact"/>
        <w:rPr>
          <w:sz w:val="20"/>
          <w:szCs w:val="20"/>
          <w:color w:val="auto"/>
        </w:rPr>
      </w:pPr>
    </w:p>
    <w:p>
      <w:pPr>
        <w:ind w:left="680" w:hanging="367"/>
        <w:spacing w:after="0"/>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242" w:lineRule="exact"/>
        <w:rPr>
          <w:rFonts w:ascii="Times New Roman" w:cs="Times New Roman" w:eastAsia="Times New Roman" w:hAnsi="Times New Roman"/>
          <w:sz w:val="17"/>
          <w:szCs w:val="17"/>
          <w:color w:val="auto"/>
        </w:rPr>
      </w:pPr>
    </w:p>
    <w:p>
      <w:pPr>
        <w:ind w:left="680" w:hanging="367"/>
        <w:spacing w:after="0"/>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242" w:lineRule="exact"/>
        <w:rPr>
          <w:rFonts w:ascii="Times New Roman" w:cs="Times New Roman" w:eastAsia="Times New Roman" w:hAnsi="Times New Roman"/>
          <w:sz w:val="17"/>
          <w:szCs w:val="17"/>
          <w:color w:val="auto"/>
        </w:rPr>
      </w:pPr>
    </w:p>
    <w:p>
      <w:pPr>
        <w:spacing w:after="0"/>
        <w:tabs>
          <w:tab w:leader="none" w:pos="0" w:val="left"/>
        </w:tabs>
        <w:numPr>
          <w:ilvl w:val="0"/>
          <w:numId w:val="41"/>
        </w:numPr>
        <w:rPr>
          <w:rFonts w:ascii="Times New Roman" w:cs="Times New Roman" w:eastAsia="Times New Roman" w:hAnsi="Times New Roman"/>
          <w:sz w:val="17"/>
          <w:szCs w:val="17"/>
          <w:color w:val="auto"/>
        </w:rPr>
      </w:pPr>
    </w:p>
    <w:p>
      <w:pPr>
        <w:spacing w:after="0" w:line="200" w:lineRule="exact"/>
        <w:rPr>
          <w:sz w:val="20"/>
          <w:szCs w:val="20"/>
          <w:color w:val="auto"/>
        </w:rPr>
      </w:pPr>
    </w:p>
    <w:p>
      <w:pPr>
        <w:spacing w:after="0" w:line="262" w:lineRule="exact"/>
        <w:rPr>
          <w:sz w:val="20"/>
          <w:szCs w:val="20"/>
          <w:color w:val="auto"/>
        </w:rPr>
      </w:pPr>
    </w:p>
    <w:p>
      <w:pPr>
        <w:jc w:val="both"/>
        <w:ind w:right="520"/>
        <w:spacing w:after="0" w:line="271" w:lineRule="auto"/>
        <w:rPr>
          <w:sz w:val="20"/>
          <w:szCs w:val="20"/>
          <w:color w:val="auto"/>
        </w:rPr>
      </w:pPr>
      <w:r>
        <w:rPr>
          <w:rFonts w:ascii="Times New Roman" w:cs="Times New Roman" w:eastAsia="Times New Roman" w:hAnsi="Times New Roman"/>
          <w:sz w:val="17"/>
          <w:szCs w:val="17"/>
          <w:color w:val="auto"/>
        </w:rPr>
        <w:t>During the three months ended June 30, 2024, none of the Company's directors or "officers" (as defined in Rule 16a-1(f) under the Exchange Act) adopted, modified, or terminated a "Rule 10b5-1 trading arrangement" or “non-Rule 10b5-1 trading arrangement,” each as defined in Item 408(a) of Regulation S-K.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9"/>
              </w:rPr>
              <w:t>Exhibit Number</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16"/>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78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w w:val="96"/>
              </w:rPr>
              <w:t>Furnished</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Herewith</w:t>
            </w:r>
          </w:p>
        </w:tc>
        <w:tc>
          <w:tcPr>
            <w:tcW w:w="0" w:type="dxa"/>
            <w:vAlign w:val="bottom"/>
          </w:tcPr>
          <w:p>
            <w:pPr>
              <w:spacing w:after="0"/>
              <w:rPr>
                <w:sz w:val="1"/>
                <w:szCs w:val="1"/>
                <w:color w:val="auto"/>
              </w:rPr>
            </w:pPr>
          </w:p>
        </w:tc>
      </w:tr>
      <w:tr>
        <w:trPr>
          <w:trHeight w:val="185"/>
        </w:trPr>
        <w:tc>
          <w:tcPr>
            <w:tcW w:w="1260" w:type="dxa"/>
            <w:vAlign w:val="bottom"/>
            <w:gridSpan w:val="3"/>
          </w:tcPr>
          <w:p>
            <w:pPr>
              <w:jc w:val="right"/>
              <w:spacing w:after="0" w:line="185"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Share Sale and Purchase Agreement, dated September 8, 2021, by and between Smiths Group International Holdings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8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Limited, a private limited company incorporated in England and Wales, and ICU Medical, Inc., a Delaware corporation. Filed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an Exhibit to Registrant's Current Report on Form 8-K filed on September 8, 2021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2</w:t>
              </w:r>
            </w:hyperlink>
          </w:p>
        </w:tc>
        <w:tc>
          <w:tcPr>
            <w:tcW w:w="88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Put Option Deed from ICU Medical, Inc., a Delaware corporation to Smiths Group International Holdings Limited, a private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8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limited company incorporated in England and Wales. Filed as an Exhibit to Registrant's Current Report on Form 8-K filed on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8, 2021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Registrant's Certificate of Incorporation, as amended and restated. Filed as an Exhibit to Registrant's Current Report on Form</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8-K filed on June 10, 2014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Registrant's Bylaws, as amended and restated. Filed as an Exhibit to Registrant's Current Report on Form 8-K filed on</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November 3, 2023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Description of Securities Registered Under Section 12 of the Exchange Act. Filed as an Exhibit to Registrant's Annual Report</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on Form 10-K for the year ended December 31, 2019, filed on March 2, 3020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Certification of Chief Executive Officer pursuant to Section 302 of the Sarbanes-Oxley Act of 2002</w:t>
            </w:r>
          </w:p>
        </w:tc>
        <w:tc>
          <w:tcPr>
            <w:tcW w:w="78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Chief Financial Officer pursuant to Section 302 of the Sarbanes-Oxley Act of 2002</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Certifications of Chief Executive Officer and Chief Financial Officer pursuant to Section 906 of the Sarbanes-Oxley Act of</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2002</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101.INS</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Instance Document - this instance document does not appear in the Interactive Data File because its XBRL tags are</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101.SCH</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101.CAL</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101.DEF</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101.LAB</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101.PRE</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0"/>
          </w:cols>
          <w:pgMar w:left="320" w:top="123" w:right="7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ICU Medical,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(Registrant)</w:t>
            </w:r>
          </w:p>
        </w:tc>
        <w:tc>
          <w:tcPr>
            <w:tcW w:w="10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c>
          <w:tcPr>
            <w:tcW w:w="1000" w:type="dxa"/>
            <w:vAlign w:val="bottom"/>
            <w:tcBorders>
              <w:bottom w:val="single" w:sz="8" w:color="auto"/>
            </w:tcBorders>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Date: August 7, 2024</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0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Authorized Officer)</w:t>
            </w:r>
          </w:p>
        </w:tc>
        <w:tc>
          <w:tcPr>
            <w:tcW w:w="10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812"/>
        </w:trPr>
        <w:tc>
          <w:tcPr>
            <w:tcW w:w="4580" w:type="dxa"/>
            <w:vAlign w:val="bottom"/>
          </w:tcPr>
          <w:p>
            <w:pPr>
              <w:spacing w:after="0"/>
              <w:rPr>
                <w:sz w:val="24"/>
                <w:szCs w:val="24"/>
                <w:color w:val="auto"/>
              </w:rPr>
            </w:pPr>
          </w:p>
        </w:tc>
        <w:tc>
          <w:tcPr>
            <w:tcW w:w="2720" w:type="dxa"/>
            <w:vAlign w:val="bottom"/>
            <w:gridSpan w:val="2"/>
          </w:tcPr>
          <w:p>
            <w:pPr>
              <w:jc w:val="right"/>
              <w:ind w:right="1514"/>
              <w:spacing w:after="0"/>
              <w:rPr>
                <w:sz w:val="20"/>
                <w:szCs w:val="20"/>
                <w:color w:val="auto"/>
              </w:rPr>
            </w:pPr>
            <w:r>
              <w:rPr>
                <w:rFonts w:ascii="Times New Roman" w:cs="Times New Roman" w:eastAsia="Times New Roman" w:hAnsi="Times New Roman"/>
                <w:sz w:val="17"/>
                <w:szCs w:val="17"/>
                <w:color w:val="auto"/>
              </w:rPr>
              <w:t>53</w:t>
            </w:r>
          </w:p>
        </w:tc>
      </w:tr>
    </w:tbl>
    <w:p>
      <w:pPr>
        <w:sectPr>
          <w:pgSz w:w="11900" w:h="16838" w:orient="portrait"/>
          <w:cols w:equalWidth="0" w:num="1">
            <w:col w:w="10500"/>
          </w:cols>
          <w:pgMar w:left="320" w:top="123" w:right="10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240" w:right="220" w:hanging="618"/>
        <w:spacing w:after="0" w:line="287"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240" w:hanging="618"/>
        <w:spacing w:after="0" w:line="270"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240" w:right="260" w:hanging="618"/>
        <w:spacing w:after="0" w:line="270" w:lineRule="auto"/>
        <w:tabs>
          <w:tab w:leader="none" w:pos="123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2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2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240" w:right="140" w:hanging="618"/>
        <w:spacing w:after="0" w:line="287" w:lineRule="auto"/>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240" w:right="160" w:hanging="618"/>
        <w:spacing w:after="0" w:line="287" w:lineRule="auto"/>
        <w:tabs>
          <w:tab w:leader="none" w:pos="123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20" w:hanging="618"/>
        <w:spacing w:after="0" w:line="276" w:lineRule="auto"/>
        <w:tabs>
          <w:tab w:leader="none" w:pos="122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40"/>
        <w:spacing w:after="0"/>
        <w:tabs>
          <w:tab w:leader="none" w:pos="6340" w:val="left"/>
        </w:tabs>
        <w:rPr>
          <w:sz w:val="20"/>
          <w:szCs w:val="20"/>
          <w:color w:val="auto"/>
        </w:rPr>
      </w:pPr>
      <w:r>
        <w:rPr>
          <w:rFonts w:ascii="Times New Roman" w:cs="Times New Roman" w:eastAsia="Times New Roman" w:hAnsi="Times New Roman"/>
          <w:sz w:val="17"/>
          <w:szCs w:val="17"/>
          <w:color w:val="auto"/>
        </w:rPr>
        <w:t>Date: August 7, 2024</w:t>
      </w:r>
      <w:r>
        <w:rPr>
          <w:sz w:val="20"/>
          <w:szCs w:val="20"/>
          <w:color w:val="auto"/>
        </w:rPr>
        <w:tab/>
      </w:r>
      <w:r>
        <w:rPr>
          <w:rFonts w:ascii="Times New Roman" w:cs="Times New Roman" w:eastAsia="Times New Roman" w:hAnsi="Times New Roman"/>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17145</wp:posOffset>
            </wp:positionV>
            <wp:extent cx="30943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wp:posOffset>
            </wp:positionV>
            <wp:extent cx="71221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080" w:right="160" w:hanging="535"/>
        <w:spacing w:after="0" w:line="270"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080" w:right="80" w:hanging="535"/>
        <w:spacing w:after="0" w:line="287" w:lineRule="auto"/>
        <w:tabs>
          <w:tab w:leader="none" w:pos="112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080" w:right="160" w:hanging="535"/>
        <w:spacing w:after="0" w:line="270"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080" w:right="420" w:hanging="535"/>
        <w:spacing w:after="0" w:line="270" w:lineRule="auto"/>
        <w:tabs>
          <w:tab w:leader="none" w:pos="107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080" w:right="860" w:hanging="535"/>
        <w:spacing w:after="0" w:line="287" w:lineRule="auto"/>
        <w:tabs>
          <w:tab w:leader="none" w:pos="107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080" w:hanging="535"/>
        <w:spacing w:after="0" w:line="287" w:lineRule="auto"/>
        <w:tabs>
          <w:tab w:leader="none" w:pos="112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080" w:right="320" w:hanging="535"/>
        <w:spacing w:after="0" w:line="287" w:lineRule="auto"/>
        <w:tabs>
          <w:tab w:leader="none" w:pos="107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080" w:right="280" w:hanging="535"/>
        <w:spacing w:after="0" w:line="287" w:lineRule="auto"/>
        <w:tabs>
          <w:tab w:leader="none" w:pos="106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880"/>
        <w:spacing w:after="0"/>
        <w:tabs>
          <w:tab w:leader="none" w:pos="5920" w:val="left"/>
        </w:tabs>
        <w:rPr>
          <w:sz w:val="20"/>
          <w:szCs w:val="20"/>
          <w:color w:val="auto"/>
        </w:rPr>
      </w:pPr>
      <w:r>
        <w:rPr>
          <w:rFonts w:ascii="Times New Roman" w:cs="Times New Roman" w:eastAsia="Times New Roman" w:hAnsi="Times New Roman"/>
          <w:sz w:val="17"/>
          <w:szCs w:val="17"/>
          <w:color w:val="auto"/>
        </w:rPr>
        <w:t>Date: August 7, 2024</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441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441065" cy="825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107315</wp:posOffset>
            </wp:positionV>
            <wp:extent cx="680593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June 30, 2024 as filed with the Securities and Exchange Commission on the date hereof (the “Report”), I, Vivek Jain, Chief Executive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7, 2024</w:t>
            </w: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Vivek Jain</w:t>
            </w:r>
          </w:p>
        </w:tc>
      </w:tr>
      <w:tr>
        <w:trPr>
          <w:trHeight w:val="209"/>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Vivek Jain</w:t>
            </w:r>
          </w:p>
        </w:tc>
      </w:tr>
      <w:tr>
        <w:trPr>
          <w:trHeight w:val="219"/>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June 30, 2024 as filed with the Securities and Exchange Commission on the date hereof (the “Report”), I, Brian M. Bonnell, Chief Financial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7, 2024</w:t>
            </w: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r>
      <w:tr>
        <w:trPr>
          <w:trHeight w:val="209"/>
        </w:trPr>
        <w:tc>
          <w:tcPr>
            <w:tcW w:w="20" w:type="dxa"/>
            <w:vAlign w:val="bottom"/>
            <w:tcBorders>
              <w:top w:val="single" w:sz="8" w:color="auto"/>
            </w:tcBorders>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40" w:type="dxa"/>
            <w:vAlign w:val="bottom"/>
          </w:tcPr>
          <w:p>
            <w:pPr>
              <w:spacing w:after="0"/>
              <w:rPr>
                <w:sz w:val="18"/>
                <w:szCs w:val="18"/>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r>
      <w:tr>
        <w:trPr>
          <w:trHeight w:val="21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60"/>
        </w:trPr>
        <w:tc>
          <w:tcPr>
            <w:tcW w:w="2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lowerRoman"/>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6"/>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64" Type="http://schemas.openxmlformats.org/officeDocument/2006/relationships/hyperlink" Target="https://www.sec.gov/Archives/edgar/data/0000883984/000119312521267387/d228927dex21.htm" TargetMode="External"/><Relationship Id="rId65" Type="http://schemas.openxmlformats.org/officeDocument/2006/relationships/hyperlink" Target="https://www.sec.gov/Archives/edgar/data/883984/000119312521267387/d228927dex22.htm" TargetMode="External"/><Relationship Id="rId66" Type="http://schemas.openxmlformats.org/officeDocument/2006/relationships/hyperlink" Target="https://www.sec.gov/Archives/edgar/data/883984/000088398414000046/exhibitamendedandrestatedc.htm" TargetMode="External"/><Relationship Id="rId67" Type="http://schemas.openxmlformats.org/officeDocument/2006/relationships/hyperlink" Target="https://www.sec.gov/Archives/edgar/data/883984/000088398423000034/exhibit31_8-k103023.htm" TargetMode="External"/><Relationship Id="rId68" Type="http://schemas.openxmlformats.org/officeDocument/2006/relationships/hyperlink" Target="https://www.sec.gov/Archives/edgar/data/883984/000088398420000014/exhibit41description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2024-08-07T16:52:06Z</dcterms:created>
  <dcterms:modified xsi:type="dcterms:W3CDTF">2024-08-07T16:52:06Z</dcterms:modified>
</cp:coreProperties>
</file>